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1644"/>
        <w:gridCol w:w="2212"/>
      </w:tblGrid>
      <w:tr w:rsidR="009D0367" w:rsidRPr="00171D70" w14:paraId="32217A25" w14:textId="77777777" w:rsidTr="007B7965">
        <w:trPr>
          <w:cantSplit/>
          <w:trHeight w:hRule="exact" w:val="1077"/>
        </w:trPr>
        <w:tc>
          <w:tcPr>
            <w:tcW w:w="6067" w:type="dxa"/>
            <w:vAlign w:val="center"/>
          </w:tcPr>
          <w:p w14:paraId="653B5469" w14:textId="77777777" w:rsidR="00553416" w:rsidRPr="00C271E6" w:rsidRDefault="00553416" w:rsidP="00553416">
            <w:pPr>
              <w:pStyle w:val="AdresseAdres"/>
              <w:spacing w:before="300"/>
              <w:rPr>
                <w:noProof w:val="0"/>
                <w:lang w:val="fr-BE"/>
              </w:rPr>
            </w:pPr>
            <w:bookmarkStart w:id="0" w:name="_GoBack"/>
            <w:bookmarkEnd w:id="0"/>
            <w:r w:rsidRPr="00C271E6">
              <w:rPr>
                <w:noProof w:val="0"/>
                <w:lang w:val="fr-BE"/>
              </w:rPr>
              <w:t>boulevard de Berlaimont 14 – BE-1000 Brussels</w:t>
            </w:r>
          </w:p>
          <w:p w14:paraId="30223E8D" w14:textId="06A54419" w:rsidR="00553416" w:rsidRPr="00C271E6" w:rsidRDefault="00553416" w:rsidP="00553416">
            <w:pPr>
              <w:pStyle w:val="AdresseAdres"/>
              <w:rPr>
                <w:noProof w:val="0"/>
                <w:lang w:val="fr-BE"/>
              </w:rPr>
            </w:pPr>
            <w:r w:rsidRPr="00C271E6">
              <w:rPr>
                <w:noProof w:val="0"/>
                <w:lang w:val="fr-BE"/>
              </w:rPr>
              <w:t>Phone +32 2 221 24 33 – fax + 32 2 221 31 04</w:t>
            </w:r>
          </w:p>
          <w:p w14:paraId="2CC66B1C" w14:textId="77777777" w:rsidR="00553416" w:rsidRPr="000D12C0" w:rsidRDefault="00553416" w:rsidP="00553416">
            <w:pPr>
              <w:pStyle w:val="AdresseAdres"/>
              <w:rPr>
                <w:noProof w:val="0"/>
                <w:lang w:val="en-GB"/>
              </w:rPr>
            </w:pPr>
            <w:r w:rsidRPr="000D12C0">
              <w:rPr>
                <w:noProof w:val="0"/>
                <w:lang w:val="en-GB"/>
              </w:rPr>
              <w:t>Company number: 0203.201.340</w:t>
            </w:r>
          </w:p>
          <w:p w14:paraId="5307DA60" w14:textId="77777777" w:rsidR="00553416" w:rsidRPr="000D12C0" w:rsidRDefault="00553416" w:rsidP="00553416">
            <w:pPr>
              <w:pStyle w:val="AdresseAdres"/>
              <w:rPr>
                <w:noProof w:val="0"/>
                <w:lang w:val="en-GB"/>
              </w:rPr>
            </w:pPr>
            <w:r w:rsidRPr="000D12C0">
              <w:rPr>
                <w:noProof w:val="0"/>
                <w:lang w:val="en-GB"/>
              </w:rPr>
              <w:t>RPM (Trade Register) Brussels</w:t>
            </w:r>
          </w:p>
          <w:p w14:paraId="32217A23" w14:textId="6F518078" w:rsidR="009D0367" w:rsidRPr="00F838F7" w:rsidRDefault="00553416" w:rsidP="00553416">
            <w:pPr>
              <w:pStyle w:val="AdresseAdres"/>
              <w:rPr>
                <w:noProof w:val="0"/>
                <w:lang w:val="fr-BE"/>
              </w:rPr>
            </w:pPr>
            <w:r w:rsidRPr="000D12C0">
              <w:rPr>
                <w:noProof w:val="0"/>
                <w:lang w:val="en-GB"/>
              </w:rPr>
              <w:t>www.nbb.be</w:t>
            </w:r>
          </w:p>
        </w:tc>
        <w:tc>
          <w:tcPr>
            <w:tcW w:w="3856" w:type="dxa"/>
            <w:gridSpan w:val="2"/>
            <w:shd w:val="clear" w:color="auto" w:fill="auto"/>
            <w:vAlign w:val="center"/>
          </w:tcPr>
          <w:p w14:paraId="32217A24" w14:textId="77777777" w:rsidR="009D0367" w:rsidRPr="00F838F7" w:rsidRDefault="009D0367" w:rsidP="00682F2F">
            <w:pPr>
              <w:spacing w:line="260" w:lineRule="atLeast"/>
              <w:rPr>
                <w:sz w:val="16"/>
                <w:szCs w:val="16"/>
                <w:lang w:val="nl-NL"/>
              </w:rPr>
            </w:pPr>
            <w:r w:rsidRPr="00F838F7">
              <w:rPr>
                <w:noProof/>
                <w:sz w:val="16"/>
                <w:szCs w:val="16"/>
                <w:lang w:val="nl-NL" w:eastAsia="nl-BE"/>
              </w:rPr>
              <w:drawing>
                <wp:inline distT="0" distB="0" distL="0" distR="0" wp14:anchorId="32217A90" wp14:editId="32217A91">
                  <wp:extent cx="2343150" cy="581025"/>
                  <wp:effectExtent l="19050" t="0" r="0" b="0"/>
                  <wp:docPr id="6"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2"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9D0367" w:rsidRPr="00171D70" w14:paraId="32217A28" w14:textId="77777777" w:rsidTr="00682F2F">
        <w:trPr>
          <w:cantSplit/>
          <w:trHeight w:hRule="exact" w:val="850"/>
        </w:trPr>
        <w:tc>
          <w:tcPr>
            <w:tcW w:w="6067" w:type="dxa"/>
            <w:shd w:val="clear" w:color="auto" w:fill="auto"/>
          </w:tcPr>
          <w:p w14:paraId="32217A26" w14:textId="77777777" w:rsidR="009D0367" w:rsidRPr="00F838F7" w:rsidRDefault="009D0367" w:rsidP="00682F2F">
            <w:pPr>
              <w:pStyle w:val="AdresseAdres"/>
              <w:tabs>
                <w:tab w:val="center" w:pos="4678"/>
                <w:tab w:val="right" w:pos="9356"/>
              </w:tabs>
              <w:spacing w:line="260" w:lineRule="atLeast"/>
              <w:rPr>
                <w:noProof w:val="0"/>
                <w:sz w:val="16"/>
                <w:lang w:val="nl-NL"/>
              </w:rPr>
            </w:pPr>
          </w:p>
        </w:tc>
        <w:tc>
          <w:tcPr>
            <w:tcW w:w="3856" w:type="dxa"/>
            <w:gridSpan w:val="2"/>
            <w:shd w:val="clear" w:color="auto" w:fill="auto"/>
            <w:vAlign w:val="bottom"/>
          </w:tcPr>
          <w:p w14:paraId="32217A27" w14:textId="44FC055A" w:rsidR="009D0367" w:rsidRPr="00F838F7" w:rsidRDefault="00553416" w:rsidP="007B7965">
            <w:pPr>
              <w:pStyle w:val="TitreTitel"/>
              <w:keepLines/>
              <w:tabs>
                <w:tab w:val="left" w:pos="284"/>
                <w:tab w:val="right" w:leader="dot" w:pos="9639"/>
              </w:tabs>
              <w:spacing w:after="170"/>
              <w:ind w:left="397" w:right="567" w:hanging="397"/>
              <w:rPr>
                <w:noProof w:val="0"/>
                <w:lang w:val="nl-NL"/>
              </w:rPr>
            </w:pPr>
            <w:r>
              <w:rPr>
                <w:noProof w:val="0"/>
                <w:lang w:val="nl-NL"/>
              </w:rPr>
              <w:t>Circular</w:t>
            </w:r>
          </w:p>
        </w:tc>
      </w:tr>
      <w:tr w:rsidR="009D0367" w:rsidRPr="00171D70" w14:paraId="32217A2B" w14:textId="77777777" w:rsidTr="007B7965">
        <w:trPr>
          <w:cantSplit/>
          <w:trHeight w:hRule="exact" w:val="794"/>
        </w:trPr>
        <w:tc>
          <w:tcPr>
            <w:tcW w:w="6067" w:type="dxa"/>
            <w:vMerge w:val="restart"/>
            <w:shd w:val="clear" w:color="auto" w:fill="auto"/>
          </w:tcPr>
          <w:p w14:paraId="32217A29" w14:textId="77777777" w:rsidR="009D0367" w:rsidRPr="00F838F7" w:rsidRDefault="009D0367" w:rsidP="00C67902">
            <w:pPr>
              <w:pStyle w:val="AdresseAdres"/>
              <w:rPr>
                <w:noProof w:val="0"/>
                <w:lang w:val="nl-NL"/>
              </w:rPr>
            </w:pPr>
          </w:p>
        </w:tc>
        <w:tc>
          <w:tcPr>
            <w:tcW w:w="3856" w:type="dxa"/>
            <w:gridSpan w:val="2"/>
          </w:tcPr>
          <w:p w14:paraId="32217A2A" w14:textId="5D35422E" w:rsidR="009D0367" w:rsidRPr="00F838F7" w:rsidRDefault="009D0367" w:rsidP="00682F2F">
            <w:pPr>
              <w:spacing w:line="260" w:lineRule="atLeast"/>
              <w:rPr>
                <w:lang w:val="nl-NL"/>
              </w:rPr>
            </w:pPr>
            <w:r w:rsidRPr="00F838F7">
              <w:rPr>
                <w:lang w:val="nl-NL"/>
              </w:rPr>
              <w:t>Brussel</w:t>
            </w:r>
            <w:r w:rsidR="00553416">
              <w:rPr>
                <w:lang w:val="nl-NL"/>
              </w:rPr>
              <w:t>s</w:t>
            </w:r>
            <w:r w:rsidRPr="00F838F7">
              <w:rPr>
                <w:lang w:val="nl-NL"/>
              </w:rPr>
              <w:t xml:space="preserve">, </w:t>
            </w:r>
            <w:r w:rsidR="00553416">
              <w:rPr>
                <w:lang w:val="nl-NL"/>
              </w:rPr>
              <w:t>18 September</w:t>
            </w:r>
            <w:r w:rsidRPr="00F838F7">
              <w:rPr>
                <w:lang w:val="nl-NL"/>
              </w:rPr>
              <w:t xml:space="preserve"> 2018</w:t>
            </w:r>
          </w:p>
        </w:tc>
      </w:tr>
      <w:tr w:rsidR="009D0367" w:rsidRPr="00171D70" w14:paraId="32217A2F" w14:textId="77777777" w:rsidTr="00682F2F">
        <w:trPr>
          <w:cantSplit/>
          <w:trHeight w:hRule="exact" w:val="198"/>
        </w:trPr>
        <w:tc>
          <w:tcPr>
            <w:tcW w:w="6067" w:type="dxa"/>
            <w:vMerge/>
          </w:tcPr>
          <w:p w14:paraId="32217A2C" w14:textId="77777777" w:rsidR="009D0367" w:rsidRPr="00F838F7" w:rsidRDefault="009D0367" w:rsidP="00682F2F">
            <w:pPr>
              <w:spacing w:line="260" w:lineRule="atLeast"/>
              <w:rPr>
                <w:lang w:val="nl-NL"/>
              </w:rPr>
            </w:pPr>
          </w:p>
        </w:tc>
        <w:tc>
          <w:tcPr>
            <w:tcW w:w="1644" w:type="dxa"/>
            <w:vAlign w:val="center"/>
          </w:tcPr>
          <w:p w14:paraId="32217A2D" w14:textId="77777777" w:rsidR="009D0367" w:rsidRPr="00F838F7" w:rsidRDefault="009D0367" w:rsidP="00682F2F">
            <w:pPr>
              <w:pStyle w:val="BoiteVakje"/>
              <w:rPr>
                <w:lang w:val="nl-NL"/>
              </w:rPr>
            </w:pPr>
          </w:p>
        </w:tc>
        <w:tc>
          <w:tcPr>
            <w:tcW w:w="2212" w:type="dxa"/>
            <w:vAlign w:val="center"/>
          </w:tcPr>
          <w:p w14:paraId="32217A2E" w14:textId="77777777" w:rsidR="009D0367" w:rsidRPr="00F838F7" w:rsidRDefault="009D0367" w:rsidP="00682F2F">
            <w:pPr>
              <w:pStyle w:val="BoiteVakje"/>
              <w:rPr>
                <w:sz w:val="16"/>
                <w:szCs w:val="16"/>
                <w:lang w:val="nl-NL"/>
              </w:rPr>
            </w:pPr>
          </w:p>
        </w:tc>
      </w:tr>
      <w:tr w:rsidR="009D0367" w:rsidRPr="00171D70" w14:paraId="32217A33" w14:textId="77777777" w:rsidTr="00682F2F">
        <w:trPr>
          <w:cantSplit/>
          <w:trHeight w:hRule="exact" w:val="198"/>
        </w:trPr>
        <w:tc>
          <w:tcPr>
            <w:tcW w:w="6067" w:type="dxa"/>
            <w:vMerge/>
          </w:tcPr>
          <w:p w14:paraId="32217A30" w14:textId="77777777" w:rsidR="009D0367" w:rsidRPr="00F838F7" w:rsidRDefault="009D0367" w:rsidP="00682F2F">
            <w:pPr>
              <w:tabs>
                <w:tab w:val="left" w:pos="1276"/>
                <w:tab w:val="left" w:pos="2268"/>
              </w:tabs>
              <w:spacing w:line="260" w:lineRule="atLeast"/>
              <w:rPr>
                <w:lang w:val="nl-NL"/>
              </w:rPr>
            </w:pPr>
          </w:p>
        </w:tc>
        <w:tc>
          <w:tcPr>
            <w:tcW w:w="1644" w:type="dxa"/>
            <w:vAlign w:val="center"/>
          </w:tcPr>
          <w:p w14:paraId="32217A31" w14:textId="6C27CD3B" w:rsidR="009D0367" w:rsidRPr="00F838F7" w:rsidRDefault="00553416" w:rsidP="00682F2F">
            <w:pPr>
              <w:pStyle w:val="BoiteVakje"/>
              <w:rPr>
                <w:lang w:val="nl-NL"/>
              </w:rPr>
            </w:pPr>
            <w:r>
              <w:rPr>
                <w:lang w:val="nl-NL"/>
              </w:rPr>
              <w:t>Reference</w:t>
            </w:r>
            <w:r w:rsidR="009D0367" w:rsidRPr="00F838F7">
              <w:rPr>
                <w:lang w:val="nl-NL"/>
              </w:rPr>
              <w:t xml:space="preserve">: </w:t>
            </w:r>
            <w:r w:rsidR="009D0367" w:rsidRPr="00F838F7">
              <w:rPr>
                <w:vanish/>
                <w:color w:val="FF0000"/>
                <w:lang w:val="nl-NL"/>
              </w:rPr>
              <w:t>---------------&gt;</w:t>
            </w:r>
          </w:p>
        </w:tc>
        <w:tc>
          <w:tcPr>
            <w:tcW w:w="2212" w:type="dxa"/>
            <w:vAlign w:val="center"/>
          </w:tcPr>
          <w:p w14:paraId="32217A32" w14:textId="6F39402E" w:rsidR="009D0367" w:rsidRPr="00F838F7" w:rsidRDefault="009D0367" w:rsidP="00682F2F">
            <w:pPr>
              <w:pStyle w:val="BoitetexteVakjetekst"/>
              <w:rPr>
                <w:lang w:val="nl-NL"/>
              </w:rPr>
            </w:pPr>
            <w:r w:rsidRPr="00F838F7">
              <w:rPr>
                <w:lang w:val="nl-NL"/>
              </w:rPr>
              <w:t>NBB_2018</w:t>
            </w:r>
            <w:r w:rsidR="0058360A">
              <w:rPr>
                <w:lang w:val="nl-NL"/>
              </w:rPr>
              <w:t>_25</w:t>
            </w:r>
          </w:p>
        </w:tc>
      </w:tr>
      <w:tr w:rsidR="009D0367" w:rsidRPr="00171D70" w14:paraId="32217A36" w14:textId="77777777" w:rsidTr="00682F2F">
        <w:trPr>
          <w:cantSplit/>
          <w:trHeight w:hRule="exact" w:val="198"/>
        </w:trPr>
        <w:tc>
          <w:tcPr>
            <w:tcW w:w="6067" w:type="dxa"/>
            <w:vMerge/>
          </w:tcPr>
          <w:p w14:paraId="32217A34" w14:textId="77777777" w:rsidR="009D0367" w:rsidRPr="00F838F7" w:rsidRDefault="009D0367" w:rsidP="00682F2F">
            <w:pPr>
              <w:spacing w:line="260" w:lineRule="atLeast"/>
              <w:rPr>
                <w:lang w:val="nl-NL"/>
              </w:rPr>
            </w:pPr>
          </w:p>
        </w:tc>
        <w:tc>
          <w:tcPr>
            <w:tcW w:w="3856" w:type="dxa"/>
            <w:gridSpan w:val="2"/>
            <w:vAlign w:val="center"/>
          </w:tcPr>
          <w:p w14:paraId="32217A35" w14:textId="77777777" w:rsidR="009D0367" w:rsidRPr="00F838F7" w:rsidRDefault="009D0367" w:rsidP="00682F2F">
            <w:pPr>
              <w:pStyle w:val="BoiteVakje"/>
              <w:rPr>
                <w:sz w:val="16"/>
                <w:szCs w:val="16"/>
                <w:lang w:val="nl-NL"/>
              </w:rPr>
            </w:pPr>
          </w:p>
        </w:tc>
      </w:tr>
      <w:tr w:rsidR="009D0367" w:rsidRPr="00171D70" w14:paraId="32217A39" w14:textId="77777777" w:rsidTr="00C67902">
        <w:trPr>
          <w:cantSplit/>
          <w:trHeight w:hRule="exact" w:val="198"/>
        </w:trPr>
        <w:tc>
          <w:tcPr>
            <w:tcW w:w="6067" w:type="dxa"/>
            <w:vMerge w:val="restart"/>
          </w:tcPr>
          <w:p w14:paraId="32217A37" w14:textId="77777777" w:rsidR="009D0367" w:rsidRPr="00F838F7" w:rsidRDefault="009D0367" w:rsidP="00C67902">
            <w:pPr>
              <w:pStyle w:val="AdresseAdres"/>
              <w:rPr>
                <w:noProof w:val="0"/>
                <w:lang w:val="nl-NL"/>
              </w:rPr>
            </w:pPr>
          </w:p>
        </w:tc>
        <w:tc>
          <w:tcPr>
            <w:tcW w:w="3856" w:type="dxa"/>
            <w:gridSpan w:val="2"/>
            <w:vAlign w:val="center"/>
          </w:tcPr>
          <w:p w14:paraId="32217A38" w14:textId="0DF88E0D" w:rsidR="009D0367" w:rsidRPr="00F838F7" w:rsidRDefault="00553416" w:rsidP="004E6FD5">
            <w:pPr>
              <w:pStyle w:val="BoiteVakje"/>
              <w:rPr>
                <w:lang w:val="nl-NL"/>
              </w:rPr>
            </w:pPr>
            <w:r>
              <w:rPr>
                <w:lang w:val="nl-NL"/>
              </w:rPr>
              <w:t>Contact persons</w:t>
            </w:r>
            <w:r w:rsidR="009D0367" w:rsidRPr="00F838F7">
              <w:rPr>
                <w:lang w:val="nl-NL"/>
              </w:rPr>
              <w:t xml:space="preserve">: </w:t>
            </w:r>
            <w:r w:rsidR="009D0367" w:rsidRPr="00F838F7">
              <w:rPr>
                <w:rFonts w:cs="Arial"/>
                <w:vanish/>
                <w:color w:val="FF0000"/>
                <w:lang w:val="nl-NL"/>
              </w:rPr>
              <w:t>plaats de naam hieronder</w:t>
            </w:r>
          </w:p>
        </w:tc>
      </w:tr>
      <w:tr w:rsidR="009D0367" w:rsidRPr="00171D70" w14:paraId="32217A3C" w14:textId="77777777" w:rsidTr="00682F2F">
        <w:trPr>
          <w:cantSplit/>
          <w:trHeight w:hRule="exact" w:val="57"/>
        </w:trPr>
        <w:tc>
          <w:tcPr>
            <w:tcW w:w="6067" w:type="dxa"/>
            <w:vMerge/>
          </w:tcPr>
          <w:p w14:paraId="32217A3A" w14:textId="77777777" w:rsidR="009D0367" w:rsidRPr="00F838F7" w:rsidRDefault="009D0367" w:rsidP="00682F2F">
            <w:pPr>
              <w:spacing w:line="260" w:lineRule="atLeast"/>
              <w:rPr>
                <w:lang w:val="nl-NL"/>
              </w:rPr>
            </w:pPr>
          </w:p>
        </w:tc>
        <w:tc>
          <w:tcPr>
            <w:tcW w:w="3856" w:type="dxa"/>
            <w:gridSpan w:val="2"/>
            <w:vAlign w:val="center"/>
          </w:tcPr>
          <w:p w14:paraId="32217A3B" w14:textId="77777777" w:rsidR="009D0367" w:rsidRPr="00F838F7" w:rsidRDefault="009D0367" w:rsidP="00682F2F">
            <w:pPr>
              <w:pStyle w:val="BoiteVakje"/>
              <w:rPr>
                <w:lang w:val="nl-NL"/>
              </w:rPr>
            </w:pPr>
          </w:p>
        </w:tc>
      </w:tr>
      <w:tr w:rsidR="009D0367" w:rsidRPr="00171D70" w14:paraId="32217A3F" w14:textId="77777777" w:rsidTr="00682F2F">
        <w:trPr>
          <w:cantSplit/>
          <w:trHeight w:val="198"/>
        </w:trPr>
        <w:tc>
          <w:tcPr>
            <w:tcW w:w="6067" w:type="dxa"/>
            <w:vMerge/>
          </w:tcPr>
          <w:p w14:paraId="32217A3D" w14:textId="77777777" w:rsidR="009D0367" w:rsidRPr="00F838F7" w:rsidRDefault="009D0367" w:rsidP="00682F2F">
            <w:pPr>
              <w:spacing w:line="260" w:lineRule="atLeast"/>
              <w:rPr>
                <w:lang w:val="nl-NL"/>
              </w:rPr>
            </w:pPr>
          </w:p>
        </w:tc>
        <w:tc>
          <w:tcPr>
            <w:tcW w:w="3856" w:type="dxa"/>
            <w:gridSpan w:val="2"/>
            <w:vAlign w:val="center"/>
          </w:tcPr>
          <w:p w14:paraId="32217A3E" w14:textId="06DE553B" w:rsidR="009D0367" w:rsidRPr="00F838F7" w:rsidRDefault="007D47CD" w:rsidP="00682F2F">
            <w:pPr>
              <w:pStyle w:val="BoiteVakje"/>
              <w:rPr>
                <w:lang w:val="nl-NL"/>
              </w:rPr>
            </w:pPr>
            <w:r>
              <w:t>Catherine Terrier / Nicolas Strypstein</w:t>
            </w:r>
          </w:p>
        </w:tc>
      </w:tr>
      <w:tr w:rsidR="009D0367" w:rsidRPr="007D2A60" w14:paraId="32217A42" w14:textId="77777777" w:rsidTr="00682F2F">
        <w:trPr>
          <w:cantSplit/>
          <w:trHeight w:val="198"/>
        </w:trPr>
        <w:tc>
          <w:tcPr>
            <w:tcW w:w="6067" w:type="dxa"/>
            <w:vMerge/>
          </w:tcPr>
          <w:p w14:paraId="32217A40" w14:textId="77777777" w:rsidR="009D0367" w:rsidRPr="00F838F7" w:rsidRDefault="009D0367" w:rsidP="00682F2F">
            <w:pPr>
              <w:spacing w:line="260" w:lineRule="atLeast"/>
              <w:rPr>
                <w:lang w:val="nl-NL"/>
              </w:rPr>
            </w:pPr>
          </w:p>
        </w:tc>
        <w:tc>
          <w:tcPr>
            <w:tcW w:w="3856" w:type="dxa"/>
            <w:gridSpan w:val="2"/>
            <w:vAlign w:val="center"/>
          </w:tcPr>
          <w:p w14:paraId="32217A41" w14:textId="0E5E1691" w:rsidR="009D0367" w:rsidRPr="00F838F7" w:rsidRDefault="007D47CD" w:rsidP="00682F2F">
            <w:pPr>
              <w:pStyle w:val="BoiteVakje"/>
              <w:rPr>
                <w:lang w:val="en-US"/>
              </w:rPr>
            </w:pPr>
            <w:r>
              <w:t>tél. +32 2 221 45 32 / 44 74</w:t>
            </w:r>
          </w:p>
        </w:tc>
      </w:tr>
      <w:tr w:rsidR="007D47CD" w:rsidRPr="000218A4" w14:paraId="32217A45" w14:textId="77777777" w:rsidTr="00682F2F">
        <w:trPr>
          <w:cantSplit/>
          <w:trHeight w:val="198"/>
        </w:trPr>
        <w:tc>
          <w:tcPr>
            <w:tcW w:w="6067" w:type="dxa"/>
            <w:vMerge/>
          </w:tcPr>
          <w:p w14:paraId="32217A43" w14:textId="77777777" w:rsidR="007D47CD" w:rsidRPr="00F838F7" w:rsidRDefault="007D47CD" w:rsidP="007D47CD">
            <w:pPr>
              <w:pStyle w:val="SujetOnderwerp"/>
              <w:rPr>
                <w:b w:val="0"/>
                <w:noProof w:val="0"/>
                <w:sz w:val="16"/>
                <w:lang w:val="en-US"/>
              </w:rPr>
            </w:pPr>
          </w:p>
        </w:tc>
        <w:tc>
          <w:tcPr>
            <w:tcW w:w="3856" w:type="dxa"/>
            <w:gridSpan w:val="2"/>
            <w:vAlign w:val="center"/>
          </w:tcPr>
          <w:p w14:paraId="32217A44" w14:textId="327EC999" w:rsidR="007D47CD" w:rsidRPr="00C271E6" w:rsidRDefault="000218A4" w:rsidP="007D47CD">
            <w:pPr>
              <w:pStyle w:val="BoiteVakje"/>
              <w:rPr>
                <w:b/>
                <w:lang w:val="en-US"/>
              </w:rPr>
            </w:pPr>
            <w:hyperlink r:id="rId13" w:history="1">
              <w:r w:rsidR="007D47CD" w:rsidRPr="00C271E6">
                <w:rPr>
                  <w:lang w:val="en-US"/>
                </w:rPr>
                <w:t>catherine.terrier@nbb.be</w:t>
              </w:r>
            </w:hyperlink>
            <w:r w:rsidR="007D47CD" w:rsidRPr="00C271E6">
              <w:rPr>
                <w:lang w:val="en-US"/>
              </w:rPr>
              <w:t xml:space="preserve"> / nicolas.strypstein@nbb.be </w:t>
            </w:r>
          </w:p>
        </w:tc>
      </w:tr>
      <w:tr w:rsidR="007D47CD" w:rsidRPr="000218A4" w14:paraId="32217A47" w14:textId="77777777" w:rsidTr="004E6FD5">
        <w:trPr>
          <w:cantSplit/>
          <w:trHeight w:hRule="exact" w:val="1191"/>
        </w:trPr>
        <w:tc>
          <w:tcPr>
            <w:tcW w:w="9923" w:type="dxa"/>
            <w:gridSpan w:val="3"/>
            <w:tcMar>
              <w:top w:w="113" w:type="dxa"/>
            </w:tcMar>
            <w:vAlign w:val="bottom"/>
          </w:tcPr>
          <w:p w14:paraId="32217A46" w14:textId="77777777" w:rsidR="007D47CD" w:rsidRPr="00C271E6" w:rsidRDefault="007D47CD" w:rsidP="007D47CD">
            <w:pPr>
              <w:pStyle w:val="SujetOnderwerp"/>
              <w:rPr>
                <w:noProof w:val="0"/>
                <w:lang w:val="en-US"/>
              </w:rPr>
            </w:pPr>
          </w:p>
        </w:tc>
      </w:tr>
      <w:tr w:rsidR="007D47CD" w:rsidRPr="000218A4" w14:paraId="32217A49" w14:textId="77777777" w:rsidTr="00EB577B">
        <w:trPr>
          <w:cantSplit/>
          <w:trHeight w:hRule="exact" w:val="566"/>
        </w:trPr>
        <w:tc>
          <w:tcPr>
            <w:tcW w:w="9923" w:type="dxa"/>
            <w:gridSpan w:val="3"/>
            <w:vAlign w:val="center"/>
          </w:tcPr>
          <w:p w14:paraId="32217A48" w14:textId="36F96DAB" w:rsidR="007D47CD" w:rsidRPr="00F838F7" w:rsidRDefault="007D47CD" w:rsidP="007D47CD">
            <w:pPr>
              <w:spacing w:line="260" w:lineRule="atLeast"/>
              <w:jc w:val="both"/>
              <w:rPr>
                <w:b/>
                <w:lang w:val="en-GB"/>
              </w:rPr>
            </w:pPr>
            <w:r w:rsidRPr="00171D70">
              <w:rPr>
                <w:b/>
                <w:lang w:val="en-GB"/>
              </w:rPr>
              <w:t xml:space="preserve">Suitability of directors, members of the management committee, </w:t>
            </w:r>
            <w:r>
              <w:rPr>
                <w:b/>
                <w:lang w:val="en-GB"/>
              </w:rPr>
              <w:t>responsible persons</w:t>
            </w:r>
            <w:r w:rsidRPr="00171D70">
              <w:rPr>
                <w:b/>
                <w:lang w:val="en-GB"/>
              </w:rPr>
              <w:t xml:space="preserve"> of independent control functions and senior managers</w:t>
            </w:r>
            <w:r>
              <w:rPr>
                <w:b/>
                <w:lang w:val="en-GB"/>
              </w:rPr>
              <w:t xml:space="preserve"> of financial institutions</w:t>
            </w:r>
          </w:p>
        </w:tc>
      </w:tr>
    </w:tbl>
    <w:p w14:paraId="32217A4A" w14:textId="77777777" w:rsidR="009D0367" w:rsidRPr="00F838F7" w:rsidRDefault="009D0367" w:rsidP="00682F2F">
      <w:pPr>
        <w:rPr>
          <w:lang w:val="en-GB"/>
        </w:rPr>
      </w:pPr>
    </w:p>
    <w:p w14:paraId="32217A4B" w14:textId="2A0C288D" w:rsidR="009D0367" w:rsidRPr="00553416" w:rsidRDefault="00171D70" w:rsidP="00682F2F">
      <w:pPr>
        <w:pStyle w:val="Sous-titreOndertitel"/>
        <w:rPr>
          <w:szCs w:val="20"/>
          <w:lang w:val="en-GB"/>
        </w:rPr>
      </w:pPr>
      <w:r w:rsidRPr="00553416">
        <w:rPr>
          <w:szCs w:val="20"/>
          <w:lang w:val="en-GB"/>
        </w:rPr>
        <w:t>Scope</w:t>
      </w:r>
    </w:p>
    <w:p w14:paraId="32217A4C" w14:textId="77777777" w:rsidR="00512317" w:rsidRPr="00553416" w:rsidRDefault="00512317" w:rsidP="00682F2F">
      <w:pPr>
        <w:pStyle w:val="Sous-titreOndertitel"/>
        <w:rPr>
          <w:szCs w:val="20"/>
          <w:lang w:val="en-GB"/>
        </w:rPr>
      </w:pPr>
    </w:p>
    <w:p w14:paraId="1A455B72" w14:textId="3511AC11" w:rsidR="00171D70" w:rsidRPr="00553416" w:rsidRDefault="00171D70" w:rsidP="00171D70">
      <w:pPr>
        <w:pStyle w:val="ListParagraph"/>
        <w:numPr>
          <w:ilvl w:val="0"/>
          <w:numId w:val="37"/>
        </w:numPr>
        <w:jc w:val="both"/>
        <w:rPr>
          <w:i/>
          <w:sz w:val="22"/>
          <w:lang w:val="en-GB"/>
        </w:rPr>
      </w:pPr>
      <w:r w:rsidRPr="00553416">
        <w:rPr>
          <w:i/>
          <w:sz w:val="22"/>
          <w:lang w:val="en-GB"/>
        </w:rPr>
        <w:t xml:space="preserve">credit institutions, stockbroking firms, payment institutions and electronic money institutions </w:t>
      </w:r>
      <w:r w:rsidR="005E1578" w:rsidRPr="00553416">
        <w:rPr>
          <w:i/>
          <w:sz w:val="22"/>
          <w:lang w:val="en-GB"/>
        </w:rPr>
        <w:t>governed by Belgian law, and the aforementioned institutions' branches abroad</w:t>
      </w:r>
      <w:r w:rsidRPr="00553416">
        <w:rPr>
          <w:i/>
          <w:sz w:val="22"/>
          <w:lang w:val="en-GB"/>
        </w:rPr>
        <w:t>,</w:t>
      </w:r>
    </w:p>
    <w:p w14:paraId="2787ED3A" w14:textId="6B9B3A2E" w:rsidR="005E1578" w:rsidRPr="00553416" w:rsidRDefault="005E1578" w:rsidP="005E1578">
      <w:pPr>
        <w:pStyle w:val="ListParagraph"/>
        <w:numPr>
          <w:ilvl w:val="0"/>
          <w:numId w:val="37"/>
        </w:numPr>
        <w:jc w:val="both"/>
        <w:rPr>
          <w:i/>
          <w:sz w:val="22"/>
          <w:lang w:val="en-GB"/>
        </w:rPr>
      </w:pPr>
      <w:r w:rsidRPr="00553416">
        <w:rPr>
          <w:i/>
          <w:sz w:val="22"/>
          <w:lang w:val="en-GB"/>
        </w:rPr>
        <w:t>branches established in Belgium of credit institutions, stockbroking firms, payment institutions and electronic money institutions governed by the law of a State that is not a member of the European Economic Area,</w:t>
      </w:r>
    </w:p>
    <w:p w14:paraId="11C2C41D" w14:textId="7DB275AB" w:rsidR="00171D70" w:rsidRPr="00553416" w:rsidRDefault="00171D70" w:rsidP="00171D70">
      <w:pPr>
        <w:pStyle w:val="ListParagraph"/>
        <w:numPr>
          <w:ilvl w:val="0"/>
          <w:numId w:val="37"/>
        </w:numPr>
        <w:jc w:val="both"/>
        <w:rPr>
          <w:i/>
          <w:sz w:val="22"/>
          <w:lang w:val="en-US"/>
        </w:rPr>
      </w:pPr>
      <w:r w:rsidRPr="00553416">
        <w:rPr>
          <w:i/>
          <w:sz w:val="22"/>
          <w:lang w:val="en-GB"/>
        </w:rPr>
        <w:t>settlement institutions and institutions assimilated to settlement institutions governed by Belgian law, and the aforementioned institutions' branches abroad,</w:t>
      </w:r>
    </w:p>
    <w:p w14:paraId="1E35C4A9" w14:textId="7A726CD2" w:rsidR="00171D70" w:rsidRPr="00553416" w:rsidRDefault="00171D70" w:rsidP="00171D70">
      <w:pPr>
        <w:pStyle w:val="ListParagraph"/>
        <w:numPr>
          <w:ilvl w:val="0"/>
          <w:numId w:val="37"/>
        </w:numPr>
        <w:jc w:val="both"/>
        <w:rPr>
          <w:rFonts w:cs="Arial"/>
          <w:i/>
          <w:sz w:val="22"/>
          <w:lang w:val="en-GB"/>
        </w:rPr>
      </w:pPr>
      <w:r w:rsidRPr="00553416">
        <w:rPr>
          <w:rFonts w:cs="Arial"/>
          <w:i/>
          <w:sz w:val="22"/>
          <w:lang w:val="en-GB"/>
        </w:rPr>
        <w:t xml:space="preserve">central securities depositories, their supporting institutions and </w:t>
      </w:r>
      <w:r w:rsidR="005E1578" w:rsidRPr="00553416">
        <w:rPr>
          <w:rFonts w:cs="Arial"/>
          <w:i/>
          <w:sz w:val="22"/>
          <w:lang w:val="en-GB"/>
        </w:rPr>
        <w:t xml:space="preserve">central </w:t>
      </w:r>
      <w:r w:rsidRPr="00553416">
        <w:rPr>
          <w:rFonts w:cs="Arial"/>
          <w:i/>
          <w:sz w:val="22"/>
          <w:lang w:val="en-GB"/>
        </w:rPr>
        <w:t xml:space="preserve">depository banks governed by Belgian law, </w:t>
      </w:r>
      <w:r w:rsidRPr="00553416">
        <w:rPr>
          <w:i/>
          <w:sz w:val="22"/>
          <w:lang w:val="en-GB"/>
        </w:rPr>
        <w:t>and the aforementioned institutions' branches abroad,</w:t>
      </w:r>
    </w:p>
    <w:p w14:paraId="48BB72D1" w14:textId="69398554" w:rsidR="00171D70" w:rsidRPr="00553416" w:rsidRDefault="005E1578" w:rsidP="005E1578">
      <w:pPr>
        <w:pStyle w:val="ListParagraph"/>
        <w:numPr>
          <w:ilvl w:val="0"/>
          <w:numId w:val="37"/>
        </w:numPr>
        <w:jc w:val="both"/>
        <w:rPr>
          <w:rFonts w:cs="Arial"/>
          <w:i/>
          <w:sz w:val="22"/>
          <w:lang w:val="en-GB"/>
        </w:rPr>
      </w:pPr>
      <w:r w:rsidRPr="00553416">
        <w:rPr>
          <w:rFonts w:cs="Arial"/>
          <w:i/>
          <w:sz w:val="22"/>
          <w:lang w:val="en-GB"/>
        </w:rPr>
        <w:t>branches established in Belgium of institutions supporting central securities depositories, central depository banks and settlement institutions and institutions assimilated to settlement institutions, governed by the law of a State that is not a member of the European Economic Area,</w:t>
      </w:r>
    </w:p>
    <w:p w14:paraId="57820B86" w14:textId="2E409F65" w:rsidR="00171D70" w:rsidRPr="00553416" w:rsidRDefault="0019363A" w:rsidP="00944E51">
      <w:pPr>
        <w:pStyle w:val="ListParagraph"/>
        <w:numPr>
          <w:ilvl w:val="0"/>
          <w:numId w:val="37"/>
        </w:numPr>
        <w:jc w:val="both"/>
        <w:rPr>
          <w:i/>
          <w:sz w:val="22"/>
          <w:lang w:val="en-US"/>
        </w:rPr>
      </w:pPr>
      <w:r w:rsidRPr="00553416">
        <w:rPr>
          <w:i/>
          <w:sz w:val="22"/>
          <w:lang w:val="en-GB"/>
        </w:rPr>
        <w:t>(</w:t>
      </w:r>
      <w:r w:rsidR="00171D70" w:rsidRPr="00553416">
        <w:rPr>
          <w:i/>
          <w:sz w:val="22"/>
          <w:lang w:val="en-GB"/>
        </w:rPr>
        <w:t>re</w:t>
      </w:r>
      <w:r w:rsidRPr="00553416">
        <w:rPr>
          <w:i/>
          <w:sz w:val="22"/>
          <w:lang w:val="en-GB"/>
        </w:rPr>
        <w:t>)</w:t>
      </w:r>
      <w:r w:rsidR="00171D70" w:rsidRPr="00553416">
        <w:rPr>
          <w:i/>
          <w:sz w:val="22"/>
          <w:lang w:val="en-GB"/>
        </w:rPr>
        <w:t xml:space="preserve">insurance undertakings and their branches abroad, </w:t>
      </w:r>
      <w:r w:rsidR="00944E51" w:rsidRPr="00553416">
        <w:rPr>
          <w:i/>
          <w:sz w:val="22"/>
          <w:lang w:val="en-GB"/>
        </w:rPr>
        <w:t>as well as branches established in Belgium of such undertakings</w:t>
      </w:r>
      <w:r w:rsidR="00000851" w:rsidRPr="00553416">
        <w:rPr>
          <w:i/>
          <w:sz w:val="22"/>
          <w:lang w:val="en-GB"/>
        </w:rPr>
        <w:t xml:space="preserve"> that are governed by the law of a State that is not a member of the European Economic Area</w:t>
      </w:r>
      <w:r w:rsidR="00944E51" w:rsidRPr="00553416">
        <w:rPr>
          <w:i/>
          <w:sz w:val="22"/>
          <w:lang w:val="en-GB"/>
        </w:rPr>
        <w:t>,</w:t>
      </w:r>
    </w:p>
    <w:p w14:paraId="3F4A7785" w14:textId="255F1133" w:rsidR="00F449D1" w:rsidRPr="00553416" w:rsidRDefault="00171D70" w:rsidP="00171D70">
      <w:pPr>
        <w:pStyle w:val="ListParagraph"/>
        <w:numPr>
          <w:ilvl w:val="0"/>
          <w:numId w:val="37"/>
        </w:numPr>
        <w:jc w:val="both"/>
        <w:rPr>
          <w:i/>
          <w:sz w:val="22"/>
          <w:lang w:val="en-US"/>
        </w:rPr>
      </w:pPr>
      <w:r w:rsidRPr="00553416">
        <w:rPr>
          <w:rFonts w:cs="Arial"/>
          <w:i/>
          <w:sz w:val="22"/>
          <w:lang w:val="en-GB"/>
        </w:rPr>
        <w:t>(mixed) financial holding companies and insurance holding companies</w:t>
      </w:r>
      <w:r w:rsidR="00F449D1" w:rsidRPr="00553416">
        <w:rPr>
          <w:i/>
          <w:sz w:val="22"/>
          <w:lang w:val="en-US"/>
        </w:rPr>
        <w:t>.</w:t>
      </w:r>
    </w:p>
    <w:p w14:paraId="669C7238" w14:textId="77777777" w:rsidR="0069170F" w:rsidRPr="00553416" w:rsidRDefault="0069170F" w:rsidP="00DA16CD">
      <w:pPr>
        <w:jc w:val="both"/>
        <w:rPr>
          <w:sz w:val="22"/>
          <w:lang w:val="en-US"/>
        </w:rPr>
      </w:pPr>
    </w:p>
    <w:p w14:paraId="32217A4E" w14:textId="55623B07" w:rsidR="009D0367" w:rsidRPr="00553416" w:rsidRDefault="00F06BA4" w:rsidP="00DA16CD">
      <w:pPr>
        <w:jc w:val="both"/>
        <w:rPr>
          <w:i/>
          <w:sz w:val="22"/>
          <w:u w:val="single"/>
          <w:lang w:val="en-GB"/>
        </w:rPr>
      </w:pPr>
      <w:r w:rsidRPr="00553416">
        <w:rPr>
          <w:i/>
          <w:sz w:val="22"/>
          <w:u w:val="single"/>
          <w:lang w:val="en-GB"/>
        </w:rPr>
        <w:t>Summary/Objectives</w:t>
      </w:r>
    </w:p>
    <w:p w14:paraId="32217A4F" w14:textId="77777777" w:rsidR="00512317" w:rsidRPr="00553416" w:rsidRDefault="00512317" w:rsidP="00DA16CD">
      <w:pPr>
        <w:jc w:val="both"/>
        <w:rPr>
          <w:i/>
          <w:sz w:val="22"/>
          <w:lang w:val="en-US"/>
        </w:rPr>
      </w:pPr>
    </w:p>
    <w:p w14:paraId="0FEBA4E4" w14:textId="4EE48AE3" w:rsidR="00ED27CC" w:rsidRPr="00553416" w:rsidRDefault="00ED27CC" w:rsidP="00ED27CC">
      <w:pPr>
        <w:jc w:val="both"/>
        <w:rPr>
          <w:i/>
          <w:sz w:val="22"/>
          <w:lang w:val="en-GB"/>
        </w:rPr>
      </w:pPr>
      <w:r w:rsidRPr="00553416">
        <w:rPr>
          <w:i/>
          <w:sz w:val="22"/>
          <w:lang w:val="en-GB"/>
        </w:rPr>
        <w:t>Th</w:t>
      </w:r>
      <w:r w:rsidR="00087A13" w:rsidRPr="00553416">
        <w:rPr>
          <w:i/>
          <w:sz w:val="22"/>
          <w:lang w:val="en-GB"/>
        </w:rPr>
        <w:t>e</w:t>
      </w:r>
      <w:r w:rsidRPr="00553416">
        <w:rPr>
          <w:i/>
          <w:sz w:val="22"/>
          <w:lang w:val="en-GB"/>
        </w:rPr>
        <w:t xml:space="preserve"> purpose of this circular is twofold: </w:t>
      </w:r>
      <w:r w:rsidR="00494A0D" w:rsidRPr="00553416">
        <w:rPr>
          <w:i/>
          <w:sz w:val="22"/>
          <w:lang w:val="en-GB"/>
        </w:rPr>
        <w:t xml:space="preserve">firstly </w:t>
      </w:r>
      <w:r w:rsidRPr="00553416">
        <w:rPr>
          <w:i/>
          <w:sz w:val="22"/>
          <w:lang w:val="en-GB"/>
        </w:rPr>
        <w:t xml:space="preserve">it introduces the "fit and proper" </w:t>
      </w:r>
      <w:r w:rsidR="00FE6D09" w:rsidRPr="00553416">
        <w:rPr>
          <w:i/>
          <w:sz w:val="22"/>
          <w:lang w:val="en-GB"/>
        </w:rPr>
        <w:t>handbook</w:t>
      </w:r>
      <w:r w:rsidRPr="00553416">
        <w:rPr>
          <w:i/>
          <w:sz w:val="22"/>
          <w:lang w:val="en-GB"/>
        </w:rPr>
        <w:t xml:space="preserve"> to replace circular NBB_2013_02 dated 17 June 2013 on standards on expertise and professional integrity for management committee members, directors, </w:t>
      </w:r>
      <w:r w:rsidR="00B14ADD" w:rsidRPr="00553416">
        <w:rPr>
          <w:i/>
          <w:sz w:val="22"/>
          <w:lang w:val="en-GB"/>
        </w:rPr>
        <w:t xml:space="preserve">responsible persons </w:t>
      </w:r>
      <w:r w:rsidRPr="00553416">
        <w:rPr>
          <w:i/>
          <w:sz w:val="22"/>
          <w:lang w:val="en-GB"/>
        </w:rPr>
        <w:t xml:space="preserve">of independent control functions and senior managers of financial institutions, and </w:t>
      </w:r>
      <w:r w:rsidR="00494A0D" w:rsidRPr="00553416">
        <w:rPr>
          <w:i/>
          <w:sz w:val="22"/>
          <w:lang w:val="en-GB"/>
        </w:rPr>
        <w:t xml:space="preserve">secondly it </w:t>
      </w:r>
      <w:r w:rsidRPr="00553416">
        <w:rPr>
          <w:i/>
          <w:sz w:val="22"/>
          <w:lang w:val="en-GB"/>
        </w:rPr>
        <w:t>transposes into the Belgian prudential framework the guidelines of the European Banking Authority (EBA) of 26 September 2017 on the assessment of the suitability of members of the management body and key function holders.</w:t>
      </w:r>
    </w:p>
    <w:p w14:paraId="5E2166EA" w14:textId="77777777" w:rsidR="00ED27CC" w:rsidRPr="00553416" w:rsidRDefault="00ED27CC" w:rsidP="00ED27CC">
      <w:pPr>
        <w:jc w:val="both"/>
        <w:rPr>
          <w:i/>
          <w:sz w:val="22"/>
          <w:lang w:val="en-GB"/>
        </w:rPr>
      </w:pPr>
    </w:p>
    <w:p w14:paraId="4275FFAA" w14:textId="30B0F91D" w:rsidR="00ED27CC" w:rsidRPr="00553416" w:rsidRDefault="00ED27CC" w:rsidP="00ED27CC">
      <w:pPr>
        <w:jc w:val="both"/>
        <w:rPr>
          <w:i/>
          <w:sz w:val="22"/>
          <w:lang w:val="en-GB"/>
        </w:rPr>
      </w:pPr>
      <w:r w:rsidRPr="00553416">
        <w:rPr>
          <w:i/>
          <w:sz w:val="22"/>
          <w:lang w:val="en-GB"/>
        </w:rPr>
        <w:lastRenderedPageBreak/>
        <w:t xml:space="preserve">Specifically for the insurance sector, this circular also transposes into the Belgian prudential framework, through the aforementioned </w:t>
      </w:r>
      <w:r w:rsidR="00FE6D09" w:rsidRPr="00553416">
        <w:rPr>
          <w:i/>
          <w:sz w:val="22"/>
          <w:lang w:val="en-GB"/>
        </w:rPr>
        <w:t>handbook</w:t>
      </w:r>
      <w:r w:rsidRPr="00553416">
        <w:rPr>
          <w:i/>
          <w:sz w:val="22"/>
          <w:lang w:val="en-GB"/>
        </w:rPr>
        <w:t>, EIOPA guidelines</w:t>
      </w:r>
      <w:r w:rsidR="00F97873" w:rsidRPr="00553416">
        <w:rPr>
          <w:i/>
          <w:sz w:val="22"/>
          <w:lang w:val="en-GB"/>
        </w:rPr>
        <w:t> </w:t>
      </w:r>
      <w:r w:rsidRPr="00553416">
        <w:rPr>
          <w:i/>
          <w:sz w:val="22"/>
          <w:lang w:val="en-GB"/>
        </w:rPr>
        <w:t>11 to 14 of 14 September 2015 on system of governance.</w:t>
      </w:r>
    </w:p>
    <w:p w14:paraId="43DE02BC" w14:textId="77777777" w:rsidR="00ED27CC" w:rsidRPr="00553416" w:rsidRDefault="00ED27CC" w:rsidP="00ED27CC">
      <w:pPr>
        <w:jc w:val="both"/>
        <w:rPr>
          <w:i/>
          <w:sz w:val="22"/>
          <w:lang w:val="en-GB"/>
        </w:rPr>
      </w:pPr>
    </w:p>
    <w:p w14:paraId="5F33DEE2" w14:textId="102BD11A" w:rsidR="00ED27CC" w:rsidRPr="00553416" w:rsidRDefault="00CC6E3E" w:rsidP="00ED27CC">
      <w:pPr>
        <w:jc w:val="both"/>
        <w:rPr>
          <w:i/>
          <w:sz w:val="22"/>
          <w:lang w:val="en-GB"/>
        </w:rPr>
      </w:pPr>
      <w:r w:rsidRPr="00553416">
        <w:rPr>
          <w:i/>
          <w:sz w:val="22"/>
          <w:lang w:val="en-GB"/>
        </w:rPr>
        <w:t>For reasons of consistency and level playing field, a cross-sectoral approach to the suitability requirements has been pu</w:t>
      </w:r>
      <w:r w:rsidR="00ED27CC" w:rsidRPr="00553416">
        <w:rPr>
          <w:i/>
          <w:sz w:val="22"/>
          <w:lang w:val="en-GB"/>
        </w:rPr>
        <w:t xml:space="preserve">rsued as far as possible, while taking into account national and international sectoral requirements applicable to the </w:t>
      </w:r>
      <w:r w:rsidR="00173E57" w:rsidRPr="00553416">
        <w:rPr>
          <w:i/>
          <w:sz w:val="22"/>
          <w:lang w:val="en-GB"/>
        </w:rPr>
        <w:t>various types of institution</w:t>
      </w:r>
      <w:r w:rsidR="00ED27CC" w:rsidRPr="00553416">
        <w:rPr>
          <w:i/>
          <w:sz w:val="22"/>
          <w:lang w:val="en-GB"/>
        </w:rPr>
        <w:t xml:space="preserve"> </w:t>
      </w:r>
      <w:r w:rsidR="00173E57" w:rsidRPr="00553416">
        <w:rPr>
          <w:i/>
          <w:sz w:val="22"/>
          <w:lang w:val="en-GB"/>
        </w:rPr>
        <w:t>under supervision</w:t>
      </w:r>
      <w:r w:rsidR="00ED27CC" w:rsidRPr="00553416">
        <w:rPr>
          <w:i/>
          <w:sz w:val="22"/>
          <w:lang w:val="en-GB"/>
        </w:rPr>
        <w:t xml:space="preserve">. Therefore, the </w:t>
      </w:r>
      <w:r w:rsidR="00FE6D09" w:rsidRPr="00553416">
        <w:rPr>
          <w:i/>
          <w:sz w:val="22"/>
          <w:lang w:val="en-GB"/>
        </w:rPr>
        <w:t>handbook</w:t>
      </w:r>
      <w:r w:rsidR="00ED27CC" w:rsidRPr="00553416">
        <w:rPr>
          <w:i/>
          <w:sz w:val="22"/>
          <w:lang w:val="en-GB"/>
        </w:rPr>
        <w:t xml:space="preserve"> is addressed to all financial institutions within its scope, </w:t>
      </w:r>
      <w:r w:rsidR="00BB5C86" w:rsidRPr="00553416">
        <w:rPr>
          <w:i/>
          <w:sz w:val="22"/>
          <w:lang w:val="en-GB"/>
        </w:rPr>
        <w:t xml:space="preserve">but at the same time </w:t>
      </w:r>
      <w:r w:rsidR="00ED27CC" w:rsidRPr="00553416">
        <w:rPr>
          <w:i/>
          <w:sz w:val="22"/>
          <w:lang w:val="en-GB"/>
        </w:rPr>
        <w:t xml:space="preserve">it contains </w:t>
      </w:r>
      <w:r w:rsidR="00BB5C86" w:rsidRPr="00553416">
        <w:rPr>
          <w:i/>
          <w:sz w:val="22"/>
          <w:lang w:val="en-GB"/>
        </w:rPr>
        <w:t xml:space="preserve">different </w:t>
      </w:r>
      <w:r w:rsidR="00ED27CC" w:rsidRPr="00553416">
        <w:rPr>
          <w:i/>
          <w:sz w:val="22"/>
          <w:lang w:val="en-GB"/>
        </w:rPr>
        <w:t xml:space="preserve">chapters that provide a comprehensive and separately readable overview of the suitability requirements applicable to the various </w:t>
      </w:r>
      <w:r w:rsidR="00BB5C86" w:rsidRPr="00553416">
        <w:rPr>
          <w:i/>
          <w:sz w:val="22"/>
          <w:lang w:val="en-GB"/>
        </w:rPr>
        <w:t>types of institution</w:t>
      </w:r>
      <w:r w:rsidR="00ED27CC" w:rsidRPr="00553416">
        <w:rPr>
          <w:i/>
          <w:sz w:val="22"/>
          <w:lang w:val="en-GB"/>
        </w:rPr>
        <w:t xml:space="preserve">. In doing so, the </w:t>
      </w:r>
      <w:r w:rsidR="00FE6D09" w:rsidRPr="00553416">
        <w:rPr>
          <w:i/>
          <w:sz w:val="22"/>
          <w:lang w:val="en-GB"/>
        </w:rPr>
        <w:t>handbook</w:t>
      </w:r>
      <w:r w:rsidR="00ED27CC" w:rsidRPr="00553416">
        <w:rPr>
          <w:i/>
          <w:sz w:val="22"/>
          <w:lang w:val="en-GB"/>
        </w:rPr>
        <w:t xml:space="preserve">, which can be consulted online, aims to guide institutions, in a user-friendly manner and using interactive references (links), through </w:t>
      </w:r>
      <w:r w:rsidR="00283BCC" w:rsidRPr="00553416">
        <w:rPr>
          <w:i/>
          <w:sz w:val="22"/>
          <w:lang w:val="en-GB"/>
        </w:rPr>
        <w:t xml:space="preserve">the </w:t>
      </w:r>
      <w:r w:rsidR="00ED27CC" w:rsidRPr="00553416">
        <w:rPr>
          <w:i/>
          <w:sz w:val="22"/>
          <w:lang w:val="en-GB"/>
        </w:rPr>
        <w:t xml:space="preserve">set of most relevant policy documents. </w:t>
      </w:r>
    </w:p>
    <w:p w14:paraId="63FA6522" w14:textId="77777777" w:rsidR="00ED27CC" w:rsidRPr="00553416" w:rsidRDefault="00ED27CC" w:rsidP="00ED27CC">
      <w:pPr>
        <w:jc w:val="both"/>
        <w:rPr>
          <w:i/>
          <w:sz w:val="22"/>
          <w:lang w:val="en-GB"/>
        </w:rPr>
      </w:pPr>
    </w:p>
    <w:p w14:paraId="387F46D1" w14:textId="3A389D3D" w:rsidR="00A562C0" w:rsidRPr="00553416" w:rsidRDefault="005504ED" w:rsidP="00DA16CD">
      <w:pPr>
        <w:jc w:val="both"/>
        <w:rPr>
          <w:i/>
          <w:iCs/>
          <w:sz w:val="22"/>
          <w:lang w:val="en-US" w:eastAsia="nl-BE"/>
        </w:rPr>
      </w:pPr>
      <w:r w:rsidRPr="00553416">
        <w:rPr>
          <w:i/>
          <w:sz w:val="22"/>
          <w:lang w:val="en-GB"/>
        </w:rPr>
        <w:t xml:space="preserve">EBA’s </w:t>
      </w:r>
      <w:r w:rsidR="00ED27CC" w:rsidRPr="00553416">
        <w:rPr>
          <w:i/>
          <w:sz w:val="22"/>
          <w:lang w:val="en-GB"/>
        </w:rPr>
        <w:t>Guidelines EBA/GL/2017/12 were published on 26</w:t>
      </w:r>
      <w:r w:rsidRPr="00553416">
        <w:rPr>
          <w:i/>
          <w:sz w:val="22"/>
          <w:lang w:val="en-GB"/>
        </w:rPr>
        <w:t> </w:t>
      </w:r>
      <w:r w:rsidR="00ED27CC" w:rsidRPr="00553416">
        <w:rPr>
          <w:i/>
          <w:sz w:val="22"/>
          <w:lang w:val="en-GB"/>
        </w:rPr>
        <w:t>September</w:t>
      </w:r>
      <w:r w:rsidRPr="00553416">
        <w:rPr>
          <w:i/>
          <w:sz w:val="22"/>
          <w:lang w:val="en-GB"/>
        </w:rPr>
        <w:t> </w:t>
      </w:r>
      <w:r w:rsidR="00ED27CC" w:rsidRPr="00553416">
        <w:rPr>
          <w:i/>
          <w:sz w:val="22"/>
          <w:lang w:val="en-GB"/>
        </w:rPr>
        <w:t xml:space="preserve">2017 </w:t>
      </w:r>
      <w:r w:rsidRPr="00553416">
        <w:rPr>
          <w:i/>
          <w:sz w:val="22"/>
          <w:lang w:val="en-GB"/>
        </w:rPr>
        <w:t xml:space="preserve">to </w:t>
      </w:r>
      <w:r w:rsidR="00ED27CC" w:rsidRPr="00553416">
        <w:rPr>
          <w:i/>
          <w:sz w:val="22"/>
          <w:lang w:val="en-GB"/>
        </w:rPr>
        <w:t xml:space="preserve">replace </w:t>
      </w:r>
      <w:r w:rsidRPr="00553416">
        <w:rPr>
          <w:i/>
          <w:sz w:val="22"/>
          <w:lang w:val="en-GB"/>
        </w:rPr>
        <w:t>EBA/</w:t>
      </w:r>
      <w:r w:rsidR="00ED27CC" w:rsidRPr="00553416">
        <w:rPr>
          <w:i/>
          <w:sz w:val="22"/>
          <w:lang w:val="en-GB"/>
        </w:rPr>
        <w:t>GL</w:t>
      </w:r>
      <w:r w:rsidRPr="00553416">
        <w:rPr>
          <w:i/>
          <w:sz w:val="22"/>
          <w:lang w:val="en-GB"/>
        </w:rPr>
        <w:t>/</w:t>
      </w:r>
      <w:r w:rsidR="00ED27CC" w:rsidRPr="00553416">
        <w:rPr>
          <w:i/>
          <w:sz w:val="22"/>
          <w:lang w:val="en-GB"/>
        </w:rPr>
        <w:t>2012/06 of 22</w:t>
      </w:r>
      <w:r w:rsidRPr="00553416">
        <w:rPr>
          <w:i/>
          <w:sz w:val="22"/>
          <w:lang w:val="en-GB"/>
        </w:rPr>
        <w:t> </w:t>
      </w:r>
      <w:r w:rsidR="00ED27CC" w:rsidRPr="00553416">
        <w:rPr>
          <w:i/>
          <w:sz w:val="22"/>
          <w:lang w:val="en-GB"/>
        </w:rPr>
        <w:t>November</w:t>
      </w:r>
      <w:r w:rsidRPr="00553416">
        <w:rPr>
          <w:i/>
          <w:sz w:val="22"/>
          <w:lang w:val="en-GB"/>
        </w:rPr>
        <w:t> </w:t>
      </w:r>
      <w:r w:rsidR="00ED27CC" w:rsidRPr="00553416">
        <w:rPr>
          <w:i/>
          <w:sz w:val="22"/>
          <w:lang w:val="en-GB"/>
        </w:rPr>
        <w:t xml:space="preserve">2012 with effect </w:t>
      </w:r>
      <w:r w:rsidRPr="00553416">
        <w:rPr>
          <w:i/>
          <w:sz w:val="22"/>
          <w:lang w:val="en-GB"/>
        </w:rPr>
        <w:t xml:space="preserve">as </w:t>
      </w:r>
      <w:r w:rsidR="00ED27CC" w:rsidRPr="00553416">
        <w:rPr>
          <w:i/>
          <w:sz w:val="22"/>
          <w:lang w:val="en-GB"/>
        </w:rPr>
        <w:t>from 30</w:t>
      </w:r>
      <w:r w:rsidRPr="00553416">
        <w:rPr>
          <w:i/>
          <w:sz w:val="22"/>
          <w:lang w:val="en-GB"/>
        </w:rPr>
        <w:t> June </w:t>
      </w:r>
      <w:r w:rsidR="00ED27CC" w:rsidRPr="00553416">
        <w:rPr>
          <w:i/>
          <w:sz w:val="22"/>
          <w:lang w:val="en-GB"/>
        </w:rPr>
        <w:t xml:space="preserve">2018. They specify how the suitability of members of the management body and holders of key positions in financial institutions is to be </w:t>
      </w:r>
      <w:r w:rsidR="00EC4C5F" w:rsidRPr="00553416">
        <w:rPr>
          <w:i/>
          <w:sz w:val="22"/>
          <w:lang w:val="en-GB"/>
        </w:rPr>
        <w:t>assessed</w:t>
      </w:r>
      <w:r w:rsidR="00ED27CC" w:rsidRPr="00553416">
        <w:rPr>
          <w:i/>
          <w:sz w:val="22"/>
          <w:lang w:val="en-GB"/>
        </w:rPr>
        <w:t xml:space="preserve">, as </w:t>
      </w:r>
      <w:r w:rsidR="00EC4C5F" w:rsidRPr="00553416">
        <w:rPr>
          <w:i/>
          <w:sz w:val="22"/>
          <w:lang w:val="en-GB"/>
        </w:rPr>
        <w:t xml:space="preserve">did </w:t>
      </w:r>
      <w:r w:rsidRPr="00553416">
        <w:rPr>
          <w:i/>
          <w:sz w:val="22"/>
          <w:lang w:val="en-GB"/>
        </w:rPr>
        <w:t xml:space="preserve">the </w:t>
      </w:r>
      <w:r w:rsidR="00ED27CC" w:rsidRPr="00553416">
        <w:rPr>
          <w:i/>
          <w:sz w:val="22"/>
          <w:lang w:val="en-GB"/>
        </w:rPr>
        <w:t xml:space="preserve">previous EBA guidelines. Financial institutions </w:t>
      </w:r>
      <w:r w:rsidRPr="00553416">
        <w:rPr>
          <w:i/>
          <w:sz w:val="22"/>
          <w:lang w:val="en-GB"/>
        </w:rPr>
        <w:t xml:space="preserve">that are </w:t>
      </w:r>
      <w:r w:rsidR="00ED27CC" w:rsidRPr="00553416">
        <w:rPr>
          <w:i/>
          <w:sz w:val="22"/>
          <w:lang w:val="en-GB"/>
        </w:rPr>
        <w:t xml:space="preserve">expressly </w:t>
      </w:r>
      <w:r w:rsidRPr="00553416">
        <w:rPr>
          <w:i/>
          <w:sz w:val="22"/>
          <w:lang w:val="en-GB"/>
        </w:rPr>
        <w:t xml:space="preserve">included in the scope of </w:t>
      </w:r>
      <w:r w:rsidR="00ED27CC" w:rsidRPr="00553416">
        <w:rPr>
          <w:i/>
          <w:sz w:val="22"/>
          <w:lang w:val="en-GB"/>
        </w:rPr>
        <w:t xml:space="preserve">these EBA </w:t>
      </w:r>
      <w:r w:rsidR="00B63419" w:rsidRPr="00553416">
        <w:rPr>
          <w:i/>
          <w:sz w:val="22"/>
          <w:lang w:val="en-GB"/>
        </w:rPr>
        <w:t>g</w:t>
      </w:r>
      <w:r w:rsidR="00ED27CC" w:rsidRPr="00553416">
        <w:rPr>
          <w:i/>
          <w:sz w:val="22"/>
          <w:lang w:val="en-GB"/>
        </w:rPr>
        <w:t xml:space="preserve">uidelines are therefore required to apply and comply with </w:t>
      </w:r>
      <w:r w:rsidRPr="00553416">
        <w:rPr>
          <w:i/>
          <w:sz w:val="22"/>
          <w:lang w:val="en-GB"/>
        </w:rPr>
        <w:t xml:space="preserve">these guidelines </w:t>
      </w:r>
      <w:r w:rsidR="00ED27CC" w:rsidRPr="00553416">
        <w:rPr>
          <w:i/>
          <w:sz w:val="22"/>
          <w:lang w:val="en-GB"/>
        </w:rPr>
        <w:t xml:space="preserve">in addition to and clarification of the legal provisions </w:t>
      </w:r>
      <w:r w:rsidRPr="00553416">
        <w:rPr>
          <w:i/>
          <w:sz w:val="22"/>
          <w:lang w:val="en-GB"/>
        </w:rPr>
        <w:t xml:space="preserve">on </w:t>
      </w:r>
      <w:r w:rsidR="00ED27CC" w:rsidRPr="00553416">
        <w:rPr>
          <w:i/>
          <w:sz w:val="22"/>
          <w:lang w:val="en-GB"/>
        </w:rPr>
        <w:t>suitability of the persons referred to above.</w:t>
      </w:r>
    </w:p>
    <w:p w14:paraId="385EBFA7" w14:textId="0C8B2AEA" w:rsidR="00553416" w:rsidRDefault="00553416">
      <w:pPr>
        <w:tabs>
          <w:tab w:val="clear" w:pos="284"/>
        </w:tabs>
        <w:spacing w:line="240" w:lineRule="auto"/>
        <w:rPr>
          <w:i/>
          <w:iCs/>
          <w:sz w:val="22"/>
          <w:lang w:val="en-US" w:eastAsia="nl-BE"/>
        </w:rPr>
      </w:pPr>
      <w:r>
        <w:rPr>
          <w:i/>
          <w:iCs/>
          <w:sz w:val="22"/>
          <w:lang w:val="en-US" w:eastAsia="nl-BE"/>
        </w:rPr>
        <w:br w:type="page"/>
      </w:r>
    </w:p>
    <w:p w14:paraId="4D5B3C1E" w14:textId="4EEE6D15" w:rsidR="0058360A" w:rsidRDefault="0058360A" w:rsidP="00553416">
      <w:pPr>
        <w:spacing w:before="200" w:line="240" w:lineRule="atLeast"/>
        <w:jc w:val="both"/>
        <w:rPr>
          <w:lang w:val="en-GB"/>
        </w:rPr>
      </w:pPr>
      <w:r>
        <w:rPr>
          <w:lang w:val="en-GB"/>
        </w:rPr>
        <w:lastRenderedPageBreak/>
        <w:t xml:space="preserve">Dear Sir, </w:t>
      </w:r>
    </w:p>
    <w:p w14:paraId="32217A59" w14:textId="7D34D559" w:rsidR="009D0367" w:rsidRPr="0019363A" w:rsidRDefault="0058360A" w:rsidP="0058360A">
      <w:pPr>
        <w:spacing w:line="240" w:lineRule="auto"/>
        <w:jc w:val="both"/>
        <w:rPr>
          <w:lang w:val="en-US"/>
        </w:rPr>
      </w:pPr>
      <w:r>
        <w:rPr>
          <w:lang w:val="en-GB"/>
        </w:rPr>
        <w:t>Dear</w:t>
      </w:r>
      <w:r w:rsidR="005504ED" w:rsidRPr="00A979C7">
        <w:rPr>
          <w:lang w:val="en-GB"/>
        </w:rPr>
        <w:t xml:space="preserve"> Madam,</w:t>
      </w:r>
    </w:p>
    <w:p w14:paraId="23D3C59B" w14:textId="3D8B19A9" w:rsidR="00E9460D" w:rsidRPr="00A979C7" w:rsidRDefault="00E9460D" w:rsidP="00553416">
      <w:pPr>
        <w:spacing w:before="200" w:line="240" w:lineRule="atLeast"/>
        <w:jc w:val="both"/>
        <w:rPr>
          <w:rFonts w:cs="Arial"/>
          <w:lang w:val="en-GB"/>
        </w:rPr>
      </w:pPr>
      <w:r w:rsidRPr="00A979C7">
        <w:rPr>
          <w:rFonts w:cs="Arial"/>
          <w:lang w:val="en-GB"/>
        </w:rPr>
        <w:t>In accordance with the various laws</w:t>
      </w:r>
      <w:r w:rsidR="00BC0B3C" w:rsidRPr="00A979C7">
        <w:rPr>
          <w:rFonts w:cs="Arial"/>
          <w:lang w:val="en-GB"/>
        </w:rPr>
        <w:t xml:space="preserve"> on supervision of financial institutions</w:t>
      </w:r>
      <w:r w:rsidRPr="00A979C7">
        <w:rPr>
          <w:rFonts w:cs="Arial"/>
          <w:lang w:val="en-GB"/>
        </w:rPr>
        <w:t xml:space="preserve">, directors, members of the management committee, </w:t>
      </w:r>
      <w:r w:rsidR="00B14ADD">
        <w:rPr>
          <w:rFonts w:cs="Arial"/>
          <w:lang w:val="en-GB"/>
        </w:rPr>
        <w:t>responsible persons</w:t>
      </w:r>
      <w:r w:rsidR="00B14ADD" w:rsidRPr="00A979C7">
        <w:rPr>
          <w:rFonts w:cs="Arial"/>
          <w:lang w:val="en-GB"/>
        </w:rPr>
        <w:t xml:space="preserve"> </w:t>
      </w:r>
      <w:r w:rsidRPr="00A979C7">
        <w:rPr>
          <w:rFonts w:cs="Arial"/>
          <w:lang w:val="en-GB"/>
        </w:rPr>
        <w:t>of independent control functions and senior managers of financial institutions must be assessed as being fit and proper.</w:t>
      </w:r>
    </w:p>
    <w:p w14:paraId="0E50A227" w14:textId="5F84C559" w:rsidR="00E9460D" w:rsidRPr="00A979C7" w:rsidRDefault="00E9460D" w:rsidP="00553416">
      <w:pPr>
        <w:spacing w:before="200" w:line="240" w:lineRule="atLeast"/>
        <w:jc w:val="both"/>
        <w:rPr>
          <w:rFonts w:cs="Arial"/>
          <w:lang w:val="en-GB"/>
        </w:rPr>
      </w:pPr>
      <w:r w:rsidRPr="00A979C7">
        <w:rPr>
          <w:rFonts w:cs="Arial"/>
          <w:lang w:val="en-GB"/>
        </w:rPr>
        <w:t xml:space="preserve">The subject of suitability has become highly topical over the last few years due </w:t>
      </w:r>
      <w:bookmarkStart w:id="1" w:name="_Hlk522800976"/>
      <w:r w:rsidR="00283BCC" w:rsidRPr="00A979C7">
        <w:rPr>
          <w:rFonts w:cs="Arial"/>
          <w:lang w:val="en-GB"/>
        </w:rPr>
        <w:t xml:space="preserve">inter alia </w:t>
      </w:r>
      <w:bookmarkEnd w:id="1"/>
      <w:r w:rsidRPr="00A979C7">
        <w:rPr>
          <w:rFonts w:cs="Arial"/>
          <w:lang w:val="en-GB"/>
        </w:rPr>
        <w:t>to the severe financial crisis which broke out in 2008 and led to an increased need to guarantee that financial institutions are managed as soundly as possible. A process involving thinking about this subject has emerged and various steps have been taken at international, European and national level.</w:t>
      </w:r>
    </w:p>
    <w:p w14:paraId="466979A6" w14:textId="77777777" w:rsidR="00E9460D" w:rsidRPr="00A979C7" w:rsidRDefault="00E9460D" w:rsidP="00553416">
      <w:pPr>
        <w:spacing w:before="200" w:line="240" w:lineRule="atLeast"/>
        <w:jc w:val="both"/>
        <w:rPr>
          <w:rFonts w:cs="Arial"/>
          <w:lang w:val="en-GB"/>
        </w:rPr>
      </w:pPr>
      <w:r w:rsidRPr="00A979C7">
        <w:rPr>
          <w:rFonts w:cs="Arial"/>
          <w:lang w:val="en-GB"/>
        </w:rPr>
        <w:t>In the meantime, a number of these initiatives have culminated in regulatory or policy documents which need to be applied nationally. It is therefore appropriate to have a certain form of codification in order to provide a clear overview of the whole situation.</w:t>
      </w:r>
    </w:p>
    <w:p w14:paraId="50EC396C" w14:textId="19E841E2" w:rsidR="00087A13" w:rsidRPr="00A979C7" w:rsidRDefault="00087A13" w:rsidP="00553416">
      <w:pPr>
        <w:spacing w:before="200" w:line="240" w:lineRule="atLeast"/>
        <w:jc w:val="both"/>
        <w:rPr>
          <w:lang w:val="en-GB"/>
        </w:rPr>
      </w:pPr>
      <w:r w:rsidRPr="00A979C7">
        <w:rPr>
          <w:lang w:val="en-GB"/>
        </w:rPr>
        <w:t>The purpose of this circular is twofold.</w:t>
      </w:r>
    </w:p>
    <w:p w14:paraId="2EF8DEAE" w14:textId="1ACE442C" w:rsidR="00D3140E" w:rsidRDefault="00087A13" w:rsidP="00553416">
      <w:pPr>
        <w:spacing w:before="200" w:line="240" w:lineRule="atLeast"/>
        <w:jc w:val="both"/>
        <w:rPr>
          <w:lang w:val="en-GB"/>
        </w:rPr>
      </w:pPr>
      <w:r w:rsidRPr="00087A13">
        <w:rPr>
          <w:lang w:val="en-GB"/>
        </w:rPr>
        <w:t xml:space="preserve">Firstly, it introduces the "fit and proper" </w:t>
      </w:r>
      <w:r w:rsidR="00FE6D09">
        <w:rPr>
          <w:lang w:val="en-GB"/>
        </w:rPr>
        <w:t>handbook</w:t>
      </w:r>
      <w:r w:rsidRPr="00087A13">
        <w:rPr>
          <w:lang w:val="en-GB"/>
        </w:rPr>
        <w:t xml:space="preserve">, </w:t>
      </w:r>
      <w:r w:rsidR="00EB1BBB">
        <w:rPr>
          <w:lang w:val="en-GB"/>
        </w:rPr>
        <w:t xml:space="preserve">which </w:t>
      </w:r>
      <w:r w:rsidRPr="00087A13">
        <w:rPr>
          <w:lang w:val="en-GB"/>
        </w:rPr>
        <w:t xml:space="preserve">aims to guide institutions, in a user-friendly manner and using interactive references (links), through </w:t>
      </w:r>
      <w:r w:rsidR="00D3140E">
        <w:rPr>
          <w:lang w:val="en-GB"/>
        </w:rPr>
        <w:t xml:space="preserve">the </w:t>
      </w:r>
      <w:r w:rsidR="00D3140E" w:rsidRPr="00D3140E">
        <w:rPr>
          <w:lang w:val="en-GB"/>
        </w:rPr>
        <w:t>set of national and international policy documents on professional suitability of in-scope persons</w:t>
      </w:r>
      <w:r w:rsidR="00EB1BBB">
        <w:rPr>
          <w:lang w:val="en-GB"/>
        </w:rPr>
        <w:t xml:space="preserve">. The </w:t>
      </w:r>
      <w:r w:rsidR="00FE6D09">
        <w:rPr>
          <w:lang w:val="en-GB"/>
        </w:rPr>
        <w:t>handbook</w:t>
      </w:r>
      <w:r w:rsidR="00EB1BBB">
        <w:rPr>
          <w:lang w:val="en-GB"/>
        </w:rPr>
        <w:t xml:space="preserve"> </w:t>
      </w:r>
      <w:r w:rsidR="00EB1BBB" w:rsidRPr="00087A13">
        <w:rPr>
          <w:lang w:val="en-GB"/>
        </w:rPr>
        <w:t>can be consulted online</w:t>
      </w:r>
      <w:r w:rsidRPr="00087A13">
        <w:rPr>
          <w:lang w:val="en-GB"/>
        </w:rPr>
        <w:t xml:space="preserve"> </w:t>
      </w:r>
      <w:r w:rsidR="00A07787">
        <w:rPr>
          <w:lang w:val="en-GB"/>
        </w:rPr>
        <w:t xml:space="preserve">and </w:t>
      </w:r>
      <w:r w:rsidRPr="00087A13">
        <w:rPr>
          <w:lang w:val="en-GB"/>
        </w:rPr>
        <w:t>replace</w:t>
      </w:r>
      <w:r w:rsidR="00A07787">
        <w:rPr>
          <w:lang w:val="en-GB"/>
        </w:rPr>
        <w:t>s</w:t>
      </w:r>
      <w:r w:rsidRPr="00087A13">
        <w:rPr>
          <w:lang w:val="en-GB"/>
        </w:rPr>
        <w:t xml:space="preserve"> circular NBB_2013_02 dated 17 June 2013 on standards on expertise and professional integrity for management committee members, directors, </w:t>
      </w:r>
      <w:r w:rsidR="00B14ADD">
        <w:rPr>
          <w:lang w:val="en-GB"/>
        </w:rPr>
        <w:t>responsible persons</w:t>
      </w:r>
      <w:r w:rsidR="00B14ADD" w:rsidRPr="00087A13">
        <w:rPr>
          <w:lang w:val="en-GB"/>
        </w:rPr>
        <w:t xml:space="preserve"> </w:t>
      </w:r>
      <w:r w:rsidRPr="00087A13">
        <w:rPr>
          <w:lang w:val="en-GB"/>
        </w:rPr>
        <w:t>of independent control functions and senior managers of financial institutions</w:t>
      </w:r>
      <w:r w:rsidR="00D3140E">
        <w:rPr>
          <w:lang w:val="en-GB"/>
        </w:rPr>
        <w:t>. T</w:t>
      </w:r>
      <w:r w:rsidR="00D3140E" w:rsidRPr="00D3140E">
        <w:rPr>
          <w:lang w:val="en-GB"/>
        </w:rPr>
        <w:t xml:space="preserve">he </w:t>
      </w:r>
      <w:r w:rsidR="00FE6D09">
        <w:rPr>
          <w:lang w:val="en-GB"/>
        </w:rPr>
        <w:t>handbook</w:t>
      </w:r>
      <w:r w:rsidR="00D3140E" w:rsidRPr="00D3140E">
        <w:rPr>
          <w:lang w:val="en-GB"/>
        </w:rPr>
        <w:t xml:space="preserve"> is addressed to all financial institutions within its scope, </w:t>
      </w:r>
      <w:r w:rsidR="00D3140E">
        <w:rPr>
          <w:lang w:val="en-GB"/>
        </w:rPr>
        <w:t xml:space="preserve">and </w:t>
      </w:r>
      <w:r w:rsidR="00D3140E" w:rsidRPr="00D3140E">
        <w:rPr>
          <w:lang w:val="en-GB"/>
        </w:rPr>
        <w:t xml:space="preserve">it contains </w:t>
      </w:r>
      <w:r w:rsidR="00BB5C86">
        <w:rPr>
          <w:lang w:val="en-GB"/>
        </w:rPr>
        <w:t xml:space="preserve">different </w:t>
      </w:r>
      <w:r w:rsidR="00D3140E" w:rsidRPr="00D3140E">
        <w:rPr>
          <w:lang w:val="en-GB"/>
        </w:rPr>
        <w:t xml:space="preserve">chapters that </w:t>
      </w:r>
      <w:r w:rsidR="00D3140E">
        <w:rPr>
          <w:lang w:val="en-GB"/>
        </w:rPr>
        <w:t xml:space="preserve">list </w:t>
      </w:r>
      <w:r w:rsidR="00D3140E" w:rsidRPr="00D3140E">
        <w:rPr>
          <w:lang w:val="en-GB"/>
        </w:rPr>
        <w:t>the suitability requirements applicable to the various types of institution.</w:t>
      </w:r>
    </w:p>
    <w:p w14:paraId="7EE8639D" w14:textId="3BB801AF" w:rsidR="00087A13" w:rsidRPr="00087A13" w:rsidRDefault="00D3140E" w:rsidP="00553416">
      <w:pPr>
        <w:spacing w:before="200" w:line="240" w:lineRule="atLeast"/>
        <w:jc w:val="both"/>
        <w:rPr>
          <w:lang w:val="en-GB"/>
        </w:rPr>
      </w:pPr>
      <w:r w:rsidRPr="00087A13">
        <w:rPr>
          <w:lang w:val="en-GB"/>
        </w:rPr>
        <w:t>Secondly</w:t>
      </w:r>
      <w:r w:rsidR="00087A13" w:rsidRPr="00087A13">
        <w:rPr>
          <w:lang w:val="en-GB"/>
        </w:rPr>
        <w:t xml:space="preserve">, </w:t>
      </w:r>
      <w:r>
        <w:rPr>
          <w:lang w:val="en-GB"/>
        </w:rPr>
        <w:t xml:space="preserve">this circular </w:t>
      </w:r>
      <w:r w:rsidR="00087A13" w:rsidRPr="00087A13">
        <w:rPr>
          <w:lang w:val="en-GB"/>
        </w:rPr>
        <w:t xml:space="preserve">transposes into the Belgian prudential framework guidelines </w:t>
      </w:r>
      <w:r w:rsidRPr="00D3140E">
        <w:rPr>
          <w:lang w:val="en-GB"/>
        </w:rPr>
        <w:t xml:space="preserve">EBA/GL/2017/12 </w:t>
      </w:r>
      <w:r w:rsidR="00087A13" w:rsidRPr="00087A13">
        <w:rPr>
          <w:lang w:val="en-GB"/>
        </w:rPr>
        <w:t>of the European Banking Authority (EBA) of 26 September 2017 on the assessment of the suitability of members of the management body and key function holders.</w:t>
      </w:r>
      <w:r>
        <w:rPr>
          <w:lang w:val="en-GB"/>
        </w:rPr>
        <w:t xml:space="preserve"> The </w:t>
      </w:r>
      <w:r w:rsidRPr="00D3140E">
        <w:rPr>
          <w:lang w:val="en-GB"/>
        </w:rPr>
        <w:t xml:space="preserve">guidelines </w:t>
      </w:r>
      <w:r>
        <w:rPr>
          <w:lang w:val="en-GB"/>
        </w:rPr>
        <w:t xml:space="preserve">are </w:t>
      </w:r>
      <w:r w:rsidRPr="00D3140E">
        <w:rPr>
          <w:lang w:val="en-GB"/>
        </w:rPr>
        <w:t>explicitly addressed to credit institutions</w:t>
      </w:r>
      <w:r>
        <w:rPr>
          <w:lang w:val="en-GB"/>
        </w:rPr>
        <w:t>,</w:t>
      </w:r>
      <w:r w:rsidRPr="00D3140E">
        <w:rPr>
          <w:lang w:val="en-GB"/>
        </w:rPr>
        <w:t xml:space="preserve"> </w:t>
      </w:r>
      <w:r w:rsidR="00642390">
        <w:rPr>
          <w:lang w:val="en-GB"/>
        </w:rPr>
        <w:t>investment firms</w:t>
      </w:r>
      <w:r w:rsidRPr="00D3140E">
        <w:rPr>
          <w:lang w:val="en-GB"/>
        </w:rPr>
        <w:t xml:space="preserve">, </w:t>
      </w:r>
      <w:r w:rsidR="00561763" w:rsidRPr="00561763">
        <w:rPr>
          <w:lang w:val="en-GB"/>
        </w:rPr>
        <w:t xml:space="preserve">financial holding companies and mixed financial holding companies. The circular includes in annex the full </w:t>
      </w:r>
      <w:r w:rsidR="008E6752">
        <w:rPr>
          <w:lang w:val="en-GB"/>
        </w:rPr>
        <w:t xml:space="preserve">English </w:t>
      </w:r>
      <w:r w:rsidR="00561763" w:rsidRPr="00561763">
        <w:rPr>
          <w:lang w:val="en-GB"/>
        </w:rPr>
        <w:t>text of the EBA guidelines. The annex to this circular is available on the website of the National Bank of Belgium</w:t>
      </w:r>
      <w:r w:rsidR="008E6752">
        <w:rPr>
          <w:lang w:val="en-GB"/>
        </w:rPr>
        <w:t>.</w:t>
      </w:r>
    </w:p>
    <w:p w14:paraId="7400725A" w14:textId="4FE598E3" w:rsidR="00087A13" w:rsidRPr="00087A13" w:rsidRDefault="008E6752" w:rsidP="00553416">
      <w:pPr>
        <w:spacing w:before="200" w:line="240" w:lineRule="atLeast"/>
        <w:jc w:val="both"/>
        <w:rPr>
          <w:lang w:val="en-GB"/>
        </w:rPr>
      </w:pPr>
      <w:r>
        <w:rPr>
          <w:lang w:val="en-GB"/>
        </w:rPr>
        <w:t>F</w:t>
      </w:r>
      <w:r w:rsidR="00087A13" w:rsidRPr="00087A13">
        <w:rPr>
          <w:lang w:val="en-GB"/>
        </w:rPr>
        <w:t xml:space="preserve">or the insurance sector, this circular also transposes into the Belgian prudential framework, through the aforementioned </w:t>
      </w:r>
      <w:r w:rsidR="00FE6D09">
        <w:rPr>
          <w:lang w:val="en-GB"/>
        </w:rPr>
        <w:t>handbook</w:t>
      </w:r>
      <w:r w:rsidR="00087A13" w:rsidRPr="00087A13">
        <w:rPr>
          <w:lang w:val="en-GB"/>
        </w:rPr>
        <w:t>, guidelines</w:t>
      </w:r>
      <w:r w:rsidR="00F97873">
        <w:rPr>
          <w:lang w:val="en-GB"/>
        </w:rPr>
        <w:t> </w:t>
      </w:r>
      <w:r w:rsidR="00087A13" w:rsidRPr="00087A13">
        <w:rPr>
          <w:lang w:val="en-GB"/>
        </w:rPr>
        <w:t xml:space="preserve">11 to 14 of </w:t>
      </w:r>
      <w:r w:rsidR="00205AEE">
        <w:rPr>
          <w:lang w:val="en-GB"/>
        </w:rPr>
        <w:t xml:space="preserve">the guidelines of </w:t>
      </w:r>
      <w:r w:rsidR="00087A13" w:rsidRPr="00087A13">
        <w:rPr>
          <w:lang w:val="en-GB"/>
        </w:rPr>
        <w:t>14 September 2015 on system of governance</w:t>
      </w:r>
      <w:r>
        <w:rPr>
          <w:lang w:val="en-GB"/>
        </w:rPr>
        <w:t xml:space="preserve"> as developed and published by the </w:t>
      </w:r>
      <w:r w:rsidRPr="008E6752">
        <w:rPr>
          <w:lang w:val="en-GB"/>
        </w:rPr>
        <w:t>European Insurance and Occupational Pensions Authority</w:t>
      </w:r>
      <w:r>
        <w:rPr>
          <w:lang w:val="en-GB"/>
        </w:rPr>
        <w:t xml:space="preserve"> (</w:t>
      </w:r>
      <w:r w:rsidRPr="00087A13">
        <w:rPr>
          <w:lang w:val="en-GB"/>
        </w:rPr>
        <w:t>EIOPA</w:t>
      </w:r>
      <w:r>
        <w:rPr>
          <w:lang w:val="en-GB"/>
        </w:rPr>
        <w:t>)</w:t>
      </w:r>
      <w:r w:rsidR="00087A13" w:rsidRPr="00087A13">
        <w:rPr>
          <w:lang w:val="en-GB"/>
        </w:rPr>
        <w:t>.</w:t>
      </w:r>
    </w:p>
    <w:p w14:paraId="32217A6A" w14:textId="19385BF7" w:rsidR="004F0108" w:rsidRPr="00F838F7" w:rsidRDefault="00B170C1" w:rsidP="00553416">
      <w:pPr>
        <w:pStyle w:val="ListParagraph"/>
        <w:numPr>
          <w:ilvl w:val="0"/>
          <w:numId w:val="31"/>
        </w:numPr>
        <w:tabs>
          <w:tab w:val="clear" w:pos="284"/>
        </w:tabs>
        <w:spacing w:before="200" w:line="240" w:lineRule="atLeast"/>
        <w:jc w:val="both"/>
        <w:rPr>
          <w:b/>
          <w:lang w:val="en-GB"/>
        </w:rPr>
      </w:pPr>
      <w:r w:rsidRPr="00F838F7">
        <w:rPr>
          <w:b/>
          <w:lang w:val="en-GB"/>
        </w:rPr>
        <w:t>Handb</w:t>
      </w:r>
      <w:r w:rsidR="00E9460D" w:rsidRPr="005F4B6D">
        <w:rPr>
          <w:b/>
          <w:lang w:val="en-GB"/>
        </w:rPr>
        <w:t>oo</w:t>
      </w:r>
      <w:r w:rsidRPr="00F838F7">
        <w:rPr>
          <w:b/>
          <w:lang w:val="en-GB"/>
        </w:rPr>
        <w:t>k</w:t>
      </w:r>
    </w:p>
    <w:p w14:paraId="146AFD31" w14:textId="017CB410" w:rsidR="009975FB" w:rsidRPr="009975FB" w:rsidRDefault="009975FB" w:rsidP="00553416">
      <w:pPr>
        <w:autoSpaceDE w:val="0"/>
        <w:autoSpaceDN w:val="0"/>
        <w:adjustRightInd w:val="0"/>
        <w:spacing w:before="200" w:line="240" w:lineRule="atLeast"/>
        <w:jc w:val="both"/>
        <w:rPr>
          <w:rFonts w:cs="Arial"/>
          <w:color w:val="000000"/>
          <w:lang w:val="en-GB"/>
        </w:rPr>
      </w:pPr>
      <w:r w:rsidRPr="009975FB">
        <w:rPr>
          <w:rFonts w:cs="Arial"/>
          <w:color w:val="000000"/>
          <w:lang w:val="en-GB"/>
        </w:rPr>
        <w:t xml:space="preserve">The </w:t>
      </w:r>
      <w:r w:rsidR="00FE6D09">
        <w:rPr>
          <w:rFonts w:cs="Arial"/>
          <w:color w:val="000000"/>
          <w:lang w:val="en-GB"/>
        </w:rPr>
        <w:t>handbook</w:t>
      </w:r>
      <w:r w:rsidRPr="009975FB">
        <w:rPr>
          <w:rFonts w:cs="Arial"/>
          <w:color w:val="000000"/>
          <w:lang w:val="en-GB"/>
        </w:rPr>
        <w:t xml:space="preserve"> consists of 5 chapters and is intended to bring together all applicable policy documents relating to suitability (European regulations, Belgian legislation, preparatory parliamentary work, regulations, circulars, international standards, etc.) and, where necessary, to clarify them. In addition, the handbook provides guidance on topics that are not as such the subject of specific policy documents. Furthermore, any policy documents that are not dealt with in this </w:t>
      </w:r>
      <w:r w:rsidR="00FE6D09">
        <w:rPr>
          <w:rFonts w:cs="Arial"/>
          <w:color w:val="000000"/>
          <w:lang w:val="en-GB"/>
        </w:rPr>
        <w:t>handbook</w:t>
      </w:r>
      <w:r w:rsidRPr="009975FB">
        <w:rPr>
          <w:rFonts w:cs="Arial"/>
          <w:color w:val="000000"/>
          <w:lang w:val="en-GB"/>
        </w:rPr>
        <w:t xml:space="preserve"> naturally remain applicable; likewise, the </w:t>
      </w:r>
      <w:r w:rsidR="00FE6D09">
        <w:rPr>
          <w:rFonts w:cs="Arial"/>
          <w:color w:val="000000"/>
          <w:lang w:val="en-GB"/>
        </w:rPr>
        <w:t>handbook</w:t>
      </w:r>
      <w:r w:rsidRPr="009975FB">
        <w:rPr>
          <w:rFonts w:cs="Arial"/>
          <w:color w:val="000000"/>
          <w:lang w:val="en-GB"/>
        </w:rPr>
        <w:t xml:space="preserve"> does not affect the competences of other supervisory authorities (e.g. the FSMA) as regards suitability.</w:t>
      </w:r>
    </w:p>
    <w:p w14:paraId="677FEFC7" w14:textId="2FB0FA1C" w:rsidR="009975FB" w:rsidRPr="009975FB" w:rsidRDefault="009975FB" w:rsidP="00553416">
      <w:pPr>
        <w:autoSpaceDE w:val="0"/>
        <w:autoSpaceDN w:val="0"/>
        <w:adjustRightInd w:val="0"/>
        <w:spacing w:before="200" w:line="240" w:lineRule="atLeast"/>
        <w:jc w:val="both"/>
        <w:rPr>
          <w:rFonts w:cs="Arial"/>
          <w:color w:val="000000"/>
          <w:lang w:val="en-GB"/>
        </w:rPr>
      </w:pPr>
      <w:r w:rsidRPr="009975FB">
        <w:rPr>
          <w:rFonts w:cs="Arial"/>
          <w:color w:val="000000"/>
          <w:lang w:val="en-GB"/>
        </w:rPr>
        <w:t xml:space="preserve">The </w:t>
      </w:r>
      <w:r w:rsidR="00FE6D09">
        <w:rPr>
          <w:rFonts w:cs="Arial"/>
          <w:color w:val="000000"/>
          <w:lang w:val="en-GB"/>
        </w:rPr>
        <w:t>handbook</w:t>
      </w:r>
      <w:r w:rsidRPr="009975FB">
        <w:rPr>
          <w:rFonts w:cs="Arial"/>
          <w:color w:val="000000"/>
          <w:lang w:val="en-GB"/>
        </w:rPr>
        <w:t xml:space="preserve"> does not in any way replace the underlying policy documents. Any changes to the latter will result in an amendment of the </w:t>
      </w:r>
      <w:r w:rsidR="00FE6D09">
        <w:rPr>
          <w:rFonts w:cs="Arial"/>
          <w:color w:val="000000"/>
          <w:lang w:val="en-GB"/>
        </w:rPr>
        <w:t>handbook</w:t>
      </w:r>
      <w:r w:rsidRPr="009975FB">
        <w:rPr>
          <w:rFonts w:cs="Arial"/>
          <w:color w:val="000000"/>
          <w:lang w:val="en-GB"/>
        </w:rPr>
        <w:t xml:space="preserve">. As this is in principle an online publication, the </w:t>
      </w:r>
      <w:r w:rsidR="00FE6D09">
        <w:rPr>
          <w:rFonts w:cs="Arial"/>
          <w:color w:val="000000"/>
          <w:lang w:val="en-GB"/>
        </w:rPr>
        <w:t>handbook</w:t>
      </w:r>
      <w:r w:rsidRPr="009975FB">
        <w:rPr>
          <w:rFonts w:cs="Arial"/>
          <w:color w:val="000000"/>
          <w:lang w:val="en-GB"/>
        </w:rPr>
        <w:t xml:space="preserve"> is intended to evolve as time goes without the need to change the reference and name each time, as is the case for circulars, for example. However, any changes will always be brought to the attention of the institutions. In addition, they will be clarified in a separate section, with an indication of the date of adjustment.</w:t>
      </w:r>
    </w:p>
    <w:p w14:paraId="321EA13A" w14:textId="3377E039" w:rsidR="009975FB" w:rsidRPr="009975FB" w:rsidRDefault="009975FB" w:rsidP="00553416">
      <w:pPr>
        <w:autoSpaceDE w:val="0"/>
        <w:autoSpaceDN w:val="0"/>
        <w:adjustRightInd w:val="0"/>
        <w:spacing w:before="200" w:line="240" w:lineRule="atLeast"/>
        <w:jc w:val="both"/>
        <w:rPr>
          <w:rFonts w:cs="Arial"/>
          <w:color w:val="000000"/>
          <w:lang w:val="en-GB"/>
        </w:rPr>
      </w:pPr>
      <w:r w:rsidRPr="009975FB">
        <w:rPr>
          <w:rFonts w:cs="Arial"/>
          <w:color w:val="000000"/>
          <w:lang w:val="en-GB"/>
        </w:rPr>
        <w:t xml:space="preserve">The </w:t>
      </w:r>
      <w:r w:rsidR="00FE6D09">
        <w:rPr>
          <w:rFonts w:cs="Arial"/>
          <w:color w:val="000000"/>
          <w:lang w:val="en-GB"/>
        </w:rPr>
        <w:t>handbook</w:t>
      </w:r>
      <w:r w:rsidRPr="009975FB">
        <w:rPr>
          <w:rFonts w:cs="Arial"/>
          <w:color w:val="000000"/>
          <w:lang w:val="en-GB"/>
        </w:rPr>
        <w:t xml:space="preserve"> is structured around the scope ratione personae: Chapters 2, 3 and 4 each contain an overview of those legal texts and policy documents on fitness and propriety that are relevant to the financial institutions concerned.</w:t>
      </w:r>
    </w:p>
    <w:p w14:paraId="234EEEFF" w14:textId="77777777" w:rsidR="009975FB" w:rsidRPr="00F838F7" w:rsidRDefault="009975FB" w:rsidP="00553416">
      <w:pPr>
        <w:autoSpaceDE w:val="0"/>
        <w:autoSpaceDN w:val="0"/>
        <w:adjustRightInd w:val="0"/>
        <w:spacing w:before="200" w:line="240" w:lineRule="atLeast"/>
        <w:jc w:val="both"/>
        <w:rPr>
          <w:rFonts w:cs="Arial"/>
          <w:color w:val="000000"/>
          <w:lang w:val="en-US"/>
        </w:rPr>
      </w:pPr>
    </w:p>
    <w:p w14:paraId="1DA99CDB" w14:textId="18E1B6F3" w:rsidR="00E42D5B" w:rsidRPr="00F838F7" w:rsidRDefault="00E42D5B" w:rsidP="00553416">
      <w:pPr>
        <w:autoSpaceDE w:val="0"/>
        <w:autoSpaceDN w:val="0"/>
        <w:adjustRightInd w:val="0"/>
        <w:spacing w:before="200" w:line="240" w:lineRule="atLeast"/>
        <w:jc w:val="both"/>
        <w:rPr>
          <w:rFonts w:cs="Arial"/>
          <w:lang w:val="en-GB"/>
        </w:rPr>
      </w:pPr>
      <w:r w:rsidRPr="00F838F7">
        <w:rPr>
          <w:rFonts w:cs="Arial"/>
          <w:lang w:val="en-GB"/>
        </w:rPr>
        <w:lastRenderedPageBreak/>
        <w:t xml:space="preserve">As mentioned above, the </w:t>
      </w:r>
      <w:r w:rsidR="00FE6D09">
        <w:rPr>
          <w:rFonts w:cs="Arial"/>
          <w:lang w:val="en-GB"/>
        </w:rPr>
        <w:t>handbook</w:t>
      </w:r>
      <w:r w:rsidRPr="00F838F7">
        <w:rPr>
          <w:rFonts w:cs="Arial"/>
          <w:lang w:val="en-GB"/>
        </w:rPr>
        <w:t xml:space="preserve"> also refers to a </w:t>
      </w:r>
      <w:r>
        <w:rPr>
          <w:rFonts w:cs="Arial"/>
          <w:lang w:val="en-GB"/>
        </w:rPr>
        <w:t xml:space="preserve">number </w:t>
      </w:r>
      <w:r w:rsidRPr="00F838F7">
        <w:rPr>
          <w:rFonts w:cs="Arial"/>
          <w:lang w:val="en-GB"/>
        </w:rPr>
        <w:t>of policy documents. Special attention is paid</w:t>
      </w:r>
      <w:r>
        <w:rPr>
          <w:rFonts w:cs="Arial"/>
          <w:lang w:val="en-GB"/>
        </w:rPr>
        <w:t> –</w:t>
      </w:r>
      <w:r w:rsidRPr="00F838F7">
        <w:rPr>
          <w:rFonts w:cs="Arial"/>
          <w:lang w:val="en-GB"/>
        </w:rPr>
        <w:t xml:space="preserve"> </w:t>
      </w:r>
      <w:r>
        <w:rPr>
          <w:rFonts w:cs="Arial"/>
          <w:lang w:val="en-GB"/>
        </w:rPr>
        <w:t xml:space="preserve">for </w:t>
      </w:r>
      <w:r w:rsidRPr="00F838F7">
        <w:rPr>
          <w:rFonts w:cs="Arial"/>
          <w:lang w:val="en-GB"/>
        </w:rPr>
        <w:t>the institutions concerned</w:t>
      </w:r>
      <w:r>
        <w:rPr>
          <w:rFonts w:cs="Arial"/>
          <w:lang w:val="en-GB"/>
        </w:rPr>
        <w:t> –</w:t>
      </w:r>
      <w:r w:rsidRPr="00F838F7">
        <w:rPr>
          <w:rFonts w:cs="Arial"/>
          <w:lang w:val="en-GB"/>
        </w:rPr>
        <w:t xml:space="preserve"> </w:t>
      </w:r>
      <w:r>
        <w:rPr>
          <w:rFonts w:cs="Arial"/>
          <w:lang w:val="en-GB"/>
        </w:rPr>
        <w:t xml:space="preserve">to </w:t>
      </w:r>
      <w:r w:rsidRPr="00F838F7">
        <w:rPr>
          <w:rFonts w:cs="Arial"/>
          <w:lang w:val="en-GB"/>
        </w:rPr>
        <w:t xml:space="preserve">guidelines </w:t>
      </w:r>
      <w:r w:rsidRPr="00701E2A">
        <w:rPr>
          <w:rFonts w:cs="Arial"/>
          <w:lang w:val="en-GB"/>
        </w:rPr>
        <w:t xml:space="preserve">EBA/GL/2017/12 </w:t>
      </w:r>
      <w:r w:rsidRPr="00F838F7">
        <w:rPr>
          <w:rFonts w:cs="Arial"/>
          <w:lang w:val="en-GB"/>
        </w:rPr>
        <w:t xml:space="preserve">(see below) and the guide </w:t>
      </w:r>
      <w:r w:rsidRPr="00E42D5B">
        <w:rPr>
          <w:rFonts w:cs="Arial"/>
          <w:lang w:val="en-GB"/>
        </w:rPr>
        <w:t xml:space="preserve">to fit and proper assessments </w:t>
      </w:r>
      <w:r w:rsidRPr="00F838F7">
        <w:rPr>
          <w:rFonts w:cs="Arial"/>
          <w:lang w:val="en-GB"/>
        </w:rPr>
        <w:t>(</w:t>
      </w:r>
      <w:r>
        <w:rPr>
          <w:rFonts w:cs="Arial"/>
          <w:lang w:val="en-GB"/>
        </w:rPr>
        <w:t xml:space="preserve">“SSM </w:t>
      </w:r>
      <w:r w:rsidRPr="00E42D5B">
        <w:rPr>
          <w:rFonts w:cs="Arial"/>
          <w:lang w:val="en-GB"/>
        </w:rPr>
        <w:t>Guide</w:t>
      </w:r>
      <w:r>
        <w:rPr>
          <w:rFonts w:cs="Arial"/>
          <w:lang w:val="en-GB"/>
        </w:rPr>
        <w:t>”</w:t>
      </w:r>
      <w:r w:rsidRPr="00F838F7">
        <w:rPr>
          <w:rFonts w:cs="Arial"/>
          <w:lang w:val="en-GB"/>
        </w:rPr>
        <w:t xml:space="preserve">) published in May 2018 by the European Central Bank (ECB). Both the NBB and the ECB will in practice rely on this </w:t>
      </w:r>
      <w:r>
        <w:rPr>
          <w:rFonts w:cs="Arial"/>
          <w:lang w:val="en-GB"/>
        </w:rPr>
        <w:t xml:space="preserve">SSM </w:t>
      </w:r>
      <w:r w:rsidRPr="00E42D5B">
        <w:rPr>
          <w:rFonts w:cs="Arial"/>
          <w:lang w:val="en-GB"/>
        </w:rPr>
        <w:t>Guide</w:t>
      </w:r>
      <w:r w:rsidRPr="00F838F7">
        <w:rPr>
          <w:rFonts w:cs="Arial"/>
          <w:lang w:val="en-GB"/>
        </w:rPr>
        <w:t>, and recommend that the institutions concerned take it into account.</w:t>
      </w:r>
    </w:p>
    <w:p w14:paraId="32217A72" w14:textId="719101C7" w:rsidR="006E714E" w:rsidRPr="00F838F7" w:rsidRDefault="00E42D5B" w:rsidP="00553416">
      <w:pPr>
        <w:autoSpaceDE w:val="0"/>
        <w:autoSpaceDN w:val="0"/>
        <w:adjustRightInd w:val="0"/>
        <w:spacing w:before="200" w:line="240" w:lineRule="atLeast"/>
        <w:jc w:val="both"/>
        <w:rPr>
          <w:rFonts w:cs="Arial"/>
          <w:lang w:val="en-US"/>
        </w:rPr>
      </w:pPr>
      <w:r w:rsidRPr="00E42D5B">
        <w:rPr>
          <w:lang w:val="en-GB"/>
        </w:rPr>
        <w:t xml:space="preserve">Specifically for the insurance sector, </w:t>
      </w:r>
      <w:r w:rsidR="00F97873" w:rsidRPr="00F97873">
        <w:rPr>
          <w:lang w:val="en-GB"/>
        </w:rPr>
        <w:t xml:space="preserve">the handbook </w:t>
      </w:r>
      <w:r w:rsidRPr="00E42D5B">
        <w:rPr>
          <w:lang w:val="en-GB"/>
        </w:rPr>
        <w:t xml:space="preserve">also </w:t>
      </w:r>
      <w:r w:rsidR="00F97873" w:rsidRPr="00E42D5B">
        <w:rPr>
          <w:lang w:val="en-GB"/>
        </w:rPr>
        <w:t xml:space="preserve">refers to a series of national and international policy documents that are relevant to the sector, including </w:t>
      </w:r>
      <w:r w:rsidRPr="00E42D5B">
        <w:rPr>
          <w:lang w:val="en-GB"/>
        </w:rPr>
        <w:t>EIOPA guidelines</w:t>
      </w:r>
      <w:r w:rsidR="00F97873">
        <w:rPr>
          <w:lang w:val="en-GB"/>
        </w:rPr>
        <w:t> </w:t>
      </w:r>
      <w:r w:rsidRPr="00E42D5B">
        <w:rPr>
          <w:lang w:val="en-GB"/>
        </w:rPr>
        <w:t>11 to 14 of 14 September 2015 on system of governance.</w:t>
      </w:r>
    </w:p>
    <w:p w14:paraId="541D8FCC" w14:textId="4E464470" w:rsidR="005A5AE3" w:rsidRPr="00F838F7" w:rsidRDefault="005A5AE3" w:rsidP="00553416">
      <w:pPr>
        <w:pStyle w:val="ListParagraph"/>
        <w:numPr>
          <w:ilvl w:val="0"/>
          <w:numId w:val="31"/>
        </w:numPr>
        <w:tabs>
          <w:tab w:val="clear" w:pos="284"/>
        </w:tabs>
        <w:autoSpaceDE w:val="0"/>
        <w:autoSpaceDN w:val="0"/>
        <w:adjustRightInd w:val="0"/>
        <w:spacing w:before="200" w:line="240" w:lineRule="atLeast"/>
        <w:jc w:val="both"/>
        <w:rPr>
          <w:rFonts w:ascii="ArialMT" w:hAnsi="ArialMT" w:cs="ArialMT"/>
          <w:b/>
          <w:lang w:val="en-US" w:eastAsia="nl-BE"/>
        </w:rPr>
      </w:pPr>
      <w:r w:rsidRPr="00F838F7">
        <w:rPr>
          <w:rFonts w:ascii="ArialMT" w:hAnsi="ArialMT" w:cs="ArialMT"/>
          <w:b/>
          <w:lang w:val="en-GB" w:eastAsia="nl-BE"/>
        </w:rPr>
        <w:t xml:space="preserve">EBA/GL/2017/12 </w:t>
      </w:r>
      <w:r w:rsidRPr="00A91770">
        <w:rPr>
          <w:rFonts w:ascii="ArialMT" w:hAnsi="ArialMT" w:cs="ArialMT"/>
          <w:b/>
          <w:lang w:val="en-GB" w:eastAsia="nl-BE"/>
        </w:rPr>
        <w:t>on the assessment of the suitability of members of the management body and key function holders</w:t>
      </w:r>
    </w:p>
    <w:p w14:paraId="2E2843D7" w14:textId="2F3686C6" w:rsidR="005A5AE3" w:rsidRDefault="005A5AE3" w:rsidP="00553416">
      <w:pPr>
        <w:tabs>
          <w:tab w:val="clear" w:pos="284"/>
        </w:tabs>
        <w:autoSpaceDE w:val="0"/>
        <w:autoSpaceDN w:val="0"/>
        <w:adjustRightInd w:val="0"/>
        <w:spacing w:before="200" w:line="240" w:lineRule="atLeast"/>
        <w:jc w:val="both"/>
        <w:rPr>
          <w:rFonts w:cs="Arial"/>
          <w:lang w:val="en-GB"/>
        </w:rPr>
      </w:pPr>
      <w:r w:rsidRPr="00CC1355">
        <w:rPr>
          <w:rFonts w:cs="Arial"/>
          <w:lang w:val="en-GB"/>
        </w:rPr>
        <w:t>Directives 2013/36/EU</w:t>
      </w:r>
      <w:r w:rsidRPr="00CC1355">
        <w:rPr>
          <w:rStyle w:val="FootnoteReference"/>
          <w:rFonts w:cs="Arial"/>
          <w:lang w:val="en-GB"/>
        </w:rPr>
        <w:footnoteReference w:id="2"/>
      </w:r>
      <w:r w:rsidRPr="00CC1355">
        <w:rPr>
          <w:rFonts w:cs="Arial"/>
          <w:lang w:val="en-GB"/>
        </w:rPr>
        <w:t xml:space="preserve"> ('CRD IV') and 2014/65/EU</w:t>
      </w:r>
      <w:r w:rsidRPr="00CC1355">
        <w:rPr>
          <w:rStyle w:val="FootnoteReference"/>
          <w:rFonts w:cs="Arial"/>
          <w:lang w:val="en-GB"/>
        </w:rPr>
        <w:footnoteReference w:id="3"/>
      </w:r>
      <w:r w:rsidRPr="00CC1355">
        <w:rPr>
          <w:rFonts w:cs="Arial"/>
          <w:lang w:val="en-GB"/>
        </w:rPr>
        <w:t xml:space="preserve"> ('MIFID II') lay down various provisions that empower the EBA to issue guidelines on individual and, where applicable, collective suitability requirements for members of the statutory governing body and key function holders within credit institutions, </w:t>
      </w:r>
      <w:r w:rsidR="00685F59">
        <w:rPr>
          <w:rFonts w:cs="Arial"/>
          <w:lang w:val="en-GB"/>
        </w:rPr>
        <w:t>investment firms</w:t>
      </w:r>
      <w:r w:rsidRPr="00CC1355">
        <w:rPr>
          <w:rFonts w:cs="Arial"/>
          <w:lang w:val="en-GB"/>
        </w:rPr>
        <w:t>, financial holding companies and mixed financial holding companies.</w:t>
      </w:r>
    </w:p>
    <w:p w14:paraId="72D97CB5" w14:textId="77777777" w:rsidR="005A5AE3" w:rsidRDefault="00CC1355" w:rsidP="00553416">
      <w:pPr>
        <w:tabs>
          <w:tab w:val="clear" w:pos="284"/>
        </w:tabs>
        <w:spacing w:before="200" w:line="240" w:lineRule="atLeast"/>
        <w:jc w:val="both"/>
        <w:rPr>
          <w:rFonts w:cs="Arial"/>
          <w:lang w:val="en-GB"/>
        </w:rPr>
      </w:pPr>
      <w:r w:rsidRPr="00CC1355">
        <w:rPr>
          <w:rFonts w:cs="Arial"/>
          <w:lang w:val="en-GB"/>
        </w:rPr>
        <w:t xml:space="preserve">In this context, the EBA issued on 26 September 2017 Guidelines EBA/GL/2017/12, which are to be applied as from 30 June 2018. </w:t>
      </w:r>
    </w:p>
    <w:p w14:paraId="59A8E39F" w14:textId="13524AE5" w:rsidR="005A5AE3" w:rsidRDefault="00CC1355" w:rsidP="00553416">
      <w:pPr>
        <w:tabs>
          <w:tab w:val="clear" w:pos="284"/>
        </w:tabs>
        <w:spacing w:before="200" w:line="240" w:lineRule="atLeast"/>
        <w:jc w:val="both"/>
        <w:rPr>
          <w:rFonts w:cs="Arial"/>
          <w:lang w:val="en-GB"/>
        </w:rPr>
      </w:pPr>
      <w:r w:rsidRPr="00CC1355">
        <w:rPr>
          <w:rFonts w:cs="Arial"/>
          <w:lang w:val="en-GB"/>
        </w:rPr>
        <w:t>The NBB will rely on these guidelines in its effective supervision of suitability requirements.</w:t>
      </w:r>
      <w:r w:rsidR="004F0C4B">
        <w:rPr>
          <w:rFonts w:cs="Arial"/>
          <w:lang w:val="en-GB"/>
        </w:rPr>
        <w:t xml:space="preserve"> </w:t>
      </w:r>
      <w:r w:rsidR="005A5AE3">
        <w:rPr>
          <w:rFonts w:cs="Arial"/>
          <w:lang w:val="en-GB"/>
        </w:rPr>
        <w:t>I</w:t>
      </w:r>
      <w:r w:rsidRPr="00CC1355">
        <w:rPr>
          <w:rFonts w:cs="Arial"/>
          <w:lang w:val="en-GB"/>
        </w:rPr>
        <w:t>nstitutions should therefore apply and comply with these guidelines as a complement to and clarification of the legal provisions on suitability requirements</w:t>
      </w:r>
      <w:r w:rsidR="005A5AE3">
        <w:rPr>
          <w:rFonts w:cs="Arial"/>
          <w:lang w:val="en-GB"/>
        </w:rPr>
        <w:t xml:space="preserve">, </w:t>
      </w:r>
      <w:r w:rsidR="005A5AE3" w:rsidRPr="00CC1355">
        <w:rPr>
          <w:rFonts w:cs="Arial"/>
          <w:lang w:val="en-GB"/>
        </w:rPr>
        <w:t>unless expressly provided otherwise</w:t>
      </w:r>
      <w:r w:rsidR="00685F59">
        <w:rPr>
          <w:rFonts w:cs="Arial"/>
          <w:lang w:val="en-GB"/>
        </w:rPr>
        <w:t xml:space="preserve"> by the law</w:t>
      </w:r>
      <w:r w:rsidR="005A5AE3">
        <w:rPr>
          <w:rFonts w:cs="Arial"/>
          <w:lang w:val="en-GB"/>
        </w:rPr>
        <w:t>. As regards the latter point, attention is drawn to the following:</w:t>
      </w:r>
    </w:p>
    <w:p w14:paraId="3973C3B8" w14:textId="060AB44B" w:rsidR="0080424F" w:rsidRPr="00F838F7" w:rsidRDefault="00F43908" w:rsidP="00553416">
      <w:pPr>
        <w:pStyle w:val="ListParagraph"/>
        <w:numPr>
          <w:ilvl w:val="0"/>
          <w:numId w:val="35"/>
        </w:numPr>
        <w:spacing w:before="200" w:line="240" w:lineRule="atLeast"/>
        <w:jc w:val="both"/>
        <w:rPr>
          <w:lang w:val="en-US"/>
        </w:rPr>
      </w:pPr>
      <w:r>
        <w:rPr>
          <w:lang w:val="en-GB"/>
        </w:rPr>
        <w:t xml:space="preserve">In calculating the </w:t>
      </w:r>
      <w:r w:rsidR="0080424F" w:rsidRPr="0080424F">
        <w:rPr>
          <w:lang w:val="en-GB"/>
        </w:rPr>
        <w:t xml:space="preserve">quantitative restrictions </w:t>
      </w:r>
      <w:r>
        <w:rPr>
          <w:lang w:val="en-GB"/>
        </w:rPr>
        <w:t xml:space="preserve">for </w:t>
      </w:r>
      <w:r w:rsidR="0080424F" w:rsidRPr="0080424F">
        <w:rPr>
          <w:lang w:val="en-GB"/>
        </w:rPr>
        <w:t>directorships</w:t>
      </w:r>
      <w:r>
        <w:rPr>
          <w:lang w:val="en-GB"/>
        </w:rPr>
        <w:t>,</w:t>
      </w:r>
      <w:r w:rsidR="0080424F" w:rsidRPr="0080424F">
        <w:rPr>
          <w:lang w:val="en-GB"/>
        </w:rPr>
        <w:t xml:space="preserve"> </w:t>
      </w:r>
      <w:r>
        <w:rPr>
          <w:lang w:val="en-GB"/>
        </w:rPr>
        <w:t xml:space="preserve">the EBA guidelines apply a calculation method for </w:t>
      </w:r>
      <w:r w:rsidR="0080424F" w:rsidRPr="0080424F">
        <w:rPr>
          <w:lang w:val="en-GB"/>
        </w:rPr>
        <w:t xml:space="preserve">the aggregation of different mandates exercised within the same group </w:t>
      </w:r>
      <w:r>
        <w:rPr>
          <w:lang w:val="en-GB"/>
        </w:rPr>
        <w:t xml:space="preserve">that differs from </w:t>
      </w:r>
      <w:r w:rsidR="0080424F" w:rsidRPr="0080424F">
        <w:rPr>
          <w:lang w:val="en-GB"/>
        </w:rPr>
        <w:t>the specific rules laid down in Article 62, § 9, of the Banking Law</w:t>
      </w:r>
      <w:r w:rsidR="003749A6" w:rsidRPr="00AB48E7">
        <w:rPr>
          <w:rStyle w:val="FootnoteReference"/>
        </w:rPr>
        <w:footnoteReference w:id="4"/>
      </w:r>
      <w:r w:rsidR="0080424F" w:rsidRPr="0080424F">
        <w:rPr>
          <w:lang w:val="en-GB"/>
        </w:rPr>
        <w:t>.</w:t>
      </w:r>
    </w:p>
    <w:p w14:paraId="3400971B" w14:textId="77777777" w:rsidR="0080424F" w:rsidRPr="00F838F7" w:rsidRDefault="0080424F" w:rsidP="00553416">
      <w:pPr>
        <w:pStyle w:val="ListParagraph"/>
        <w:spacing w:before="200" w:line="240" w:lineRule="atLeast"/>
        <w:ind w:left="644"/>
        <w:jc w:val="both"/>
        <w:rPr>
          <w:lang w:val="en-US"/>
        </w:rPr>
      </w:pPr>
    </w:p>
    <w:p w14:paraId="372C4ECE" w14:textId="63B342BD" w:rsidR="00583102" w:rsidRPr="00F838F7" w:rsidRDefault="00C14AFF" w:rsidP="00553416">
      <w:pPr>
        <w:pStyle w:val="ListParagraph"/>
        <w:numPr>
          <w:ilvl w:val="0"/>
          <w:numId w:val="36"/>
        </w:numPr>
        <w:spacing w:before="200" w:line="240" w:lineRule="atLeast"/>
        <w:jc w:val="both"/>
        <w:rPr>
          <w:lang w:val="en-US"/>
        </w:rPr>
      </w:pPr>
      <w:r w:rsidRPr="00F838F7">
        <w:rPr>
          <w:lang w:val="en-GB"/>
        </w:rPr>
        <w:t xml:space="preserve">The formal independence criteria laid down in the supervisory laws refer to the independence criteria as stipulated in </w:t>
      </w:r>
      <w:r w:rsidRPr="00C14AFF">
        <w:rPr>
          <w:lang w:val="en-GB"/>
        </w:rPr>
        <w:t>Article</w:t>
      </w:r>
      <w:r>
        <w:rPr>
          <w:lang w:val="en-GB"/>
        </w:rPr>
        <w:t> </w:t>
      </w:r>
      <w:r w:rsidRPr="00F838F7">
        <w:rPr>
          <w:lang w:val="en-GB"/>
        </w:rPr>
        <w:t xml:space="preserve">526ter of the </w:t>
      </w:r>
      <w:r>
        <w:rPr>
          <w:lang w:val="en-GB"/>
        </w:rPr>
        <w:t>Code on Companies</w:t>
      </w:r>
      <w:r w:rsidRPr="00F838F7">
        <w:rPr>
          <w:lang w:val="en-GB"/>
        </w:rPr>
        <w:t>. These criteria are not fully consistent (</w:t>
      </w:r>
      <w:r w:rsidR="00D558B4">
        <w:rPr>
          <w:lang w:val="en-GB"/>
        </w:rPr>
        <w:t xml:space="preserve">sometimes </w:t>
      </w:r>
      <w:r w:rsidRPr="00F838F7">
        <w:rPr>
          <w:lang w:val="en-GB"/>
        </w:rPr>
        <w:t>wider</w:t>
      </w:r>
      <w:r w:rsidR="00D558B4">
        <w:rPr>
          <w:lang w:val="en-GB"/>
        </w:rPr>
        <w:t>,</w:t>
      </w:r>
      <w:r w:rsidRPr="00F838F7">
        <w:rPr>
          <w:lang w:val="en-GB"/>
        </w:rPr>
        <w:t xml:space="preserve"> </w:t>
      </w:r>
      <w:r w:rsidR="00D558B4">
        <w:rPr>
          <w:lang w:val="en-GB"/>
        </w:rPr>
        <w:t xml:space="preserve">sometimes </w:t>
      </w:r>
      <w:r w:rsidRPr="00F838F7">
        <w:rPr>
          <w:lang w:val="en-GB"/>
        </w:rPr>
        <w:t>narrower) with the criteria used in §§</w:t>
      </w:r>
      <w:r>
        <w:rPr>
          <w:lang w:val="en-GB"/>
        </w:rPr>
        <w:t> </w:t>
      </w:r>
      <w:r w:rsidRPr="00F838F7">
        <w:rPr>
          <w:lang w:val="en-GB"/>
        </w:rPr>
        <w:t>91-93 of the EBA Guidelines for assessment of 'independence”.</w:t>
      </w:r>
      <w:r w:rsidR="00E9460D">
        <w:rPr>
          <w:lang w:val="en-GB"/>
        </w:rPr>
        <w:t xml:space="preserve"> </w:t>
      </w:r>
      <w:r w:rsidRPr="00701E2A">
        <w:rPr>
          <w:rFonts w:eastAsiaTheme="minorHAnsi" w:cs="Arial"/>
          <w:color w:val="000000" w:themeColor="text1"/>
          <w:lang w:val="en-GB"/>
        </w:rPr>
        <w:t>T</w:t>
      </w:r>
      <w:bookmarkStart w:id="2" w:name="_Hlk522605063"/>
      <w:r w:rsidRPr="00701E2A">
        <w:rPr>
          <w:rFonts w:eastAsiaTheme="minorHAnsi" w:cs="Arial"/>
          <w:color w:val="000000" w:themeColor="text1"/>
          <w:lang w:val="en-GB"/>
        </w:rPr>
        <w:t xml:space="preserve">o the extent that </w:t>
      </w:r>
      <w:r>
        <w:rPr>
          <w:rFonts w:eastAsiaTheme="minorHAnsi" w:cs="Arial"/>
          <w:color w:val="000000" w:themeColor="text1"/>
          <w:lang w:val="en-GB"/>
        </w:rPr>
        <w:t xml:space="preserve">the EBA </w:t>
      </w:r>
      <w:r w:rsidRPr="00701E2A">
        <w:rPr>
          <w:rFonts w:eastAsiaTheme="minorHAnsi" w:cs="Arial"/>
          <w:color w:val="000000" w:themeColor="text1"/>
          <w:lang w:val="en-GB"/>
        </w:rPr>
        <w:t xml:space="preserve">Guidelines lay down additional independence requirements on top of those required </w:t>
      </w:r>
      <w:r w:rsidR="00D558B4">
        <w:rPr>
          <w:rFonts w:eastAsiaTheme="minorHAnsi" w:cs="Arial"/>
          <w:color w:val="000000" w:themeColor="text1"/>
          <w:lang w:val="en-GB"/>
        </w:rPr>
        <w:t xml:space="preserve">by </w:t>
      </w:r>
      <w:r w:rsidRPr="00701E2A">
        <w:rPr>
          <w:rFonts w:eastAsiaTheme="minorHAnsi" w:cs="Arial"/>
          <w:color w:val="000000" w:themeColor="text1"/>
          <w:lang w:val="en-GB"/>
        </w:rPr>
        <w:t xml:space="preserve">Article 526ter of the Companies Code, these additional requirements should </w:t>
      </w:r>
      <w:r>
        <w:rPr>
          <w:rFonts w:eastAsiaTheme="minorHAnsi" w:cs="Arial"/>
          <w:color w:val="000000" w:themeColor="text1"/>
          <w:lang w:val="en-GB"/>
        </w:rPr>
        <w:t xml:space="preserve">therefore </w:t>
      </w:r>
      <w:r w:rsidRPr="00701E2A">
        <w:rPr>
          <w:rFonts w:eastAsiaTheme="minorHAnsi" w:cs="Arial"/>
          <w:color w:val="000000" w:themeColor="text1"/>
          <w:lang w:val="en-GB"/>
        </w:rPr>
        <w:t>be considered as (recommended) good practice</w:t>
      </w:r>
      <w:r>
        <w:rPr>
          <w:rFonts w:cs="Arial"/>
          <w:color w:val="000000" w:themeColor="text1"/>
          <w:lang w:val="en-GB"/>
        </w:rPr>
        <w:t xml:space="preserve"> (i.e. application on the grounds of the so</w:t>
      </w:r>
      <w:r>
        <w:rPr>
          <w:rFonts w:cs="Arial"/>
          <w:color w:val="000000" w:themeColor="text1"/>
          <w:lang w:val="en-GB"/>
        </w:rPr>
        <w:noBreakHyphen/>
        <w:t>called “comply or explain” principle)</w:t>
      </w:r>
      <w:r w:rsidRPr="00701E2A">
        <w:rPr>
          <w:rFonts w:eastAsiaTheme="minorHAnsi" w:cs="Arial"/>
          <w:color w:val="000000" w:themeColor="text1"/>
          <w:lang w:val="en-GB"/>
        </w:rPr>
        <w:t xml:space="preserve">, rather than </w:t>
      </w:r>
      <w:r w:rsidR="00D558B4">
        <w:rPr>
          <w:rFonts w:eastAsiaTheme="minorHAnsi" w:cs="Arial"/>
          <w:color w:val="000000" w:themeColor="text1"/>
          <w:lang w:val="en-GB"/>
        </w:rPr>
        <w:t xml:space="preserve">as </w:t>
      </w:r>
      <w:r w:rsidRPr="00701E2A">
        <w:rPr>
          <w:rFonts w:eastAsiaTheme="minorHAnsi" w:cs="Arial"/>
          <w:color w:val="000000" w:themeColor="text1"/>
          <w:lang w:val="en-GB"/>
        </w:rPr>
        <w:t>a formal legal requirement.</w:t>
      </w:r>
      <w:r>
        <w:rPr>
          <w:rFonts w:cs="Arial"/>
          <w:color w:val="000000" w:themeColor="text1"/>
          <w:lang w:val="en-GB"/>
        </w:rPr>
        <w:t xml:space="preserve"> In this respect</w:t>
      </w:r>
      <w:r w:rsidRPr="008426D8">
        <w:rPr>
          <w:rFonts w:cs="Arial"/>
          <w:color w:val="000000" w:themeColor="text1"/>
          <w:lang w:val="en-GB"/>
        </w:rPr>
        <w:t>, the institution should be mindful of the basic principle that not only the letter but also the spirit of the law must be respected: the formal criteria o</w:t>
      </w:r>
      <w:r>
        <w:rPr>
          <w:rFonts w:cs="Arial"/>
          <w:color w:val="000000" w:themeColor="text1"/>
          <w:lang w:val="en-GB"/>
        </w:rPr>
        <w:t>n</w:t>
      </w:r>
      <w:r w:rsidRPr="008426D8">
        <w:rPr>
          <w:rFonts w:cs="Arial"/>
          <w:color w:val="000000" w:themeColor="text1"/>
          <w:lang w:val="en-GB"/>
        </w:rPr>
        <w:t xml:space="preserve"> legal independence aim to guarantee </w:t>
      </w:r>
      <w:r w:rsidRPr="00F838F7">
        <w:rPr>
          <w:rFonts w:cs="Arial"/>
          <w:b/>
          <w:i/>
          <w:color w:val="000000" w:themeColor="text1"/>
          <w:lang w:val="en-GB"/>
        </w:rPr>
        <w:t>effective independence</w:t>
      </w:r>
      <w:r w:rsidRPr="008426D8">
        <w:rPr>
          <w:rFonts w:cs="Arial"/>
          <w:color w:val="000000" w:themeColor="text1"/>
          <w:lang w:val="en-GB"/>
        </w:rPr>
        <w:t xml:space="preserve"> of the directors concerned in their day-to-day functioning. However, if the institution </w:t>
      </w:r>
      <w:r>
        <w:rPr>
          <w:rFonts w:cs="Arial"/>
          <w:color w:val="000000" w:themeColor="text1"/>
          <w:lang w:val="en-GB"/>
        </w:rPr>
        <w:t xml:space="preserve">were to become </w:t>
      </w:r>
      <w:r w:rsidRPr="008426D8">
        <w:rPr>
          <w:rFonts w:cs="Arial"/>
          <w:color w:val="000000" w:themeColor="text1"/>
          <w:lang w:val="en-GB"/>
        </w:rPr>
        <w:t>aware of elements which might potentially compromise that effective independence, it should examine those elements and, where appropriate, justify why it considers that the ability of the person concerned to make an objective and balanced assessment and take independent decisions is not affected.</w:t>
      </w:r>
      <w:bookmarkEnd w:id="2"/>
    </w:p>
    <w:p w14:paraId="32217A80" w14:textId="3934D2F2" w:rsidR="003A142C" w:rsidRPr="00F838F7" w:rsidRDefault="00E9460D" w:rsidP="00553416">
      <w:pPr>
        <w:spacing w:before="200" w:line="240" w:lineRule="atLeast"/>
        <w:jc w:val="both"/>
        <w:rPr>
          <w:lang w:val="en-GB"/>
        </w:rPr>
      </w:pPr>
      <w:r w:rsidRPr="00E9460D">
        <w:rPr>
          <w:lang w:val="en-GB"/>
        </w:rPr>
        <w:t xml:space="preserve">These two </w:t>
      </w:r>
      <w:r>
        <w:rPr>
          <w:lang w:val="en-GB"/>
        </w:rPr>
        <w:t xml:space="preserve">singularities </w:t>
      </w:r>
      <w:r w:rsidRPr="00E9460D">
        <w:rPr>
          <w:lang w:val="en-GB"/>
        </w:rPr>
        <w:t>are explained in more detail in the fit and proper handbook under the headings 'independence and conflicts of interest' and 'amount of time invested'.</w:t>
      </w:r>
    </w:p>
    <w:p w14:paraId="0F52C6D7" w14:textId="4E197E9D" w:rsidR="00FB22E0" w:rsidRDefault="00E9460D" w:rsidP="00553416">
      <w:pPr>
        <w:spacing w:before="200" w:line="240" w:lineRule="atLeast"/>
        <w:jc w:val="both"/>
        <w:rPr>
          <w:lang w:val="en-GB"/>
        </w:rPr>
      </w:pPr>
      <w:r w:rsidRPr="00E2474B">
        <w:rPr>
          <w:lang w:val="en-GB"/>
        </w:rPr>
        <w:t xml:space="preserve">For reasons of consistency and level playing field, a cross-sectoral approach to the suitability requirements has been pursued as far as possible. </w:t>
      </w:r>
      <w:r w:rsidR="00D558B4">
        <w:rPr>
          <w:lang w:val="en-GB"/>
        </w:rPr>
        <w:t xml:space="preserve">The </w:t>
      </w:r>
      <w:r w:rsidR="00D558B4" w:rsidRPr="00D3140E">
        <w:rPr>
          <w:lang w:val="en-GB"/>
        </w:rPr>
        <w:t xml:space="preserve">guidelines </w:t>
      </w:r>
      <w:r w:rsidR="00D558B4">
        <w:rPr>
          <w:lang w:val="en-GB"/>
        </w:rPr>
        <w:t xml:space="preserve">are </w:t>
      </w:r>
      <w:r w:rsidR="00D558B4" w:rsidRPr="00D3140E">
        <w:rPr>
          <w:lang w:val="en-GB"/>
        </w:rPr>
        <w:t xml:space="preserve">explicitly addressed to credit institutions </w:t>
      </w:r>
      <w:r w:rsidR="00D558B4">
        <w:rPr>
          <w:lang w:val="en-GB"/>
        </w:rPr>
        <w:t xml:space="preserve">and investment firms, but at the same time they </w:t>
      </w:r>
      <w:r w:rsidR="00D558B4" w:rsidRPr="00F838F7">
        <w:rPr>
          <w:rFonts w:cs="Arial"/>
          <w:lang w:val="en-GB"/>
        </w:rPr>
        <w:t>contain good practices which should be widely replicated. Consequently, the NBB also recommends that the other institutions should wherever possible apply, mutatis mutandis, the good practices</w:t>
      </w:r>
      <w:r w:rsidR="009E6317">
        <w:rPr>
          <w:rFonts w:cs="Arial"/>
          <w:lang w:val="en-GB"/>
        </w:rPr>
        <w:t xml:space="preserve"> laid down in these guidelines, </w:t>
      </w:r>
      <w:r w:rsidR="00D558B4" w:rsidRPr="00F838F7">
        <w:rPr>
          <w:rFonts w:cs="Arial"/>
          <w:lang w:val="en-GB"/>
        </w:rPr>
        <w:t xml:space="preserve">taking into account the specific proportionality variables </w:t>
      </w:r>
      <w:r w:rsidR="009E6317">
        <w:rPr>
          <w:rFonts w:cs="Arial"/>
          <w:lang w:val="en-GB"/>
        </w:rPr>
        <w:t>mentioned in the fit and proper handbook.</w:t>
      </w:r>
    </w:p>
    <w:p w14:paraId="0EC31FA5" w14:textId="78BDC4ED" w:rsidR="00E9460D" w:rsidRDefault="00E9460D" w:rsidP="00553416">
      <w:pPr>
        <w:spacing w:before="200" w:line="240" w:lineRule="atLeast"/>
        <w:jc w:val="both"/>
        <w:rPr>
          <w:lang w:val="en-GB"/>
        </w:rPr>
      </w:pPr>
    </w:p>
    <w:p w14:paraId="34485C83" w14:textId="24C2DFF5" w:rsidR="00D12F2B" w:rsidRPr="00F838F7" w:rsidRDefault="00353C2F" w:rsidP="00553416">
      <w:pPr>
        <w:pStyle w:val="ListParagraph"/>
        <w:numPr>
          <w:ilvl w:val="0"/>
          <w:numId w:val="31"/>
        </w:numPr>
        <w:spacing w:before="200" w:line="240" w:lineRule="atLeast"/>
        <w:jc w:val="both"/>
        <w:rPr>
          <w:b/>
          <w:lang w:val="en-US"/>
        </w:rPr>
      </w:pPr>
      <w:r>
        <w:rPr>
          <w:b/>
          <w:lang w:val="en-GB"/>
        </w:rPr>
        <w:t xml:space="preserve">The EBA guidelines </w:t>
      </w:r>
      <w:r w:rsidRPr="00353C2F">
        <w:rPr>
          <w:b/>
          <w:lang w:val="en-GB"/>
        </w:rPr>
        <w:t xml:space="preserve">on system of governance </w:t>
      </w:r>
      <w:r>
        <w:rPr>
          <w:b/>
          <w:lang w:val="en-GB"/>
        </w:rPr>
        <w:t>and the specific aspects in the context of insurance</w:t>
      </w:r>
    </w:p>
    <w:p w14:paraId="5B4BBC02" w14:textId="7E83F8F7" w:rsidR="009811B0" w:rsidRPr="00353C2F" w:rsidRDefault="009811B0" w:rsidP="00553416">
      <w:pPr>
        <w:spacing w:before="200" w:line="240" w:lineRule="atLeast"/>
        <w:jc w:val="both"/>
        <w:rPr>
          <w:lang w:val="en-GB"/>
        </w:rPr>
      </w:pPr>
      <w:r w:rsidRPr="00353C2F">
        <w:rPr>
          <w:lang w:val="en-GB"/>
        </w:rPr>
        <w:t>Directive 2009/138/EU</w:t>
      </w:r>
      <w:r w:rsidRPr="009526C0">
        <w:rPr>
          <w:rStyle w:val="FootnoteReference"/>
          <w:lang w:val="fr-FR"/>
        </w:rPr>
        <w:footnoteReference w:id="5"/>
      </w:r>
      <w:r w:rsidRPr="00353C2F">
        <w:rPr>
          <w:lang w:val="en-GB"/>
        </w:rPr>
        <w:t xml:space="preserve"> (</w:t>
      </w:r>
      <w:r>
        <w:rPr>
          <w:lang w:val="en-GB"/>
        </w:rPr>
        <w:t>“</w:t>
      </w:r>
      <w:r w:rsidRPr="00353C2F">
        <w:rPr>
          <w:lang w:val="en-GB"/>
        </w:rPr>
        <w:t>Solvency II</w:t>
      </w:r>
      <w:r>
        <w:rPr>
          <w:lang w:val="en-GB"/>
        </w:rPr>
        <w:t>”</w:t>
      </w:r>
      <w:r w:rsidRPr="00353C2F">
        <w:rPr>
          <w:lang w:val="en-GB"/>
        </w:rPr>
        <w:t>) and Delegated Regulation 2015/35/EU</w:t>
      </w:r>
      <w:r w:rsidRPr="009526C0">
        <w:rPr>
          <w:rStyle w:val="FootnoteReference"/>
          <w:lang w:val="fr-FR"/>
        </w:rPr>
        <w:footnoteReference w:id="6"/>
      </w:r>
      <w:r w:rsidRPr="00353C2F">
        <w:rPr>
          <w:lang w:val="en-GB"/>
        </w:rPr>
        <w:t xml:space="preserve"> contain a series of requirements </w:t>
      </w:r>
      <w:r>
        <w:rPr>
          <w:lang w:val="en-GB"/>
        </w:rPr>
        <w:t xml:space="preserve">on fitness </w:t>
      </w:r>
      <w:r w:rsidRPr="00353C2F">
        <w:rPr>
          <w:lang w:val="en-GB"/>
        </w:rPr>
        <w:t>(</w:t>
      </w:r>
      <w:r>
        <w:rPr>
          <w:lang w:val="en-GB"/>
        </w:rPr>
        <w:t xml:space="preserve">both </w:t>
      </w:r>
      <w:r w:rsidRPr="00353C2F">
        <w:rPr>
          <w:lang w:val="en-GB"/>
        </w:rPr>
        <w:t xml:space="preserve">individual and collective) and </w:t>
      </w:r>
      <w:r>
        <w:rPr>
          <w:lang w:val="en-GB"/>
        </w:rPr>
        <w:t xml:space="preserve">propriety </w:t>
      </w:r>
      <w:r w:rsidRPr="00353C2F">
        <w:rPr>
          <w:lang w:val="en-GB"/>
        </w:rPr>
        <w:t xml:space="preserve">for </w:t>
      </w:r>
      <w:r>
        <w:rPr>
          <w:lang w:val="en-GB"/>
        </w:rPr>
        <w:t xml:space="preserve">managers </w:t>
      </w:r>
      <w:r w:rsidR="00721541">
        <w:rPr>
          <w:lang w:val="en-GB"/>
        </w:rPr>
        <w:t xml:space="preserve">as well as </w:t>
      </w:r>
      <w:r w:rsidR="00B14ADD">
        <w:rPr>
          <w:lang w:val="en-GB"/>
        </w:rPr>
        <w:t xml:space="preserve">responsible persons </w:t>
      </w:r>
      <w:r>
        <w:rPr>
          <w:lang w:val="en-GB"/>
        </w:rPr>
        <w:t xml:space="preserve">of </w:t>
      </w:r>
      <w:r w:rsidRPr="00353C2F">
        <w:rPr>
          <w:lang w:val="en-GB"/>
        </w:rPr>
        <w:t xml:space="preserve">independent </w:t>
      </w:r>
      <w:r>
        <w:rPr>
          <w:lang w:val="en-GB"/>
        </w:rPr>
        <w:t xml:space="preserve">control </w:t>
      </w:r>
      <w:r w:rsidRPr="00353C2F">
        <w:rPr>
          <w:lang w:val="en-GB"/>
        </w:rPr>
        <w:t>function</w:t>
      </w:r>
      <w:r>
        <w:rPr>
          <w:lang w:val="en-GB"/>
        </w:rPr>
        <w:t>s</w:t>
      </w:r>
      <w:r w:rsidR="00721541" w:rsidRPr="00721541">
        <w:rPr>
          <w:lang w:val="en-GB"/>
        </w:rPr>
        <w:t xml:space="preserve"> </w:t>
      </w:r>
      <w:r w:rsidR="00721541">
        <w:rPr>
          <w:lang w:val="en-GB"/>
        </w:rPr>
        <w:t xml:space="preserve">in </w:t>
      </w:r>
      <w:r w:rsidR="00721541" w:rsidRPr="00353C2F">
        <w:rPr>
          <w:lang w:val="en-GB"/>
        </w:rPr>
        <w:t>insurance and reinsurance undertakings</w:t>
      </w:r>
      <w:r w:rsidRPr="00353C2F">
        <w:rPr>
          <w:lang w:val="en-GB"/>
        </w:rPr>
        <w:t>.</w:t>
      </w:r>
    </w:p>
    <w:p w14:paraId="3EE6F550" w14:textId="5AE5A75C" w:rsidR="009811B0" w:rsidRPr="00353C2F" w:rsidRDefault="009811B0" w:rsidP="00553416">
      <w:pPr>
        <w:spacing w:before="200" w:line="240" w:lineRule="atLeast"/>
        <w:jc w:val="both"/>
        <w:rPr>
          <w:lang w:val="en-GB"/>
        </w:rPr>
      </w:pPr>
      <w:r w:rsidRPr="00353C2F">
        <w:rPr>
          <w:lang w:val="en-GB"/>
        </w:rPr>
        <w:t xml:space="preserve">This framework was completed by </w:t>
      </w:r>
      <w:r>
        <w:rPr>
          <w:lang w:val="en-GB"/>
        </w:rPr>
        <w:t>EIOPA’s</w:t>
      </w:r>
      <w:r w:rsidRPr="00353C2F">
        <w:rPr>
          <w:lang w:val="en-GB"/>
        </w:rPr>
        <w:t xml:space="preserve"> guidelines of 14</w:t>
      </w:r>
      <w:r>
        <w:rPr>
          <w:lang w:val="en-GB"/>
        </w:rPr>
        <w:t> </w:t>
      </w:r>
      <w:r w:rsidRPr="00353C2F">
        <w:rPr>
          <w:lang w:val="en-GB"/>
        </w:rPr>
        <w:t>September</w:t>
      </w:r>
      <w:r>
        <w:rPr>
          <w:lang w:val="en-GB"/>
        </w:rPr>
        <w:t> </w:t>
      </w:r>
      <w:r w:rsidRPr="00353C2F">
        <w:rPr>
          <w:lang w:val="en-GB"/>
        </w:rPr>
        <w:t>2015 on system</w:t>
      </w:r>
      <w:r>
        <w:rPr>
          <w:lang w:val="en-GB"/>
        </w:rPr>
        <w:t xml:space="preserve"> of </w:t>
      </w:r>
      <w:r w:rsidRPr="00353C2F">
        <w:rPr>
          <w:lang w:val="en-GB"/>
        </w:rPr>
        <w:t>governance, which include 4</w:t>
      </w:r>
      <w:r>
        <w:rPr>
          <w:lang w:val="en-GB"/>
        </w:rPr>
        <w:t> </w:t>
      </w:r>
      <w:r w:rsidRPr="00353C2F">
        <w:rPr>
          <w:lang w:val="en-GB"/>
        </w:rPr>
        <w:t xml:space="preserve">specific provisions on </w:t>
      </w:r>
      <w:r>
        <w:rPr>
          <w:lang w:val="en-GB"/>
        </w:rPr>
        <w:t>fitness and propriety</w:t>
      </w:r>
      <w:r w:rsidRPr="009526C0">
        <w:rPr>
          <w:rStyle w:val="FootnoteReference"/>
          <w:lang w:val="fr-FR"/>
        </w:rPr>
        <w:footnoteReference w:id="7"/>
      </w:r>
      <w:r w:rsidRPr="00353C2F">
        <w:rPr>
          <w:lang w:val="en-GB"/>
        </w:rPr>
        <w:t xml:space="preserve">: (i) requirements </w:t>
      </w:r>
      <w:r>
        <w:rPr>
          <w:lang w:val="en-GB"/>
        </w:rPr>
        <w:t xml:space="preserve">on </w:t>
      </w:r>
      <w:r w:rsidRPr="00353C2F">
        <w:rPr>
          <w:lang w:val="en-GB"/>
        </w:rPr>
        <w:t xml:space="preserve">collective </w:t>
      </w:r>
      <w:r>
        <w:rPr>
          <w:lang w:val="en-GB"/>
        </w:rPr>
        <w:t xml:space="preserve">fitness </w:t>
      </w:r>
      <w:r w:rsidRPr="00353C2F">
        <w:rPr>
          <w:lang w:val="en-GB"/>
        </w:rPr>
        <w:t xml:space="preserve">within the board of directors and the management committee, (ii) rules </w:t>
      </w:r>
      <w:r>
        <w:rPr>
          <w:lang w:val="en-GB"/>
        </w:rPr>
        <w:t xml:space="preserve">on </w:t>
      </w:r>
      <w:r w:rsidRPr="00353C2F">
        <w:rPr>
          <w:lang w:val="en-GB"/>
        </w:rPr>
        <w:t xml:space="preserve">content of the fit &amp; proper policy to be developed by insurance and reinsurance undertakings, (iii) </w:t>
      </w:r>
      <w:r>
        <w:rPr>
          <w:lang w:val="en-GB"/>
        </w:rPr>
        <w:t xml:space="preserve">specific </w:t>
      </w:r>
      <w:r w:rsidRPr="00353C2F">
        <w:rPr>
          <w:lang w:val="en-GB"/>
        </w:rPr>
        <w:t xml:space="preserve">rules </w:t>
      </w:r>
      <w:r>
        <w:rPr>
          <w:lang w:val="en-GB"/>
        </w:rPr>
        <w:t xml:space="preserve">on </w:t>
      </w:r>
      <w:r w:rsidRPr="00353C2F">
        <w:rPr>
          <w:lang w:val="en-GB"/>
        </w:rPr>
        <w:t xml:space="preserve">assessing the suitability of the </w:t>
      </w:r>
      <w:r>
        <w:rPr>
          <w:lang w:val="en-GB"/>
        </w:rPr>
        <w:t>“</w:t>
      </w:r>
      <w:r w:rsidRPr="00F846F3">
        <w:rPr>
          <w:lang w:val="en-GB"/>
        </w:rPr>
        <w:t>relay person</w:t>
      </w:r>
      <w:r>
        <w:rPr>
          <w:lang w:val="en-GB"/>
        </w:rPr>
        <w:t>”</w:t>
      </w:r>
      <w:r w:rsidRPr="00353C2F">
        <w:rPr>
          <w:lang w:val="en-GB"/>
        </w:rPr>
        <w:t xml:space="preserve"> responsible for monitoring outsourcing of an independent </w:t>
      </w:r>
      <w:r>
        <w:rPr>
          <w:lang w:val="en-GB"/>
        </w:rPr>
        <w:t xml:space="preserve">control </w:t>
      </w:r>
      <w:r w:rsidRPr="00353C2F">
        <w:rPr>
          <w:lang w:val="en-GB"/>
        </w:rPr>
        <w:t>function</w:t>
      </w:r>
      <w:r w:rsidR="00721541">
        <w:rPr>
          <w:lang w:val="en-GB"/>
        </w:rPr>
        <w:t>,</w:t>
      </w:r>
      <w:r w:rsidRPr="00353C2F">
        <w:rPr>
          <w:lang w:val="en-GB"/>
        </w:rPr>
        <w:t xml:space="preserve"> and (iv) an obligation to notify the supervisory authority.  </w:t>
      </w:r>
    </w:p>
    <w:p w14:paraId="54EE420E" w14:textId="065BD7B6" w:rsidR="009811B0" w:rsidRPr="00F838F7" w:rsidRDefault="009811B0" w:rsidP="00553416">
      <w:pPr>
        <w:spacing w:before="200" w:line="240" w:lineRule="atLeast"/>
        <w:jc w:val="both"/>
        <w:rPr>
          <w:lang w:val="en-US"/>
        </w:rPr>
      </w:pPr>
      <w:r>
        <w:rPr>
          <w:lang w:val="en-GB"/>
        </w:rPr>
        <w:t>This set of rules has</w:t>
      </w:r>
      <w:r w:rsidRPr="00353C2F">
        <w:rPr>
          <w:lang w:val="en-GB"/>
        </w:rPr>
        <w:t xml:space="preserve"> been transposed in</w:t>
      </w:r>
      <w:r w:rsidR="00DA5C2F">
        <w:rPr>
          <w:lang w:val="en-GB"/>
        </w:rPr>
        <w:t>to</w:t>
      </w:r>
      <w:r w:rsidRPr="00353C2F">
        <w:rPr>
          <w:lang w:val="en-GB"/>
        </w:rPr>
        <w:t xml:space="preserve"> chapter</w:t>
      </w:r>
      <w:r>
        <w:rPr>
          <w:lang w:val="en-GB"/>
        </w:rPr>
        <w:t> </w:t>
      </w:r>
      <w:r w:rsidRPr="00353C2F">
        <w:rPr>
          <w:lang w:val="en-GB"/>
        </w:rPr>
        <w:t xml:space="preserve">4 of the </w:t>
      </w:r>
      <w:r>
        <w:rPr>
          <w:lang w:val="en-GB"/>
        </w:rPr>
        <w:t xml:space="preserve">annexed </w:t>
      </w:r>
      <w:r w:rsidRPr="00353C2F">
        <w:rPr>
          <w:lang w:val="en-GB"/>
        </w:rPr>
        <w:t xml:space="preserve">handbook. </w:t>
      </w:r>
      <w:r w:rsidR="007D2A60">
        <w:rPr>
          <w:lang w:val="en-GB"/>
        </w:rPr>
        <w:t>This chapter</w:t>
      </w:r>
      <w:r w:rsidRPr="00F846F3">
        <w:rPr>
          <w:lang w:val="en-GB"/>
        </w:rPr>
        <w:t xml:space="preserve"> </w:t>
      </w:r>
      <w:r w:rsidRPr="00353C2F">
        <w:rPr>
          <w:lang w:val="en-GB"/>
        </w:rPr>
        <w:t xml:space="preserve">has also been supplemented </w:t>
      </w:r>
      <w:r>
        <w:rPr>
          <w:lang w:val="en-GB"/>
        </w:rPr>
        <w:t xml:space="preserve">with </w:t>
      </w:r>
      <w:r w:rsidRPr="00353C2F">
        <w:rPr>
          <w:lang w:val="en-GB"/>
        </w:rPr>
        <w:t xml:space="preserve">a </w:t>
      </w:r>
      <w:r>
        <w:rPr>
          <w:lang w:val="en-GB"/>
        </w:rPr>
        <w:t xml:space="preserve">number </w:t>
      </w:r>
      <w:r w:rsidRPr="00353C2F">
        <w:rPr>
          <w:lang w:val="en-GB"/>
        </w:rPr>
        <w:t xml:space="preserve">of additional elements which either are inspired by existing best practices at international level (notably the EBA/GL/2017/12 guidelines) or </w:t>
      </w:r>
      <w:r>
        <w:rPr>
          <w:lang w:val="en-GB"/>
        </w:rPr>
        <w:t xml:space="preserve">are </w:t>
      </w:r>
      <w:r w:rsidRPr="00353C2F">
        <w:rPr>
          <w:lang w:val="en-GB"/>
        </w:rPr>
        <w:t xml:space="preserve">specific to the insurance sector in Belgium (e.g. general theoretical knowledge </w:t>
      </w:r>
      <w:r>
        <w:rPr>
          <w:lang w:val="en-GB"/>
        </w:rPr>
        <w:t>o</w:t>
      </w:r>
      <w:r w:rsidR="00DA5C2F">
        <w:rPr>
          <w:lang w:val="en-GB"/>
        </w:rPr>
        <w:t>f</w:t>
      </w:r>
      <w:r>
        <w:rPr>
          <w:lang w:val="en-GB"/>
        </w:rPr>
        <w:t xml:space="preserve"> </w:t>
      </w:r>
      <w:r w:rsidRPr="00353C2F">
        <w:rPr>
          <w:lang w:val="en-GB"/>
        </w:rPr>
        <w:t>the insurance market, specific theoretical knowledge expected from the head of the actuarial function in actuarial mathematics, the recommendation</w:t>
      </w:r>
      <w:r>
        <w:rPr>
          <w:lang w:val="en-GB"/>
        </w:rPr>
        <w:t xml:space="preserve"> </w:t>
      </w:r>
      <w:r w:rsidR="00B14ADD">
        <w:rPr>
          <w:lang w:val="en-GB"/>
        </w:rPr>
        <w:t>-</w:t>
      </w:r>
      <w:r w:rsidRPr="00353C2F">
        <w:rPr>
          <w:lang w:val="en-GB"/>
        </w:rPr>
        <w:t xml:space="preserve">in </w:t>
      </w:r>
      <w:r w:rsidR="00B14ADD">
        <w:rPr>
          <w:lang w:val="en-GB"/>
        </w:rPr>
        <w:t>conglomerates-</w:t>
      </w:r>
      <w:r w:rsidRPr="00353C2F">
        <w:rPr>
          <w:lang w:val="en-GB"/>
        </w:rPr>
        <w:t xml:space="preserve"> to have at least one independent director</w:t>
      </w:r>
      <w:r>
        <w:rPr>
          <w:lang w:val="en-GB"/>
        </w:rPr>
        <w:t>,</w:t>
      </w:r>
      <w:r w:rsidRPr="00353C2F">
        <w:rPr>
          <w:lang w:val="en-GB"/>
        </w:rPr>
        <w:t xml:space="preserve"> within the meaning of Article</w:t>
      </w:r>
      <w:r>
        <w:rPr>
          <w:lang w:val="en-GB"/>
        </w:rPr>
        <w:t> </w:t>
      </w:r>
      <w:r w:rsidRPr="00353C2F">
        <w:rPr>
          <w:lang w:val="en-GB"/>
        </w:rPr>
        <w:t xml:space="preserve">526ter of the </w:t>
      </w:r>
      <w:r>
        <w:rPr>
          <w:lang w:val="en-GB"/>
        </w:rPr>
        <w:t xml:space="preserve">Code on Companies, </w:t>
      </w:r>
      <w:r w:rsidRPr="00353C2F">
        <w:rPr>
          <w:lang w:val="en-GB"/>
        </w:rPr>
        <w:t>dedicated to insurance, etc.)</w:t>
      </w:r>
      <w:r w:rsidRPr="00F838F7">
        <w:rPr>
          <w:lang w:val="en-US"/>
        </w:rPr>
        <w:t>.</w:t>
      </w:r>
    </w:p>
    <w:p w14:paraId="32217A86" w14:textId="10C397A9" w:rsidR="002A01BF" w:rsidRPr="00F838F7" w:rsidRDefault="001C6084" w:rsidP="00553416">
      <w:pPr>
        <w:spacing w:before="200"/>
        <w:jc w:val="both"/>
        <w:rPr>
          <w:rFonts w:ascii="ArialMT" w:hAnsi="ArialMT" w:cs="ArialMT"/>
          <w:lang w:val="en-GB" w:eastAsia="nl-BE"/>
        </w:rPr>
      </w:pPr>
      <w:r>
        <w:rPr>
          <w:rFonts w:ascii="ArialMT" w:hAnsi="ArialMT" w:cs="ArialMT"/>
          <w:lang w:val="en-GB" w:eastAsia="nl-BE"/>
        </w:rPr>
        <w:t>Yours faithfully,</w:t>
      </w:r>
    </w:p>
    <w:p w14:paraId="32217A87" w14:textId="67AD2CD4" w:rsidR="009F6724" w:rsidRDefault="009F6724" w:rsidP="003A142C">
      <w:pPr>
        <w:jc w:val="both"/>
        <w:rPr>
          <w:rFonts w:ascii="ArialMT" w:hAnsi="ArialMT" w:cs="ArialMT"/>
          <w:lang w:val="en-US" w:eastAsia="nl-BE"/>
        </w:rPr>
      </w:pPr>
    </w:p>
    <w:p w14:paraId="799DAFFB" w14:textId="317530C3" w:rsidR="00553416" w:rsidRDefault="00553416" w:rsidP="003A142C">
      <w:pPr>
        <w:jc w:val="both"/>
        <w:rPr>
          <w:rFonts w:ascii="ArialMT" w:hAnsi="ArialMT" w:cs="ArialMT"/>
          <w:lang w:val="en-US" w:eastAsia="nl-BE"/>
        </w:rPr>
      </w:pPr>
    </w:p>
    <w:p w14:paraId="77DC76FD" w14:textId="5FCDB30E" w:rsidR="00553416" w:rsidRDefault="00553416" w:rsidP="003A142C">
      <w:pPr>
        <w:jc w:val="both"/>
        <w:rPr>
          <w:rFonts w:ascii="ArialMT" w:hAnsi="ArialMT" w:cs="ArialMT"/>
          <w:lang w:val="en-US" w:eastAsia="nl-BE"/>
        </w:rPr>
      </w:pPr>
    </w:p>
    <w:p w14:paraId="715B16B2" w14:textId="4E82991C" w:rsidR="00553416" w:rsidRDefault="00553416" w:rsidP="003A142C">
      <w:pPr>
        <w:jc w:val="both"/>
        <w:rPr>
          <w:rFonts w:ascii="ArialMT" w:hAnsi="ArialMT" w:cs="ArialMT"/>
          <w:lang w:val="en-US" w:eastAsia="nl-BE"/>
        </w:rPr>
      </w:pPr>
    </w:p>
    <w:p w14:paraId="03389720" w14:textId="2D0A52D6" w:rsidR="00553416" w:rsidRDefault="00553416" w:rsidP="003A142C">
      <w:pPr>
        <w:jc w:val="both"/>
        <w:rPr>
          <w:rFonts w:ascii="ArialMT" w:hAnsi="ArialMT" w:cs="ArialMT"/>
          <w:lang w:val="en-US" w:eastAsia="nl-BE"/>
        </w:rPr>
      </w:pPr>
    </w:p>
    <w:p w14:paraId="001895AB" w14:textId="77777777" w:rsidR="00553416" w:rsidRPr="00F838F7" w:rsidRDefault="00553416" w:rsidP="003A142C">
      <w:pPr>
        <w:jc w:val="both"/>
        <w:rPr>
          <w:rFonts w:ascii="ArialMT" w:hAnsi="ArialMT" w:cs="ArialMT"/>
          <w:lang w:val="en-US" w:eastAsia="nl-BE"/>
        </w:rPr>
      </w:pPr>
    </w:p>
    <w:p w14:paraId="32217A88" w14:textId="77777777" w:rsidR="009F6724" w:rsidRPr="00F838F7" w:rsidRDefault="009F6724" w:rsidP="003A142C">
      <w:pPr>
        <w:jc w:val="both"/>
        <w:rPr>
          <w:rFonts w:ascii="ArialMT" w:hAnsi="ArialMT" w:cs="ArialMT"/>
          <w:lang w:val="en-GB" w:eastAsia="nl-BE"/>
        </w:rPr>
      </w:pPr>
      <w:r w:rsidRPr="00F838F7">
        <w:rPr>
          <w:rFonts w:ascii="ArialMT" w:hAnsi="ArialMT" w:cs="ArialMT"/>
          <w:lang w:val="en-GB" w:eastAsia="nl-BE"/>
        </w:rPr>
        <w:t>Jan Smets</w:t>
      </w:r>
    </w:p>
    <w:p w14:paraId="32217A89" w14:textId="1B280C7D" w:rsidR="009F6724" w:rsidRPr="00F838F7" w:rsidRDefault="009F6724" w:rsidP="003A142C">
      <w:pPr>
        <w:jc w:val="both"/>
        <w:rPr>
          <w:b/>
          <w:lang w:val="en-GB"/>
        </w:rPr>
      </w:pPr>
      <w:r w:rsidRPr="00F838F7">
        <w:rPr>
          <w:rFonts w:ascii="ArialMT" w:hAnsi="ArialMT" w:cs="ArialMT"/>
          <w:lang w:val="en-GB" w:eastAsia="nl-BE"/>
        </w:rPr>
        <w:t>Govern</w:t>
      </w:r>
      <w:r w:rsidR="00DA5C2F" w:rsidRPr="00DA5C2F">
        <w:rPr>
          <w:rFonts w:ascii="ArialMT" w:hAnsi="ArialMT" w:cs="ArialMT"/>
          <w:lang w:val="en-GB" w:eastAsia="nl-BE"/>
        </w:rPr>
        <w:t>o</w:t>
      </w:r>
      <w:r w:rsidRPr="00F838F7">
        <w:rPr>
          <w:rFonts w:ascii="ArialMT" w:hAnsi="ArialMT" w:cs="ArialMT"/>
          <w:lang w:val="en-GB" w:eastAsia="nl-BE"/>
        </w:rPr>
        <w:t>r</w:t>
      </w:r>
    </w:p>
    <w:p w14:paraId="6E5D5663" w14:textId="77777777" w:rsidR="00950793" w:rsidRPr="00F838F7" w:rsidRDefault="00950793" w:rsidP="003A142C">
      <w:pPr>
        <w:jc w:val="both"/>
        <w:rPr>
          <w:lang w:val="en-US"/>
        </w:rPr>
      </w:pPr>
    </w:p>
    <w:p w14:paraId="32217A8C" w14:textId="5E1BA12B" w:rsidR="00B170C1" w:rsidRPr="00F838F7" w:rsidRDefault="001C6084" w:rsidP="003A142C">
      <w:pPr>
        <w:jc w:val="both"/>
        <w:rPr>
          <w:lang w:val="en-GB"/>
        </w:rPr>
      </w:pPr>
      <w:r>
        <w:rPr>
          <w:lang w:val="en-GB"/>
        </w:rPr>
        <w:t>Annexes:</w:t>
      </w:r>
    </w:p>
    <w:p w14:paraId="32217A8D" w14:textId="77777777" w:rsidR="009F6724" w:rsidRPr="00F838F7" w:rsidRDefault="009F6724" w:rsidP="003A142C">
      <w:pPr>
        <w:jc w:val="both"/>
        <w:rPr>
          <w:lang w:val="en-GB"/>
        </w:rPr>
      </w:pPr>
    </w:p>
    <w:p w14:paraId="32217A8E" w14:textId="0C6F26BB" w:rsidR="009F6724" w:rsidRPr="00F838F7" w:rsidRDefault="00FE6D09" w:rsidP="0031014D">
      <w:pPr>
        <w:pStyle w:val="ListParagraph"/>
        <w:numPr>
          <w:ilvl w:val="0"/>
          <w:numId w:val="33"/>
        </w:numPr>
        <w:jc w:val="both"/>
        <w:rPr>
          <w:lang w:val="en-GB"/>
        </w:rPr>
      </w:pPr>
      <w:r>
        <w:rPr>
          <w:lang w:val="en-GB"/>
        </w:rPr>
        <w:t>Handbook</w:t>
      </w:r>
      <w:r w:rsidR="001C6084">
        <w:rPr>
          <w:lang w:val="en-GB"/>
        </w:rPr>
        <w:t xml:space="preserve"> on assessment of fitness and propriety</w:t>
      </w:r>
    </w:p>
    <w:p w14:paraId="32217A8F" w14:textId="4A01818C" w:rsidR="009F6724" w:rsidRPr="00F838F7" w:rsidRDefault="001C6084" w:rsidP="001C6084">
      <w:pPr>
        <w:pStyle w:val="ListParagraph"/>
        <w:numPr>
          <w:ilvl w:val="0"/>
          <w:numId w:val="33"/>
        </w:numPr>
        <w:jc w:val="both"/>
        <w:rPr>
          <w:lang w:val="en-GB"/>
        </w:rPr>
      </w:pPr>
      <w:r>
        <w:rPr>
          <w:lang w:val="en-GB"/>
        </w:rPr>
        <w:t xml:space="preserve">EBA guidelines of </w:t>
      </w:r>
      <w:r w:rsidRPr="00CC1355">
        <w:rPr>
          <w:rFonts w:cs="Arial"/>
          <w:lang w:val="en-GB"/>
        </w:rPr>
        <w:t xml:space="preserve">26 September 2017 </w:t>
      </w:r>
      <w:r w:rsidRPr="001C6084">
        <w:rPr>
          <w:lang w:val="en-GB"/>
        </w:rPr>
        <w:t>on the assessment of the suitability of members of the management body and key function holders</w:t>
      </w:r>
      <w:r w:rsidRPr="00701E2A">
        <w:rPr>
          <w:lang w:val="en-GB"/>
        </w:rPr>
        <w:t xml:space="preserve"> </w:t>
      </w:r>
      <w:r w:rsidR="009F6724" w:rsidRPr="00F838F7">
        <w:rPr>
          <w:lang w:val="en-GB"/>
        </w:rPr>
        <w:t>(EBA/GL/2017/12)</w:t>
      </w:r>
    </w:p>
    <w:sectPr w:rsidR="009F6724" w:rsidRPr="00F838F7" w:rsidSect="00D850C8">
      <w:headerReference w:type="even" r:id="rId14"/>
      <w:headerReference w:type="default" r:id="rId15"/>
      <w:footerReference w:type="even" r:id="rId16"/>
      <w:footerReference w:type="default" r:id="rId17"/>
      <w:footerReference w:type="first" r:id="rId18"/>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A1F7" w14:textId="77777777" w:rsidR="00DC7E81" w:rsidRDefault="00DC7E81">
      <w:r>
        <w:separator/>
      </w:r>
    </w:p>
  </w:endnote>
  <w:endnote w:type="continuationSeparator" w:id="0">
    <w:p w14:paraId="0E7E1A2B" w14:textId="77777777" w:rsidR="00DC7E81" w:rsidRDefault="00DC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B" w14:textId="27F93338" w:rsidR="00E87276" w:rsidRPr="009D0367" w:rsidRDefault="00553416" w:rsidP="00E87276">
    <w:pPr>
      <w:pStyle w:val="Footer"/>
      <w:pBdr>
        <w:top w:val="single" w:sz="4" w:space="1" w:color="auto"/>
      </w:pBdr>
      <w:rPr>
        <w:b/>
        <w:sz w:val="16"/>
        <w:szCs w:val="16"/>
      </w:rPr>
    </w:pPr>
    <w:r>
      <w:rPr>
        <w:b/>
        <w:sz w:val="16"/>
        <w:szCs w:val="16"/>
      </w:rPr>
      <w:t>Circular</w:t>
    </w:r>
    <w:r w:rsidR="009D0367">
      <w:rPr>
        <w:rFonts w:cs="Arial"/>
        <w:b/>
        <w:sz w:val="16"/>
        <w:szCs w:val="16"/>
      </w:rPr>
      <w:t> </w:t>
    </w:r>
    <w:r w:rsidR="009D0367">
      <w:rPr>
        <w:rFonts w:cs="Arial"/>
        <w:b/>
        <w:sz w:val="16"/>
        <w:szCs w:val="16"/>
      </w:rPr>
      <w:t>–</w:t>
    </w:r>
    <w:r w:rsidR="009D0367">
      <w:rPr>
        <w:rFonts w:cs="Arial"/>
        <w:b/>
        <w:sz w:val="16"/>
        <w:szCs w:val="16"/>
      </w:rPr>
      <w:t> </w:t>
    </w:r>
    <w:r>
      <w:rPr>
        <w:b/>
        <w:sz w:val="16"/>
        <w:szCs w:val="16"/>
      </w:rPr>
      <w:t>P</w:t>
    </w:r>
    <w:r w:rsidR="009D0367">
      <w:rPr>
        <w:b/>
        <w:sz w:val="16"/>
        <w:szCs w:val="16"/>
      </w:rPr>
      <w:t xml:space="preserve">. </w:t>
    </w:r>
    <w:r w:rsidR="009D0367">
      <w:rPr>
        <w:b/>
        <w:sz w:val="16"/>
        <w:szCs w:val="16"/>
      </w:rPr>
      <w:fldChar w:fldCharType="begin"/>
    </w:r>
    <w:r w:rsidR="009D0367">
      <w:rPr>
        <w:b/>
        <w:sz w:val="16"/>
        <w:szCs w:val="16"/>
      </w:rPr>
      <w:instrText xml:space="preserve"> PAGE   </w:instrText>
    </w:r>
    <w:r w:rsidR="009D0367">
      <w:rPr>
        <w:b/>
        <w:sz w:val="16"/>
        <w:szCs w:val="16"/>
      </w:rPr>
      <w:fldChar w:fldCharType="separate"/>
    </w:r>
    <w:r w:rsidR="00FE6D09">
      <w:rPr>
        <w:b/>
        <w:noProof/>
        <w:sz w:val="16"/>
        <w:szCs w:val="16"/>
      </w:rPr>
      <w:t>2</w:t>
    </w:r>
    <w:r w:rsidR="009D0367">
      <w:rPr>
        <w:b/>
        <w:sz w:val="16"/>
        <w:szCs w:val="16"/>
      </w:rPr>
      <w:fldChar w:fldCharType="end"/>
    </w:r>
    <w:r w:rsidR="009D0367">
      <w:rPr>
        <w:b/>
        <w:sz w:val="16"/>
        <w:szCs w:val="16"/>
      </w:rPr>
      <w:t>/</w:t>
    </w:r>
    <w:r w:rsidR="009D0367">
      <w:rPr>
        <w:b/>
        <w:sz w:val="16"/>
        <w:szCs w:val="16"/>
      </w:rPr>
      <w:fldChar w:fldCharType="begin"/>
    </w:r>
    <w:r w:rsidR="009D0367">
      <w:rPr>
        <w:b/>
        <w:sz w:val="16"/>
        <w:szCs w:val="16"/>
      </w:rPr>
      <w:instrText xml:space="preserve"> NUMPAGES   </w:instrText>
    </w:r>
    <w:r w:rsidR="009D0367">
      <w:rPr>
        <w:b/>
        <w:sz w:val="16"/>
        <w:szCs w:val="16"/>
      </w:rPr>
      <w:fldChar w:fldCharType="separate"/>
    </w:r>
    <w:r w:rsidR="00FE6D09">
      <w:rPr>
        <w:b/>
        <w:noProof/>
        <w:sz w:val="16"/>
        <w:szCs w:val="16"/>
      </w:rPr>
      <w:t>5</w:t>
    </w:r>
    <w:r w:rsidR="009D0367">
      <w:rPr>
        <w:b/>
        <w:sz w:val="16"/>
        <w:szCs w:val="16"/>
      </w:rPr>
      <w:fldChar w:fldCharType="end"/>
    </w:r>
    <w:r w:rsidR="009D0367">
      <w:rPr>
        <w:b/>
        <w:sz w:val="16"/>
        <w:szCs w:val="16"/>
      </w:rPr>
      <w:tab/>
    </w:r>
    <w:r w:rsidR="009D0367">
      <w:rPr>
        <w:sz w:val="14"/>
        <w:szCs w:val="16"/>
      </w:rPr>
      <w:t>NBB_2018</w:t>
    </w:r>
    <w:r w:rsidR="00F916D9">
      <w:rPr>
        <w:sz w:val="14"/>
        <w:szCs w:val="16"/>
      </w:rPr>
      <w:t>_25</w:t>
    </w:r>
    <w:r w:rsidR="009D0367">
      <w:rPr>
        <w:rFonts w:cs="Arial"/>
        <w:sz w:val="14"/>
        <w:szCs w:val="16"/>
      </w:rPr>
      <w:t> </w:t>
    </w:r>
    <w:r w:rsidR="009D0367">
      <w:rPr>
        <w:rFonts w:cs="Arial"/>
        <w:sz w:val="14"/>
        <w:szCs w:val="16"/>
      </w:rPr>
      <w:t>–</w:t>
    </w:r>
    <w:r w:rsidR="009D0367">
      <w:rPr>
        <w:rFonts w:cs="Arial"/>
        <w:sz w:val="14"/>
        <w:szCs w:val="16"/>
      </w:rPr>
      <w:t> </w:t>
    </w:r>
    <w:r w:rsidR="009D0367">
      <w:rPr>
        <w:sz w:val="14"/>
        <w:szCs w:val="16"/>
      </w:rPr>
      <w:t>1</w:t>
    </w:r>
    <w:r>
      <w:rPr>
        <w:sz w:val="14"/>
        <w:szCs w:val="16"/>
      </w:rPr>
      <w:t>8 September</w:t>
    </w:r>
    <w:r w:rsidR="009D0367">
      <w:rPr>
        <w:sz w:val="14"/>
        <w:szCs w:val="16"/>
      </w:rPr>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C" w14:textId="50A30F7D" w:rsidR="00450949" w:rsidRPr="009D0367" w:rsidRDefault="009D0367" w:rsidP="00F64E38">
    <w:pPr>
      <w:pStyle w:val="Footer"/>
      <w:pBdr>
        <w:top w:val="single" w:sz="4" w:space="1" w:color="auto"/>
      </w:pBdr>
      <w:rPr>
        <w:b/>
        <w:sz w:val="16"/>
        <w:szCs w:val="14"/>
      </w:rPr>
    </w:pPr>
    <w:r>
      <w:rPr>
        <w:b/>
        <w:sz w:val="16"/>
        <w:szCs w:val="14"/>
      </w:rPr>
      <w:tab/>
    </w:r>
    <w:r>
      <w:rPr>
        <w:sz w:val="14"/>
        <w:szCs w:val="14"/>
      </w:rPr>
      <w:t>NBB_2018</w:t>
    </w:r>
    <w:r w:rsidR="00F916D9">
      <w:rPr>
        <w:sz w:val="14"/>
        <w:szCs w:val="14"/>
      </w:rPr>
      <w:t>_25</w:t>
    </w:r>
    <w:r>
      <w:rPr>
        <w:rFonts w:cs="Arial"/>
        <w:sz w:val="14"/>
        <w:szCs w:val="14"/>
      </w:rPr>
      <w:t> </w:t>
    </w:r>
    <w:r>
      <w:rPr>
        <w:rFonts w:cs="Arial"/>
        <w:sz w:val="14"/>
        <w:szCs w:val="14"/>
      </w:rPr>
      <w:t>–</w:t>
    </w:r>
    <w:r>
      <w:rPr>
        <w:rFonts w:cs="Arial"/>
        <w:sz w:val="14"/>
        <w:szCs w:val="14"/>
      </w:rPr>
      <w:t> </w:t>
    </w:r>
    <w:r w:rsidR="00553416">
      <w:rPr>
        <w:sz w:val="14"/>
        <w:szCs w:val="14"/>
      </w:rPr>
      <w:t>18 September</w:t>
    </w:r>
    <w:r>
      <w:rPr>
        <w:sz w:val="14"/>
        <w:szCs w:val="14"/>
      </w:rPr>
      <w:t xml:space="preserve"> 2018</w:t>
    </w:r>
    <w:r w:rsidR="00553416">
      <w:rPr>
        <w:b/>
        <w:sz w:val="16"/>
        <w:szCs w:val="14"/>
      </w:rPr>
      <w:tab/>
      <w:t>Circular</w:t>
    </w:r>
    <w:r>
      <w:rPr>
        <w:rFonts w:cs="Arial"/>
        <w:b/>
        <w:sz w:val="16"/>
        <w:szCs w:val="14"/>
      </w:rPr>
      <w:t> </w:t>
    </w:r>
    <w:r>
      <w:rPr>
        <w:rFonts w:cs="Arial"/>
        <w:b/>
        <w:sz w:val="16"/>
        <w:szCs w:val="14"/>
      </w:rPr>
      <w:t>–</w:t>
    </w:r>
    <w:r>
      <w:rPr>
        <w:rFonts w:cs="Arial"/>
        <w:b/>
        <w:sz w:val="16"/>
        <w:szCs w:val="14"/>
      </w:rPr>
      <w:t> </w:t>
    </w:r>
    <w:r w:rsidR="00553416">
      <w:rPr>
        <w:b/>
        <w:sz w:val="16"/>
        <w:szCs w:val="14"/>
      </w:rPr>
      <w:t>P</w:t>
    </w:r>
    <w:r>
      <w:rPr>
        <w:b/>
        <w:sz w:val="16"/>
        <w:szCs w:val="14"/>
      </w:rPr>
      <w:t xml:space="preserve">. </w:t>
    </w:r>
    <w:r>
      <w:rPr>
        <w:b/>
        <w:sz w:val="16"/>
        <w:szCs w:val="14"/>
      </w:rPr>
      <w:fldChar w:fldCharType="begin"/>
    </w:r>
    <w:r>
      <w:rPr>
        <w:b/>
        <w:sz w:val="16"/>
        <w:szCs w:val="14"/>
      </w:rPr>
      <w:instrText xml:space="preserve"> PAGE   </w:instrText>
    </w:r>
    <w:r>
      <w:rPr>
        <w:b/>
        <w:sz w:val="16"/>
        <w:szCs w:val="14"/>
      </w:rPr>
      <w:fldChar w:fldCharType="separate"/>
    </w:r>
    <w:r w:rsidR="00FE6D09">
      <w:rPr>
        <w:b/>
        <w:noProof/>
        <w:sz w:val="16"/>
        <w:szCs w:val="14"/>
      </w:rPr>
      <w:t>3</w:t>
    </w:r>
    <w:r>
      <w:rPr>
        <w:b/>
        <w:sz w:val="16"/>
        <w:szCs w:val="14"/>
      </w:rPr>
      <w:fldChar w:fldCharType="end"/>
    </w:r>
    <w:r>
      <w:rPr>
        <w:b/>
        <w:sz w:val="16"/>
        <w:szCs w:val="14"/>
      </w:rPr>
      <w:t>/</w:t>
    </w:r>
    <w:r>
      <w:rPr>
        <w:b/>
        <w:sz w:val="16"/>
        <w:szCs w:val="14"/>
      </w:rPr>
      <w:fldChar w:fldCharType="begin"/>
    </w:r>
    <w:r>
      <w:rPr>
        <w:b/>
        <w:sz w:val="16"/>
        <w:szCs w:val="14"/>
      </w:rPr>
      <w:instrText xml:space="preserve"> NUMPAGES   </w:instrText>
    </w:r>
    <w:r>
      <w:rPr>
        <w:b/>
        <w:sz w:val="16"/>
        <w:szCs w:val="14"/>
      </w:rPr>
      <w:fldChar w:fldCharType="separate"/>
    </w:r>
    <w:r w:rsidR="00FE6D09">
      <w:rPr>
        <w:b/>
        <w:noProof/>
        <w:sz w:val="16"/>
        <w:szCs w:val="14"/>
      </w:rPr>
      <w:t>5</w:t>
    </w:r>
    <w:r>
      <w:rPr>
        <w:b/>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D" w14:textId="780DA794" w:rsidR="00450949" w:rsidRPr="009D0367" w:rsidRDefault="009D0367" w:rsidP="00CB2202">
    <w:pPr>
      <w:pStyle w:val="Footer"/>
      <w:pBdr>
        <w:top w:val="single" w:sz="4" w:space="1" w:color="auto"/>
      </w:pBdr>
      <w:rPr>
        <w:b/>
        <w:sz w:val="16"/>
        <w:szCs w:val="16"/>
      </w:rPr>
    </w:pPr>
    <w:r>
      <w:rPr>
        <w:b/>
        <w:sz w:val="16"/>
        <w:szCs w:val="16"/>
      </w:rPr>
      <w:tab/>
    </w:r>
    <w:r>
      <w:rPr>
        <w:sz w:val="14"/>
        <w:szCs w:val="16"/>
      </w:rPr>
      <w:t>NBB_2018</w:t>
    </w:r>
    <w:r w:rsidR="00F916D9">
      <w:rPr>
        <w:sz w:val="14"/>
        <w:szCs w:val="16"/>
      </w:rPr>
      <w:t>_25</w:t>
    </w:r>
    <w:r>
      <w:rPr>
        <w:rFonts w:cs="Arial"/>
        <w:sz w:val="14"/>
        <w:szCs w:val="16"/>
      </w:rPr>
      <w:t> </w:t>
    </w:r>
    <w:r>
      <w:rPr>
        <w:rFonts w:cs="Arial"/>
        <w:sz w:val="14"/>
        <w:szCs w:val="16"/>
      </w:rPr>
      <w:t>–</w:t>
    </w:r>
    <w:r>
      <w:rPr>
        <w:rFonts w:cs="Arial"/>
        <w:sz w:val="14"/>
        <w:szCs w:val="16"/>
      </w:rPr>
      <w:t> </w:t>
    </w:r>
    <w:r w:rsidR="00553416">
      <w:rPr>
        <w:sz w:val="14"/>
        <w:szCs w:val="16"/>
      </w:rPr>
      <w:t>18 September</w:t>
    </w:r>
    <w:r>
      <w:rPr>
        <w:sz w:val="14"/>
        <w:szCs w:val="16"/>
      </w:rPr>
      <w:t xml:space="preserve"> 2018</w:t>
    </w:r>
    <w:r>
      <w:rPr>
        <w:b/>
        <w:sz w:val="16"/>
        <w:szCs w:val="16"/>
      </w:rPr>
      <w:tab/>
      <w:t>Circular</w:t>
    </w:r>
    <w:r>
      <w:rPr>
        <w:rFonts w:cs="Arial"/>
        <w:b/>
        <w:sz w:val="16"/>
        <w:szCs w:val="16"/>
      </w:rPr>
      <w:t> </w:t>
    </w:r>
    <w:r>
      <w:rPr>
        <w:rFonts w:cs="Arial"/>
        <w:b/>
        <w:sz w:val="16"/>
        <w:szCs w:val="16"/>
      </w:rPr>
      <w:t>–</w:t>
    </w:r>
    <w:r>
      <w:rPr>
        <w:rFonts w:cs="Arial"/>
        <w:b/>
        <w:sz w:val="16"/>
        <w:szCs w:val="16"/>
      </w:rPr>
      <w:t> </w:t>
    </w:r>
    <w:r w:rsidR="00553416">
      <w:rPr>
        <w:b/>
        <w:sz w:val="16"/>
        <w:szCs w:val="16"/>
      </w:rPr>
      <w:t>P.</w:t>
    </w:r>
    <w:r>
      <w:rPr>
        <w:b/>
        <w:sz w:val="16"/>
        <w:szCs w:val="16"/>
      </w:rPr>
      <w:t xml:space="preserve"> </w:t>
    </w:r>
    <w:r>
      <w:rPr>
        <w:b/>
        <w:sz w:val="16"/>
        <w:szCs w:val="16"/>
      </w:rPr>
      <w:fldChar w:fldCharType="begin"/>
    </w:r>
    <w:r>
      <w:rPr>
        <w:b/>
        <w:sz w:val="16"/>
        <w:szCs w:val="16"/>
      </w:rPr>
      <w:instrText xml:space="preserve"> PAGE   </w:instrText>
    </w:r>
    <w:r>
      <w:rPr>
        <w:b/>
        <w:sz w:val="16"/>
        <w:szCs w:val="16"/>
      </w:rPr>
      <w:fldChar w:fldCharType="separate"/>
    </w:r>
    <w:r w:rsidR="00FE6D09">
      <w:rPr>
        <w:b/>
        <w:noProof/>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sidR="00FE6D09">
      <w:rPr>
        <w:b/>
        <w:noProof/>
        <w:sz w:val="16"/>
        <w:szCs w:val="16"/>
      </w:rPr>
      <w:t>5</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DB08" w14:textId="77777777" w:rsidR="00DC7E81" w:rsidRPr="00117F31" w:rsidRDefault="00DC7E81" w:rsidP="00117F31">
      <w:pPr>
        <w:pStyle w:val="Footer"/>
      </w:pPr>
    </w:p>
  </w:footnote>
  <w:footnote w:type="continuationSeparator" w:id="0">
    <w:p w14:paraId="5AFFC886" w14:textId="77777777" w:rsidR="00DC7E81" w:rsidRPr="00117F31" w:rsidRDefault="00DC7E81" w:rsidP="00117F31">
      <w:pPr>
        <w:pStyle w:val="Footer"/>
      </w:pPr>
    </w:p>
  </w:footnote>
  <w:footnote w:type="continuationNotice" w:id="1">
    <w:p w14:paraId="5AC79F69" w14:textId="77777777" w:rsidR="00DC7E81" w:rsidRDefault="00DC7E81"/>
  </w:footnote>
  <w:footnote w:id="2">
    <w:p w14:paraId="0844CB0B" w14:textId="77777777" w:rsidR="005A5AE3" w:rsidRPr="003749A6" w:rsidRDefault="005A5AE3" w:rsidP="00A979C7">
      <w:pPr>
        <w:pStyle w:val="Default"/>
        <w:spacing w:line="240" w:lineRule="atLeast"/>
        <w:ind w:left="284" w:hanging="284"/>
        <w:jc w:val="both"/>
        <w:rPr>
          <w:rFonts w:ascii="Arial" w:eastAsiaTheme="minorHAnsi" w:hAnsi="Arial" w:cs="Arial"/>
          <w:sz w:val="16"/>
          <w:szCs w:val="16"/>
          <w:lang w:val="en-GB"/>
        </w:rPr>
      </w:pPr>
      <w:r w:rsidRPr="003749A6">
        <w:rPr>
          <w:rStyle w:val="FootnoteReference"/>
          <w:rFonts w:cs="Arial"/>
          <w:lang w:val="en-GB"/>
        </w:rPr>
        <w:footnoteRef/>
      </w:r>
      <w:r w:rsidRPr="003749A6">
        <w:rPr>
          <w:rFonts w:ascii="Arial" w:hAnsi="Arial" w:cs="Arial"/>
          <w:sz w:val="16"/>
          <w:szCs w:val="16"/>
          <w:lang w:val="en-GB"/>
        </w:rP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rsidRPr="003749A6">
        <w:rPr>
          <w:rFonts w:ascii="Arial" w:eastAsiaTheme="minorHAnsi" w:hAnsi="Arial" w:cs="Arial"/>
          <w:sz w:val="16"/>
          <w:szCs w:val="16"/>
          <w:lang w:val="en-GB"/>
        </w:rPr>
        <w:t>.</w:t>
      </w:r>
    </w:p>
  </w:footnote>
  <w:footnote w:id="3">
    <w:p w14:paraId="522E0B95" w14:textId="77777777" w:rsidR="005A5AE3" w:rsidRPr="003749A6" w:rsidRDefault="005A5AE3" w:rsidP="00A979C7">
      <w:pPr>
        <w:pStyle w:val="FootnoteText"/>
        <w:tabs>
          <w:tab w:val="clear" w:pos="284"/>
        </w:tabs>
        <w:jc w:val="both"/>
        <w:rPr>
          <w:rFonts w:cs="Arial"/>
          <w:sz w:val="16"/>
          <w:szCs w:val="16"/>
          <w:lang w:val="en-GB"/>
        </w:rPr>
      </w:pPr>
      <w:r w:rsidRPr="003749A6">
        <w:rPr>
          <w:rStyle w:val="FootnoteReference"/>
          <w:rFonts w:cs="Arial"/>
          <w:lang w:val="en-GB"/>
        </w:rPr>
        <w:footnoteRef/>
      </w:r>
      <w:r w:rsidRPr="003749A6">
        <w:rPr>
          <w:rFonts w:cs="Arial"/>
          <w:sz w:val="16"/>
          <w:szCs w:val="16"/>
          <w:lang w:val="en-GB"/>
        </w:rPr>
        <w:tab/>
      </w:r>
      <w:r w:rsidRPr="003749A6">
        <w:rPr>
          <w:rFonts w:eastAsiaTheme="minorHAnsi" w:cs="Arial"/>
          <w:color w:val="000000"/>
          <w:sz w:val="16"/>
          <w:szCs w:val="16"/>
          <w:lang w:val="en-GB"/>
        </w:rPr>
        <w:t>Directive 2014/65/EU of the European Parliament and of the Council of 15 May 2014 on markets in financial instruments and amending Directive 2002/92/EC and Directive 2011/61/EU.</w:t>
      </w:r>
    </w:p>
  </w:footnote>
  <w:footnote w:id="4">
    <w:p w14:paraId="1B5A0264" w14:textId="3496AF29" w:rsidR="003749A6" w:rsidRPr="003749A6" w:rsidRDefault="003749A6" w:rsidP="00A979C7">
      <w:pPr>
        <w:pStyle w:val="FootnoteText"/>
        <w:tabs>
          <w:tab w:val="clear" w:pos="284"/>
        </w:tabs>
        <w:jc w:val="both"/>
        <w:rPr>
          <w:lang w:val="en-GB"/>
        </w:rPr>
      </w:pPr>
      <w:r w:rsidRPr="003749A6">
        <w:rPr>
          <w:rStyle w:val="FootnoteReference"/>
          <w:lang w:val="en-GB"/>
        </w:rPr>
        <w:footnoteRef/>
      </w:r>
      <w:r w:rsidRPr="003749A6">
        <w:rPr>
          <w:lang w:val="en-GB"/>
        </w:rPr>
        <w:tab/>
      </w:r>
      <w:r w:rsidRPr="003749A6">
        <w:rPr>
          <w:sz w:val="16"/>
          <w:szCs w:val="16"/>
          <w:lang w:val="en-GB"/>
        </w:rPr>
        <w:t>Law of 25 April 2014 on the legal status and supervision of credit institutions and stockbroking firms.</w:t>
      </w:r>
    </w:p>
  </w:footnote>
  <w:footnote w:id="5">
    <w:p w14:paraId="7AC0987E" w14:textId="77777777" w:rsidR="009811B0" w:rsidRPr="003749A6" w:rsidRDefault="009811B0" w:rsidP="009811B0">
      <w:pPr>
        <w:pStyle w:val="Default"/>
        <w:ind w:left="284" w:hanging="284"/>
        <w:jc w:val="both"/>
        <w:rPr>
          <w:lang w:val="en-GB"/>
        </w:rPr>
      </w:pPr>
      <w:r w:rsidRPr="003749A6">
        <w:rPr>
          <w:rStyle w:val="FootnoteReference"/>
          <w:lang w:val="en-GB"/>
        </w:rPr>
        <w:footnoteRef/>
      </w:r>
      <w:r w:rsidRPr="003749A6">
        <w:rPr>
          <w:lang w:val="en-GB"/>
        </w:rPr>
        <w:tab/>
      </w:r>
      <w:r w:rsidRPr="0036766F">
        <w:rPr>
          <w:rFonts w:ascii="Arial" w:eastAsiaTheme="minorHAnsi" w:hAnsi="Arial"/>
          <w:color w:val="auto"/>
          <w:sz w:val="16"/>
          <w:lang w:val="en-GB"/>
        </w:rPr>
        <w:t>Directive</w:t>
      </w:r>
      <w:r>
        <w:rPr>
          <w:rFonts w:ascii="Arial" w:eastAsiaTheme="minorHAnsi" w:hAnsi="Arial"/>
          <w:color w:val="auto"/>
          <w:sz w:val="16"/>
          <w:lang w:val="en-GB"/>
        </w:rPr>
        <w:t> </w:t>
      </w:r>
      <w:r w:rsidRPr="0036766F">
        <w:rPr>
          <w:rFonts w:ascii="Arial" w:eastAsiaTheme="minorHAnsi" w:hAnsi="Arial"/>
          <w:color w:val="auto"/>
          <w:sz w:val="16"/>
          <w:lang w:val="en-GB"/>
        </w:rPr>
        <w:t>2009/138/EC of the European Parliament and of the Council of 25</w:t>
      </w:r>
      <w:r>
        <w:rPr>
          <w:rFonts w:ascii="Arial" w:eastAsiaTheme="minorHAnsi" w:hAnsi="Arial"/>
          <w:color w:val="auto"/>
          <w:sz w:val="16"/>
          <w:lang w:val="en-GB"/>
        </w:rPr>
        <w:t> </w:t>
      </w:r>
      <w:r w:rsidRPr="0036766F">
        <w:rPr>
          <w:rFonts w:ascii="Arial" w:eastAsiaTheme="minorHAnsi" w:hAnsi="Arial"/>
          <w:color w:val="auto"/>
          <w:sz w:val="16"/>
          <w:lang w:val="en-GB"/>
        </w:rPr>
        <w:t>November</w:t>
      </w:r>
      <w:r>
        <w:rPr>
          <w:rFonts w:ascii="Arial" w:eastAsiaTheme="minorHAnsi" w:hAnsi="Arial"/>
          <w:color w:val="auto"/>
          <w:sz w:val="16"/>
          <w:lang w:val="en-GB"/>
        </w:rPr>
        <w:t> </w:t>
      </w:r>
      <w:r w:rsidRPr="0036766F">
        <w:rPr>
          <w:rFonts w:ascii="Arial" w:eastAsiaTheme="minorHAnsi" w:hAnsi="Arial"/>
          <w:color w:val="auto"/>
          <w:sz w:val="16"/>
          <w:lang w:val="en-GB"/>
        </w:rPr>
        <w:t>2009 on the taking-up and pursuit of the business of Insurance and Reinsurance</w:t>
      </w:r>
      <w:r>
        <w:rPr>
          <w:rFonts w:ascii="Arial" w:eastAsiaTheme="minorHAnsi" w:hAnsi="Arial"/>
          <w:color w:val="auto"/>
          <w:sz w:val="16"/>
          <w:lang w:val="en-GB"/>
        </w:rPr>
        <w:t>.</w:t>
      </w:r>
    </w:p>
  </w:footnote>
  <w:footnote w:id="6">
    <w:p w14:paraId="49A709A4" w14:textId="77777777" w:rsidR="009811B0" w:rsidRPr="003749A6" w:rsidRDefault="009811B0" w:rsidP="009811B0">
      <w:pPr>
        <w:pStyle w:val="Default"/>
        <w:ind w:left="284" w:hanging="284"/>
        <w:jc w:val="both"/>
        <w:rPr>
          <w:lang w:val="en-GB"/>
        </w:rPr>
      </w:pPr>
      <w:r w:rsidRPr="003749A6">
        <w:rPr>
          <w:rStyle w:val="FootnoteReference"/>
          <w:lang w:val="en-GB"/>
        </w:rPr>
        <w:footnoteRef/>
      </w:r>
      <w:r w:rsidRPr="003749A6">
        <w:rPr>
          <w:lang w:val="en-GB"/>
        </w:rPr>
        <w:tab/>
      </w:r>
      <w:r w:rsidRPr="0036766F">
        <w:rPr>
          <w:rFonts w:ascii="Arial" w:eastAsiaTheme="minorHAnsi" w:hAnsi="Arial"/>
          <w:color w:val="auto"/>
          <w:sz w:val="16"/>
          <w:lang w:val="en-GB"/>
        </w:rPr>
        <w:t>Commission Delegated Regulation</w:t>
      </w:r>
      <w:r>
        <w:rPr>
          <w:rFonts w:ascii="Arial" w:eastAsiaTheme="minorHAnsi" w:hAnsi="Arial"/>
          <w:color w:val="auto"/>
          <w:sz w:val="16"/>
          <w:lang w:val="en-GB"/>
        </w:rPr>
        <w:t> </w:t>
      </w:r>
      <w:r w:rsidRPr="0036766F">
        <w:rPr>
          <w:rFonts w:ascii="Arial" w:eastAsiaTheme="minorHAnsi" w:hAnsi="Arial"/>
          <w:color w:val="auto"/>
          <w:sz w:val="16"/>
          <w:lang w:val="en-GB"/>
        </w:rPr>
        <w:t>(EU) 2015/35 of 10</w:t>
      </w:r>
      <w:r>
        <w:rPr>
          <w:rFonts w:ascii="Arial" w:eastAsiaTheme="minorHAnsi" w:hAnsi="Arial"/>
          <w:color w:val="auto"/>
          <w:sz w:val="16"/>
          <w:lang w:val="en-GB"/>
        </w:rPr>
        <w:t> </w:t>
      </w:r>
      <w:r w:rsidRPr="0036766F">
        <w:rPr>
          <w:rFonts w:ascii="Arial" w:eastAsiaTheme="minorHAnsi" w:hAnsi="Arial"/>
          <w:color w:val="auto"/>
          <w:sz w:val="16"/>
          <w:lang w:val="en-GB"/>
        </w:rPr>
        <w:t>October</w:t>
      </w:r>
      <w:r>
        <w:rPr>
          <w:rFonts w:ascii="Arial" w:eastAsiaTheme="minorHAnsi" w:hAnsi="Arial"/>
          <w:color w:val="auto"/>
          <w:sz w:val="16"/>
          <w:lang w:val="en-GB"/>
        </w:rPr>
        <w:t> </w:t>
      </w:r>
      <w:r w:rsidRPr="0036766F">
        <w:rPr>
          <w:rFonts w:ascii="Arial" w:eastAsiaTheme="minorHAnsi" w:hAnsi="Arial"/>
          <w:color w:val="auto"/>
          <w:sz w:val="16"/>
          <w:lang w:val="en-GB"/>
        </w:rPr>
        <w:t>2014 supplementing Directive</w:t>
      </w:r>
      <w:r>
        <w:rPr>
          <w:rFonts w:ascii="Arial" w:eastAsiaTheme="minorHAnsi" w:hAnsi="Arial"/>
          <w:color w:val="auto"/>
          <w:sz w:val="16"/>
          <w:lang w:val="en-GB"/>
        </w:rPr>
        <w:t> </w:t>
      </w:r>
      <w:r w:rsidRPr="0036766F">
        <w:rPr>
          <w:rFonts w:ascii="Arial" w:eastAsiaTheme="minorHAnsi" w:hAnsi="Arial"/>
          <w:color w:val="auto"/>
          <w:sz w:val="16"/>
          <w:lang w:val="en-GB"/>
        </w:rPr>
        <w:t>2009/138/EC of the European Parliament and of the Council on the taking-up and pursuit of the business of Insurance and Reinsurance</w:t>
      </w:r>
      <w:r>
        <w:rPr>
          <w:rFonts w:ascii="Arial" w:eastAsiaTheme="minorHAnsi" w:hAnsi="Arial"/>
          <w:color w:val="auto"/>
          <w:sz w:val="16"/>
          <w:lang w:val="en-GB"/>
        </w:rPr>
        <w:t>.</w:t>
      </w:r>
    </w:p>
  </w:footnote>
  <w:footnote w:id="7">
    <w:p w14:paraId="2829B9C3" w14:textId="0E32BC87" w:rsidR="009811B0" w:rsidRPr="003749A6" w:rsidRDefault="009811B0" w:rsidP="009811B0">
      <w:pPr>
        <w:pStyle w:val="Default"/>
        <w:ind w:left="284" w:hanging="284"/>
        <w:jc w:val="both"/>
        <w:rPr>
          <w:lang w:val="en-GB"/>
        </w:rPr>
      </w:pPr>
      <w:r w:rsidRPr="003749A6">
        <w:rPr>
          <w:rStyle w:val="FootnoteReference"/>
          <w:lang w:val="en-GB"/>
        </w:rPr>
        <w:footnoteRef/>
      </w:r>
      <w:r w:rsidRPr="003749A6">
        <w:rPr>
          <w:lang w:val="en-GB"/>
        </w:rPr>
        <w:tab/>
      </w:r>
      <w:r w:rsidRPr="00F1341D">
        <w:rPr>
          <w:rFonts w:ascii="Arial" w:eastAsiaTheme="minorHAnsi" w:hAnsi="Arial"/>
          <w:color w:val="auto"/>
          <w:sz w:val="16"/>
          <w:lang w:val="en-GB"/>
        </w:rPr>
        <w:t xml:space="preserve">These provisions were provisionally included in </w:t>
      </w:r>
      <w:r w:rsidR="00DA5C2F" w:rsidRPr="00F1341D">
        <w:rPr>
          <w:rFonts w:ascii="Arial" w:eastAsiaTheme="minorHAnsi" w:hAnsi="Arial"/>
          <w:color w:val="auto"/>
          <w:sz w:val="16"/>
          <w:lang w:val="en-GB"/>
        </w:rPr>
        <w:t xml:space="preserve">Circular </w:t>
      </w:r>
      <w:r w:rsidR="00DA5C2F">
        <w:rPr>
          <w:rFonts w:ascii="Arial" w:eastAsiaTheme="minorHAnsi" w:hAnsi="Arial"/>
          <w:color w:val="auto"/>
          <w:sz w:val="16"/>
          <w:lang w:val="en-GB"/>
        </w:rPr>
        <w:t>NBB_</w:t>
      </w:r>
      <w:r w:rsidRPr="00F1341D">
        <w:rPr>
          <w:rFonts w:ascii="Arial" w:eastAsiaTheme="minorHAnsi" w:hAnsi="Arial"/>
          <w:color w:val="auto"/>
          <w:sz w:val="16"/>
          <w:lang w:val="en-GB"/>
        </w:rPr>
        <w:t>2016</w:t>
      </w:r>
      <w:r w:rsidR="00DA5C2F">
        <w:rPr>
          <w:rFonts w:ascii="Arial" w:eastAsiaTheme="minorHAnsi" w:hAnsi="Arial"/>
          <w:color w:val="auto"/>
          <w:sz w:val="16"/>
          <w:lang w:val="en-GB"/>
        </w:rPr>
        <w:t>_</w:t>
      </w:r>
      <w:r w:rsidRPr="00F1341D">
        <w:rPr>
          <w:rFonts w:ascii="Arial" w:eastAsiaTheme="minorHAnsi" w:hAnsi="Arial"/>
          <w:color w:val="auto"/>
          <w:sz w:val="16"/>
          <w:lang w:val="en-GB"/>
        </w:rPr>
        <w:t xml:space="preserve">31 on the governance system and are now transferred </w:t>
      </w:r>
      <w:r w:rsidR="00DA5C2F">
        <w:rPr>
          <w:rFonts w:ascii="Arial" w:eastAsiaTheme="minorHAnsi" w:hAnsi="Arial"/>
          <w:color w:val="auto"/>
          <w:sz w:val="16"/>
          <w:lang w:val="en-GB"/>
        </w:rPr>
        <w:t>in</w:t>
      </w:r>
      <w:r w:rsidRPr="00F1341D">
        <w:rPr>
          <w:rFonts w:ascii="Arial" w:eastAsiaTheme="minorHAnsi" w:hAnsi="Arial"/>
          <w:color w:val="auto"/>
          <w:sz w:val="16"/>
          <w:lang w:val="en-GB"/>
        </w:rPr>
        <w:t xml:space="preserve">to the handbook </w:t>
      </w:r>
      <w:r w:rsidR="00DA5C2F">
        <w:rPr>
          <w:rFonts w:ascii="Arial" w:eastAsiaTheme="minorHAnsi" w:hAnsi="Arial"/>
          <w:color w:val="auto"/>
          <w:sz w:val="16"/>
          <w:lang w:val="en-GB"/>
        </w:rPr>
        <w:t xml:space="preserve">as an </w:t>
      </w:r>
      <w:r w:rsidRPr="00F1341D">
        <w:rPr>
          <w:rFonts w:ascii="Arial" w:eastAsiaTheme="minorHAnsi" w:hAnsi="Arial"/>
          <w:color w:val="auto"/>
          <w:sz w:val="16"/>
          <w:lang w:val="en-GB"/>
        </w:rPr>
        <w:t>annex</w:t>
      </w:r>
      <w:r w:rsidR="00DA5C2F">
        <w:rPr>
          <w:rFonts w:ascii="Arial" w:eastAsiaTheme="minorHAnsi" w:hAnsi="Arial"/>
          <w:color w:val="auto"/>
          <w:sz w:val="16"/>
          <w:lang w:val="en-GB"/>
        </w:rPr>
        <w:t xml:space="preserve"> thereto</w:t>
      </w:r>
      <w:r w:rsidRPr="00F1341D">
        <w:rPr>
          <w:rFonts w:ascii="Arial" w:eastAsiaTheme="minorHAnsi" w:hAnsi="Arial"/>
          <w:color w:val="auto"/>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7" w14:textId="77777777" w:rsidR="00450949" w:rsidRDefault="00450949" w:rsidP="00E829D6">
    <w:pPr>
      <w:pStyle w:val="Header"/>
      <w:tabs>
        <w:tab w:val="clear" w:pos="4394"/>
        <w:tab w:val="center" w:pos="4395"/>
      </w:tabs>
    </w:pPr>
  </w:p>
  <w:p w14:paraId="32217A98" w14:textId="77777777" w:rsidR="00450949" w:rsidRPr="00BF29ED" w:rsidRDefault="00450949" w:rsidP="00E829D6">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9" w14:textId="77777777" w:rsidR="00450949" w:rsidRDefault="00450949" w:rsidP="00D850C8">
    <w:pPr>
      <w:pStyle w:val="Header"/>
    </w:pPr>
  </w:p>
  <w:p w14:paraId="32217A9A" w14:textId="77777777" w:rsidR="00450949" w:rsidRPr="00D850C8" w:rsidRDefault="00450949" w:rsidP="00D8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30970D8"/>
    <w:multiLevelType w:val="hybridMultilevel"/>
    <w:tmpl w:val="C89C93D6"/>
    <w:lvl w:ilvl="0" w:tplc="772E83C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977CD3"/>
    <w:multiLevelType w:val="hybridMultilevel"/>
    <w:tmpl w:val="E070D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15:restartNumberingAfterBreak="0">
    <w:nsid w:val="1F985344"/>
    <w:multiLevelType w:val="hybridMultilevel"/>
    <w:tmpl w:val="5656AC18"/>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2340F0"/>
    <w:multiLevelType w:val="hybridMultilevel"/>
    <w:tmpl w:val="0F0227E4"/>
    <w:lvl w:ilvl="0" w:tplc="772E83C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F53D96"/>
    <w:multiLevelType w:val="hybridMultilevel"/>
    <w:tmpl w:val="6A0E1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20"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1"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2" w15:restartNumberingAfterBreak="0">
    <w:nsid w:val="37394C47"/>
    <w:multiLevelType w:val="hybridMultilevel"/>
    <w:tmpl w:val="FE6041DA"/>
    <w:lvl w:ilvl="0" w:tplc="89700C04">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3"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4"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F723F4B"/>
    <w:multiLevelType w:val="hybridMultilevel"/>
    <w:tmpl w:val="B1323AF6"/>
    <w:lvl w:ilvl="0" w:tplc="EBCECBD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1" w15:restartNumberingAfterBreak="0">
    <w:nsid w:val="60254696"/>
    <w:multiLevelType w:val="hybridMultilevel"/>
    <w:tmpl w:val="528AEA66"/>
    <w:lvl w:ilvl="0" w:tplc="89700C04">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7"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2"/>
  </w:num>
  <w:num w:numId="12">
    <w:abstractNumId w:val="26"/>
  </w:num>
  <w:num w:numId="13">
    <w:abstractNumId w:val="35"/>
  </w:num>
  <w:num w:numId="14">
    <w:abstractNumId w:val="28"/>
  </w:num>
  <w:num w:numId="15">
    <w:abstractNumId w:val="24"/>
  </w:num>
  <w:num w:numId="16">
    <w:abstractNumId w:val="16"/>
  </w:num>
  <w:num w:numId="17">
    <w:abstractNumId w:val="36"/>
  </w:num>
  <w:num w:numId="18">
    <w:abstractNumId w:val="14"/>
  </w:num>
  <w:num w:numId="19">
    <w:abstractNumId w:val="19"/>
  </w:num>
  <w:num w:numId="20">
    <w:abstractNumId w:val="37"/>
  </w:num>
  <w:num w:numId="21">
    <w:abstractNumId w:val="13"/>
  </w:num>
  <w:num w:numId="22">
    <w:abstractNumId w:val="29"/>
  </w:num>
  <w:num w:numId="23">
    <w:abstractNumId w:val="33"/>
  </w:num>
  <w:num w:numId="24">
    <w:abstractNumId w:val="21"/>
  </w:num>
  <w:num w:numId="25">
    <w:abstractNumId w:val="20"/>
  </w:num>
  <w:num w:numId="26">
    <w:abstractNumId w:val="30"/>
  </w:num>
  <w:num w:numId="27">
    <w:abstractNumId w:val="10"/>
  </w:num>
  <w:num w:numId="28">
    <w:abstractNumId w:val="23"/>
  </w:num>
  <w:num w:numId="29">
    <w:abstractNumId w:val="34"/>
  </w:num>
  <w:num w:numId="30">
    <w:abstractNumId w:val="27"/>
  </w:num>
  <w:num w:numId="31">
    <w:abstractNumId w:val="12"/>
  </w:num>
  <w:num w:numId="32">
    <w:abstractNumId w:val="17"/>
  </w:num>
  <w:num w:numId="33">
    <w:abstractNumId w:val="11"/>
  </w:num>
  <w:num w:numId="34">
    <w:abstractNumId w:val="15"/>
  </w:num>
  <w:num w:numId="35">
    <w:abstractNumId w:val="22"/>
  </w:num>
  <w:num w:numId="36">
    <w:abstractNumId w:val="31"/>
  </w:num>
  <w:num w:numId="37">
    <w:abstractNumId w:val="2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67"/>
    <w:rsid w:val="00000851"/>
    <w:rsid w:val="00002DB7"/>
    <w:rsid w:val="00004D7F"/>
    <w:rsid w:val="000177F2"/>
    <w:rsid w:val="000218A4"/>
    <w:rsid w:val="00024A9E"/>
    <w:rsid w:val="00026308"/>
    <w:rsid w:val="000327D2"/>
    <w:rsid w:val="0003333C"/>
    <w:rsid w:val="00036E81"/>
    <w:rsid w:val="0004319E"/>
    <w:rsid w:val="0004570B"/>
    <w:rsid w:val="00046842"/>
    <w:rsid w:val="00051F2C"/>
    <w:rsid w:val="00053EEF"/>
    <w:rsid w:val="00062C1B"/>
    <w:rsid w:val="00064AC6"/>
    <w:rsid w:val="00082FA7"/>
    <w:rsid w:val="000869C2"/>
    <w:rsid w:val="00087A13"/>
    <w:rsid w:val="00090275"/>
    <w:rsid w:val="00097598"/>
    <w:rsid w:val="00097FD5"/>
    <w:rsid w:val="000A1DA9"/>
    <w:rsid w:val="000B6441"/>
    <w:rsid w:val="000B6EA4"/>
    <w:rsid w:val="000C0531"/>
    <w:rsid w:val="000C2D2E"/>
    <w:rsid w:val="000C35AA"/>
    <w:rsid w:val="000C37AB"/>
    <w:rsid w:val="000D10C0"/>
    <w:rsid w:val="000D405E"/>
    <w:rsid w:val="000E0090"/>
    <w:rsid w:val="000E2A68"/>
    <w:rsid w:val="000F0103"/>
    <w:rsid w:val="000F1EB6"/>
    <w:rsid w:val="000F7268"/>
    <w:rsid w:val="000F7C34"/>
    <w:rsid w:val="001126F5"/>
    <w:rsid w:val="0011420B"/>
    <w:rsid w:val="00114821"/>
    <w:rsid w:val="00117F31"/>
    <w:rsid w:val="00124312"/>
    <w:rsid w:val="00124AA8"/>
    <w:rsid w:val="00126494"/>
    <w:rsid w:val="00130D36"/>
    <w:rsid w:val="00133D4B"/>
    <w:rsid w:val="00145EF1"/>
    <w:rsid w:val="00147933"/>
    <w:rsid w:val="001516F5"/>
    <w:rsid w:val="0015337A"/>
    <w:rsid w:val="00154310"/>
    <w:rsid w:val="001548A9"/>
    <w:rsid w:val="00155349"/>
    <w:rsid w:val="00160D31"/>
    <w:rsid w:val="00161DC5"/>
    <w:rsid w:val="00163225"/>
    <w:rsid w:val="00167ACD"/>
    <w:rsid w:val="00170EDE"/>
    <w:rsid w:val="00171D70"/>
    <w:rsid w:val="00172DAF"/>
    <w:rsid w:val="00173E57"/>
    <w:rsid w:val="00175ADE"/>
    <w:rsid w:val="001763C2"/>
    <w:rsid w:val="001767CB"/>
    <w:rsid w:val="00180462"/>
    <w:rsid w:val="0018615D"/>
    <w:rsid w:val="00186EC7"/>
    <w:rsid w:val="0019158E"/>
    <w:rsid w:val="0019363A"/>
    <w:rsid w:val="00197FEB"/>
    <w:rsid w:val="001A1D68"/>
    <w:rsid w:val="001A7DC7"/>
    <w:rsid w:val="001B4EEE"/>
    <w:rsid w:val="001B7F21"/>
    <w:rsid w:val="001C6084"/>
    <w:rsid w:val="001D1E99"/>
    <w:rsid w:val="001D503F"/>
    <w:rsid w:val="001D7934"/>
    <w:rsid w:val="001F1805"/>
    <w:rsid w:val="001F711D"/>
    <w:rsid w:val="001F7C90"/>
    <w:rsid w:val="00200D79"/>
    <w:rsid w:val="00202B0B"/>
    <w:rsid w:val="00204BE8"/>
    <w:rsid w:val="00205AEE"/>
    <w:rsid w:val="00213474"/>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3BCC"/>
    <w:rsid w:val="002859A3"/>
    <w:rsid w:val="00287538"/>
    <w:rsid w:val="0028790D"/>
    <w:rsid w:val="002903BB"/>
    <w:rsid w:val="002A01BF"/>
    <w:rsid w:val="002B3ECC"/>
    <w:rsid w:val="002B4068"/>
    <w:rsid w:val="002B5743"/>
    <w:rsid w:val="002C25D5"/>
    <w:rsid w:val="002C6C64"/>
    <w:rsid w:val="002D5723"/>
    <w:rsid w:val="002D5C8D"/>
    <w:rsid w:val="002D75B3"/>
    <w:rsid w:val="002E10A2"/>
    <w:rsid w:val="002E15B9"/>
    <w:rsid w:val="002E409B"/>
    <w:rsid w:val="002E5144"/>
    <w:rsid w:val="002F1611"/>
    <w:rsid w:val="00301BEF"/>
    <w:rsid w:val="0031014D"/>
    <w:rsid w:val="003116AA"/>
    <w:rsid w:val="003135E6"/>
    <w:rsid w:val="003364D4"/>
    <w:rsid w:val="00336912"/>
    <w:rsid w:val="003419C5"/>
    <w:rsid w:val="00345973"/>
    <w:rsid w:val="00352B22"/>
    <w:rsid w:val="00353178"/>
    <w:rsid w:val="00353C2F"/>
    <w:rsid w:val="00353E3D"/>
    <w:rsid w:val="00354956"/>
    <w:rsid w:val="00362513"/>
    <w:rsid w:val="00363B18"/>
    <w:rsid w:val="00364175"/>
    <w:rsid w:val="00365065"/>
    <w:rsid w:val="00365FFE"/>
    <w:rsid w:val="0036766F"/>
    <w:rsid w:val="003749A6"/>
    <w:rsid w:val="00377371"/>
    <w:rsid w:val="003802EE"/>
    <w:rsid w:val="0038095A"/>
    <w:rsid w:val="00381F4A"/>
    <w:rsid w:val="00383392"/>
    <w:rsid w:val="00387716"/>
    <w:rsid w:val="00395A49"/>
    <w:rsid w:val="00397DDA"/>
    <w:rsid w:val="003A142C"/>
    <w:rsid w:val="003A4206"/>
    <w:rsid w:val="003B1662"/>
    <w:rsid w:val="003B3317"/>
    <w:rsid w:val="003B7866"/>
    <w:rsid w:val="003D01F2"/>
    <w:rsid w:val="003D7096"/>
    <w:rsid w:val="003E4928"/>
    <w:rsid w:val="003F2836"/>
    <w:rsid w:val="003F792F"/>
    <w:rsid w:val="004003CC"/>
    <w:rsid w:val="00407822"/>
    <w:rsid w:val="00412C56"/>
    <w:rsid w:val="00423E89"/>
    <w:rsid w:val="0042595A"/>
    <w:rsid w:val="004275C8"/>
    <w:rsid w:val="004449B7"/>
    <w:rsid w:val="00450949"/>
    <w:rsid w:val="0045258E"/>
    <w:rsid w:val="004540E1"/>
    <w:rsid w:val="00454C65"/>
    <w:rsid w:val="0045581C"/>
    <w:rsid w:val="00456DEB"/>
    <w:rsid w:val="004619EE"/>
    <w:rsid w:val="00464101"/>
    <w:rsid w:val="004679FA"/>
    <w:rsid w:val="00477F18"/>
    <w:rsid w:val="00480706"/>
    <w:rsid w:val="00485F3C"/>
    <w:rsid w:val="00491715"/>
    <w:rsid w:val="0049475B"/>
    <w:rsid w:val="00494A0D"/>
    <w:rsid w:val="004A477F"/>
    <w:rsid w:val="004A4C5C"/>
    <w:rsid w:val="004B400F"/>
    <w:rsid w:val="004B55C4"/>
    <w:rsid w:val="004B7A28"/>
    <w:rsid w:val="004C14FA"/>
    <w:rsid w:val="004C2424"/>
    <w:rsid w:val="004C76CB"/>
    <w:rsid w:val="004D12DD"/>
    <w:rsid w:val="004E136D"/>
    <w:rsid w:val="004F0108"/>
    <w:rsid w:val="004F04DA"/>
    <w:rsid w:val="004F0C4B"/>
    <w:rsid w:val="004F0F6B"/>
    <w:rsid w:val="004F41BA"/>
    <w:rsid w:val="005033DA"/>
    <w:rsid w:val="0050792E"/>
    <w:rsid w:val="00512317"/>
    <w:rsid w:val="0051268A"/>
    <w:rsid w:val="005228A1"/>
    <w:rsid w:val="005504ED"/>
    <w:rsid w:val="00552963"/>
    <w:rsid w:val="00553416"/>
    <w:rsid w:val="0055492B"/>
    <w:rsid w:val="00556064"/>
    <w:rsid w:val="00557A3F"/>
    <w:rsid w:val="0056043D"/>
    <w:rsid w:val="005616A3"/>
    <w:rsid w:val="00561763"/>
    <w:rsid w:val="00561A9A"/>
    <w:rsid w:val="00567693"/>
    <w:rsid w:val="00571A24"/>
    <w:rsid w:val="00582D56"/>
    <w:rsid w:val="00583102"/>
    <w:rsid w:val="0058360A"/>
    <w:rsid w:val="00592469"/>
    <w:rsid w:val="00592957"/>
    <w:rsid w:val="005932C7"/>
    <w:rsid w:val="0059396D"/>
    <w:rsid w:val="005940F1"/>
    <w:rsid w:val="005970CD"/>
    <w:rsid w:val="005A3DA7"/>
    <w:rsid w:val="005A5AE3"/>
    <w:rsid w:val="005B4C1C"/>
    <w:rsid w:val="005C1B25"/>
    <w:rsid w:val="005C3450"/>
    <w:rsid w:val="005C3F84"/>
    <w:rsid w:val="005D1DDD"/>
    <w:rsid w:val="005E1578"/>
    <w:rsid w:val="005E1B54"/>
    <w:rsid w:val="005E33F6"/>
    <w:rsid w:val="005F4B6D"/>
    <w:rsid w:val="005F7252"/>
    <w:rsid w:val="00603EAE"/>
    <w:rsid w:val="006107D5"/>
    <w:rsid w:val="00610B4E"/>
    <w:rsid w:val="00611E02"/>
    <w:rsid w:val="00627AF2"/>
    <w:rsid w:val="0063089E"/>
    <w:rsid w:val="006316A4"/>
    <w:rsid w:val="00631E3C"/>
    <w:rsid w:val="00634558"/>
    <w:rsid w:val="00635AD7"/>
    <w:rsid w:val="00635DCE"/>
    <w:rsid w:val="006372C7"/>
    <w:rsid w:val="006376E3"/>
    <w:rsid w:val="00642390"/>
    <w:rsid w:val="006506E6"/>
    <w:rsid w:val="00651843"/>
    <w:rsid w:val="00653A88"/>
    <w:rsid w:val="006602F1"/>
    <w:rsid w:val="006626A0"/>
    <w:rsid w:val="0066597E"/>
    <w:rsid w:val="00667481"/>
    <w:rsid w:val="006703F5"/>
    <w:rsid w:val="0067198D"/>
    <w:rsid w:val="0068065A"/>
    <w:rsid w:val="006836CA"/>
    <w:rsid w:val="00683802"/>
    <w:rsid w:val="00685F59"/>
    <w:rsid w:val="0068679D"/>
    <w:rsid w:val="00686FD5"/>
    <w:rsid w:val="0069170F"/>
    <w:rsid w:val="0069769C"/>
    <w:rsid w:val="00697F48"/>
    <w:rsid w:val="006A3829"/>
    <w:rsid w:val="006B51AD"/>
    <w:rsid w:val="006B6BFC"/>
    <w:rsid w:val="006E28B9"/>
    <w:rsid w:val="006E714E"/>
    <w:rsid w:val="006E7D13"/>
    <w:rsid w:val="00701607"/>
    <w:rsid w:val="00702DA6"/>
    <w:rsid w:val="00706B32"/>
    <w:rsid w:val="0071004E"/>
    <w:rsid w:val="00714070"/>
    <w:rsid w:val="007148AA"/>
    <w:rsid w:val="00721249"/>
    <w:rsid w:val="00721541"/>
    <w:rsid w:val="00730DDA"/>
    <w:rsid w:val="00733829"/>
    <w:rsid w:val="00733DE9"/>
    <w:rsid w:val="00741E9C"/>
    <w:rsid w:val="007459B1"/>
    <w:rsid w:val="00750B57"/>
    <w:rsid w:val="00752FC4"/>
    <w:rsid w:val="007654E7"/>
    <w:rsid w:val="00766F4D"/>
    <w:rsid w:val="0077019B"/>
    <w:rsid w:val="00773E81"/>
    <w:rsid w:val="007776E4"/>
    <w:rsid w:val="00777713"/>
    <w:rsid w:val="00785B6F"/>
    <w:rsid w:val="00787601"/>
    <w:rsid w:val="00796920"/>
    <w:rsid w:val="00797BED"/>
    <w:rsid w:val="007A1C59"/>
    <w:rsid w:val="007A1F21"/>
    <w:rsid w:val="007A3EF3"/>
    <w:rsid w:val="007A552B"/>
    <w:rsid w:val="007A6D1E"/>
    <w:rsid w:val="007B25F7"/>
    <w:rsid w:val="007B793B"/>
    <w:rsid w:val="007C6D45"/>
    <w:rsid w:val="007D2A60"/>
    <w:rsid w:val="007D47CD"/>
    <w:rsid w:val="007E0494"/>
    <w:rsid w:val="007E0635"/>
    <w:rsid w:val="007E0667"/>
    <w:rsid w:val="007E71C9"/>
    <w:rsid w:val="007F0A8C"/>
    <w:rsid w:val="007F0D60"/>
    <w:rsid w:val="007F462A"/>
    <w:rsid w:val="007F5AF5"/>
    <w:rsid w:val="007F78DB"/>
    <w:rsid w:val="00802EA2"/>
    <w:rsid w:val="0080424F"/>
    <w:rsid w:val="00804480"/>
    <w:rsid w:val="00805AFA"/>
    <w:rsid w:val="0081015C"/>
    <w:rsid w:val="00813396"/>
    <w:rsid w:val="00814FBE"/>
    <w:rsid w:val="00821F74"/>
    <w:rsid w:val="008220D0"/>
    <w:rsid w:val="00822375"/>
    <w:rsid w:val="00824A23"/>
    <w:rsid w:val="00836C05"/>
    <w:rsid w:val="008437C4"/>
    <w:rsid w:val="00843F67"/>
    <w:rsid w:val="00844323"/>
    <w:rsid w:val="00847145"/>
    <w:rsid w:val="008503E8"/>
    <w:rsid w:val="00862FBC"/>
    <w:rsid w:val="008837CF"/>
    <w:rsid w:val="00896CFE"/>
    <w:rsid w:val="008977A1"/>
    <w:rsid w:val="008C4032"/>
    <w:rsid w:val="008E5948"/>
    <w:rsid w:val="008E6752"/>
    <w:rsid w:val="008E6931"/>
    <w:rsid w:val="0090354E"/>
    <w:rsid w:val="0090398E"/>
    <w:rsid w:val="00905D03"/>
    <w:rsid w:val="00914031"/>
    <w:rsid w:val="00932175"/>
    <w:rsid w:val="00935B26"/>
    <w:rsid w:val="009371CD"/>
    <w:rsid w:val="00937808"/>
    <w:rsid w:val="00940C81"/>
    <w:rsid w:val="00942B19"/>
    <w:rsid w:val="00942EE2"/>
    <w:rsid w:val="00944080"/>
    <w:rsid w:val="00944E51"/>
    <w:rsid w:val="009466D6"/>
    <w:rsid w:val="00950793"/>
    <w:rsid w:val="00950C45"/>
    <w:rsid w:val="00954143"/>
    <w:rsid w:val="00957802"/>
    <w:rsid w:val="00957DEA"/>
    <w:rsid w:val="009600D3"/>
    <w:rsid w:val="00974952"/>
    <w:rsid w:val="009811B0"/>
    <w:rsid w:val="00983714"/>
    <w:rsid w:val="00983C4D"/>
    <w:rsid w:val="00985229"/>
    <w:rsid w:val="00987DEA"/>
    <w:rsid w:val="00991E7A"/>
    <w:rsid w:val="009939BE"/>
    <w:rsid w:val="00994BF4"/>
    <w:rsid w:val="009975FB"/>
    <w:rsid w:val="009A0346"/>
    <w:rsid w:val="009A140C"/>
    <w:rsid w:val="009B132A"/>
    <w:rsid w:val="009B6FA0"/>
    <w:rsid w:val="009C02FA"/>
    <w:rsid w:val="009C0BC7"/>
    <w:rsid w:val="009D0367"/>
    <w:rsid w:val="009D10D0"/>
    <w:rsid w:val="009D1225"/>
    <w:rsid w:val="009D15BD"/>
    <w:rsid w:val="009D277D"/>
    <w:rsid w:val="009D3040"/>
    <w:rsid w:val="009D3082"/>
    <w:rsid w:val="009D58AE"/>
    <w:rsid w:val="009D784B"/>
    <w:rsid w:val="009E2A0A"/>
    <w:rsid w:val="009E56DB"/>
    <w:rsid w:val="009E6317"/>
    <w:rsid w:val="009F5495"/>
    <w:rsid w:val="009F6724"/>
    <w:rsid w:val="00A01013"/>
    <w:rsid w:val="00A040D4"/>
    <w:rsid w:val="00A06B19"/>
    <w:rsid w:val="00A07787"/>
    <w:rsid w:val="00A11F91"/>
    <w:rsid w:val="00A122B7"/>
    <w:rsid w:val="00A141C9"/>
    <w:rsid w:val="00A147E1"/>
    <w:rsid w:val="00A16F91"/>
    <w:rsid w:val="00A17571"/>
    <w:rsid w:val="00A23731"/>
    <w:rsid w:val="00A2514A"/>
    <w:rsid w:val="00A259C1"/>
    <w:rsid w:val="00A25A33"/>
    <w:rsid w:val="00A267AD"/>
    <w:rsid w:val="00A33255"/>
    <w:rsid w:val="00A351FF"/>
    <w:rsid w:val="00A355E9"/>
    <w:rsid w:val="00A51FAA"/>
    <w:rsid w:val="00A55A96"/>
    <w:rsid w:val="00A562C0"/>
    <w:rsid w:val="00A56340"/>
    <w:rsid w:val="00A605D0"/>
    <w:rsid w:val="00A621A5"/>
    <w:rsid w:val="00A62501"/>
    <w:rsid w:val="00A679F2"/>
    <w:rsid w:val="00A67EF7"/>
    <w:rsid w:val="00A709E5"/>
    <w:rsid w:val="00A7250C"/>
    <w:rsid w:val="00A73D60"/>
    <w:rsid w:val="00A876D8"/>
    <w:rsid w:val="00A912F7"/>
    <w:rsid w:val="00A91770"/>
    <w:rsid w:val="00A973C8"/>
    <w:rsid w:val="00A979C7"/>
    <w:rsid w:val="00AA074E"/>
    <w:rsid w:val="00AB2E45"/>
    <w:rsid w:val="00AB48E7"/>
    <w:rsid w:val="00AB4D11"/>
    <w:rsid w:val="00AB5B67"/>
    <w:rsid w:val="00AB5F38"/>
    <w:rsid w:val="00AB6BD9"/>
    <w:rsid w:val="00AC619F"/>
    <w:rsid w:val="00AD7BAB"/>
    <w:rsid w:val="00AE028E"/>
    <w:rsid w:val="00AE0FA5"/>
    <w:rsid w:val="00AE4609"/>
    <w:rsid w:val="00AE4F77"/>
    <w:rsid w:val="00AF77D2"/>
    <w:rsid w:val="00B04933"/>
    <w:rsid w:val="00B11BB2"/>
    <w:rsid w:val="00B144C0"/>
    <w:rsid w:val="00B14ADD"/>
    <w:rsid w:val="00B170C1"/>
    <w:rsid w:val="00B338D7"/>
    <w:rsid w:val="00B34FEF"/>
    <w:rsid w:val="00B352D4"/>
    <w:rsid w:val="00B402AF"/>
    <w:rsid w:val="00B404A0"/>
    <w:rsid w:val="00B41942"/>
    <w:rsid w:val="00B44C6F"/>
    <w:rsid w:val="00B44D45"/>
    <w:rsid w:val="00B46BAE"/>
    <w:rsid w:val="00B52F2E"/>
    <w:rsid w:val="00B614D1"/>
    <w:rsid w:val="00B63419"/>
    <w:rsid w:val="00B63B89"/>
    <w:rsid w:val="00B661C8"/>
    <w:rsid w:val="00B80CFD"/>
    <w:rsid w:val="00B83DD1"/>
    <w:rsid w:val="00B908B1"/>
    <w:rsid w:val="00B92424"/>
    <w:rsid w:val="00B94909"/>
    <w:rsid w:val="00B97B40"/>
    <w:rsid w:val="00BB4F58"/>
    <w:rsid w:val="00BB5C86"/>
    <w:rsid w:val="00BB5E44"/>
    <w:rsid w:val="00BC0B3C"/>
    <w:rsid w:val="00BC351F"/>
    <w:rsid w:val="00BD7A38"/>
    <w:rsid w:val="00BE0CD8"/>
    <w:rsid w:val="00BF29ED"/>
    <w:rsid w:val="00BF5C8A"/>
    <w:rsid w:val="00C0339C"/>
    <w:rsid w:val="00C0402A"/>
    <w:rsid w:val="00C0490F"/>
    <w:rsid w:val="00C079B3"/>
    <w:rsid w:val="00C14AFF"/>
    <w:rsid w:val="00C24707"/>
    <w:rsid w:val="00C25AA1"/>
    <w:rsid w:val="00C271E6"/>
    <w:rsid w:val="00C276F1"/>
    <w:rsid w:val="00C312EF"/>
    <w:rsid w:val="00C33CD7"/>
    <w:rsid w:val="00C34E1C"/>
    <w:rsid w:val="00C474DC"/>
    <w:rsid w:val="00C47857"/>
    <w:rsid w:val="00C5387A"/>
    <w:rsid w:val="00C563FE"/>
    <w:rsid w:val="00C61050"/>
    <w:rsid w:val="00C634C5"/>
    <w:rsid w:val="00C641E4"/>
    <w:rsid w:val="00C66480"/>
    <w:rsid w:val="00C753E9"/>
    <w:rsid w:val="00C81B69"/>
    <w:rsid w:val="00C846EC"/>
    <w:rsid w:val="00C84EA1"/>
    <w:rsid w:val="00C90176"/>
    <w:rsid w:val="00C9043A"/>
    <w:rsid w:val="00C94B35"/>
    <w:rsid w:val="00C961A9"/>
    <w:rsid w:val="00CA5A74"/>
    <w:rsid w:val="00CA6254"/>
    <w:rsid w:val="00CB2202"/>
    <w:rsid w:val="00CB30C8"/>
    <w:rsid w:val="00CB3961"/>
    <w:rsid w:val="00CB4A52"/>
    <w:rsid w:val="00CC0365"/>
    <w:rsid w:val="00CC1355"/>
    <w:rsid w:val="00CC4296"/>
    <w:rsid w:val="00CC6E3E"/>
    <w:rsid w:val="00CE540D"/>
    <w:rsid w:val="00CE5D84"/>
    <w:rsid w:val="00CF6318"/>
    <w:rsid w:val="00CF63B4"/>
    <w:rsid w:val="00D00492"/>
    <w:rsid w:val="00D05113"/>
    <w:rsid w:val="00D0540B"/>
    <w:rsid w:val="00D06A39"/>
    <w:rsid w:val="00D12F2B"/>
    <w:rsid w:val="00D231CE"/>
    <w:rsid w:val="00D25CC0"/>
    <w:rsid w:val="00D2603A"/>
    <w:rsid w:val="00D2703D"/>
    <w:rsid w:val="00D3140E"/>
    <w:rsid w:val="00D31E35"/>
    <w:rsid w:val="00D32B1A"/>
    <w:rsid w:val="00D346B5"/>
    <w:rsid w:val="00D36C5D"/>
    <w:rsid w:val="00D423C7"/>
    <w:rsid w:val="00D527DE"/>
    <w:rsid w:val="00D556C0"/>
    <w:rsid w:val="00D558B4"/>
    <w:rsid w:val="00D60A56"/>
    <w:rsid w:val="00D6275A"/>
    <w:rsid w:val="00D62D9B"/>
    <w:rsid w:val="00D63B8E"/>
    <w:rsid w:val="00D63DA6"/>
    <w:rsid w:val="00D650B1"/>
    <w:rsid w:val="00D718C9"/>
    <w:rsid w:val="00D75B6C"/>
    <w:rsid w:val="00D82C98"/>
    <w:rsid w:val="00D850C8"/>
    <w:rsid w:val="00DA16CD"/>
    <w:rsid w:val="00DA5C2F"/>
    <w:rsid w:val="00DB31C8"/>
    <w:rsid w:val="00DC0B0F"/>
    <w:rsid w:val="00DC1B28"/>
    <w:rsid w:val="00DC727C"/>
    <w:rsid w:val="00DC7E81"/>
    <w:rsid w:val="00DD1D39"/>
    <w:rsid w:val="00DD2826"/>
    <w:rsid w:val="00DF3B32"/>
    <w:rsid w:val="00DF758C"/>
    <w:rsid w:val="00DF7D48"/>
    <w:rsid w:val="00E03E9B"/>
    <w:rsid w:val="00E04E63"/>
    <w:rsid w:val="00E07CCE"/>
    <w:rsid w:val="00E13E2F"/>
    <w:rsid w:val="00E13E61"/>
    <w:rsid w:val="00E15C4F"/>
    <w:rsid w:val="00E162FC"/>
    <w:rsid w:val="00E16B13"/>
    <w:rsid w:val="00E22E1D"/>
    <w:rsid w:val="00E2444D"/>
    <w:rsid w:val="00E2474B"/>
    <w:rsid w:val="00E26ABD"/>
    <w:rsid w:val="00E348BA"/>
    <w:rsid w:val="00E34A80"/>
    <w:rsid w:val="00E36D9F"/>
    <w:rsid w:val="00E42D5B"/>
    <w:rsid w:val="00E471A8"/>
    <w:rsid w:val="00E52E2A"/>
    <w:rsid w:val="00E60AE9"/>
    <w:rsid w:val="00E644AB"/>
    <w:rsid w:val="00E6549C"/>
    <w:rsid w:val="00E65C86"/>
    <w:rsid w:val="00E66CEF"/>
    <w:rsid w:val="00E73749"/>
    <w:rsid w:val="00E759E4"/>
    <w:rsid w:val="00E77B8A"/>
    <w:rsid w:val="00E829D6"/>
    <w:rsid w:val="00E87276"/>
    <w:rsid w:val="00E9460D"/>
    <w:rsid w:val="00E9511F"/>
    <w:rsid w:val="00E966D1"/>
    <w:rsid w:val="00EA2226"/>
    <w:rsid w:val="00EA33BE"/>
    <w:rsid w:val="00EB13F8"/>
    <w:rsid w:val="00EB1BBB"/>
    <w:rsid w:val="00EB28A5"/>
    <w:rsid w:val="00EB3741"/>
    <w:rsid w:val="00EB3F3D"/>
    <w:rsid w:val="00EB577B"/>
    <w:rsid w:val="00EB6DE0"/>
    <w:rsid w:val="00EC4C5F"/>
    <w:rsid w:val="00EC593A"/>
    <w:rsid w:val="00ED10C8"/>
    <w:rsid w:val="00ED1B50"/>
    <w:rsid w:val="00ED27CC"/>
    <w:rsid w:val="00ED445E"/>
    <w:rsid w:val="00ED687C"/>
    <w:rsid w:val="00ED6928"/>
    <w:rsid w:val="00EE3C1C"/>
    <w:rsid w:val="00EE5676"/>
    <w:rsid w:val="00F01DE1"/>
    <w:rsid w:val="00F063BF"/>
    <w:rsid w:val="00F06BA4"/>
    <w:rsid w:val="00F120C3"/>
    <w:rsid w:val="00F1341D"/>
    <w:rsid w:val="00F21513"/>
    <w:rsid w:val="00F24DB0"/>
    <w:rsid w:val="00F31133"/>
    <w:rsid w:val="00F32E26"/>
    <w:rsid w:val="00F35F9D"/>
    <w:rsid w:val="00F43908"/>
    <w:rsid w:val="00F449D1"/>
    <w:rsid w:val="00F55AC8"/>
    <w:rsid w:val="00F57B63"/>
    <w:rsid w:val="00F62B97"/>
    <w:rsid w:val="00F63335"/>
    <w:rsid w:val="00F64E38"/>
    <w:rsid w:val="00F65486"/>
    <w:rsid w:val="00F747FC"/>
    <w:rsid w:val="00F76523"/>
    <w:rsid w:val="00F838F7"/>
    <w:rsid w:val="00F846F3"/>
    <w:rsid w:val="00F8549F"/>
    <w:rsid w:val="00F916D9"/>
    <w:rsid w:val="00F917ED"/>
    <w:rsid w:val="00F97873"/>
    <w:rsid w:val="00FA14B8"/>
    <w:rsid w:val="00FA44B3"/>
    <w:rsid w:val="00FA56DE"/>
    <w:rsid w:val="00FB22E0"/>
    <w:rsid w:val="00FE222C"/>
    <w:rsid w:val="00FE24A6"/>
    <w:rsid w:val="00FE349E"/>
    <w:rsid w:val="00FE50AF"/>
    <w:rsid w:val="00FE6D09"/>
    <w:rsid w:val="00FF53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2217A1F"/>
  <w15:docId w15:val="{3280848A-FADF-49CF-89AB-3F01877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aliases w:val="Heading 5 Char1"/>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qFormat/>
    <w:rsid w:val="00276804"/>
    <w:pPr>
      <w:spacing w:after="260"/>
    </w:pPr>
    <w:rPr>
      <w:i/>
      <w:sz w:val="22"/>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style>
  <w:style w:type="paragraph" w:customStyle="1" w:styleId="SignaturesHandtekeningen">
    <w:name w:val="Signatures/Handtekeningen"/>
    <w:basedOn w:val="Normal"/>
    <w:qFormat/>
    <w:rsid w:val="00E348BA"/>
    <w:pPr>
      <w:tabs>
        <w:tab w:val="clear" w:pos="284"/>
        <w:tab w:val="left" w:pos="3402"/>
      </w:tabs>
    </w:p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Default">
    <w:name w:val="Default"/>
    <w:rsid w:val="003D01F2"/>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B170C1"/>
    <w:pPr>
      <w:ind w:left="720"/>
      <w:contextualSpacing/>
    </w:pPr>
  </w:style>
  <w:style w:type="character" w:customStyle="1" w:styleId="FootnoteTextChar">
    <w:name w:val="Footnote Text Char"/>
    <w:basedOn w:val="DefaultParagraphFont"/>
    <w:link w:val="FootnoteText"/>
    <w:rsid w:val="006836CA"/>
    <w:rPr>
      <w:rFonts w:ascii="Arial" w:hAnsi="Arial"/>
      <w:sz w:val="18"/>
      <w:lang w:eastAsia="en-US"/>
    </w:rPr>
  </w:style>
  <w:style w:type="character" w:styleId="CommentReference">
    <w:name w:val="annotation reference"/>
    <w:basedOn w:val="DefaultParagraphFont"/>
    <w:semiHidden/>
    <w:unhideWhenUsed/>
    <w:rsid w:val="00A33255"/>
    <w:rPr>
      <w:sz w:val="16"/>
      <w:szCs w:val="16"/>
    </w:rPr>
  </w:style>
  <w:style w:type="paragraph" w:styleId="CommentText">
    <w:name w:val="annotation text"/>
    <w:basedOn w:val="Normal"/>
    <w:link w:val="CommentTextChar"/>
    <w:semiHidden/>
    <w:unhideWhenUsed/>
    <w:rsid w:val="00A33255"/>
    <w:pPr>
      <w:spacing w:line="240" w:lineRule="auto"/>
    </w:pPr>
  </w:style>
  <w:style w:type="character" w:customStyle="1" w:styleId="CommentTextChar">
    <w:name w:val="Comment Text Char"/>
    <w:basedOn w:val="DefaultParagraphFont"/>
    <w:link w:val="CommentText"/>
    <w:semiHidden/>
    <w:rsid w:val="00A33255"/>
    <w:rPr>
      <w:rFonts w:ascii="Arial" w:hAnsi="Arial"/>
      <w:lang w:eastAsia="en-US"/>
    </w:rPr>
  </w:style>
  <w:style w:type="paragraph" w:styleId="CommentSubject">
    <w:name w:val="annotation subject"/>
    <w:basedOn w:val="CommentText"/>
    <w:next w:val="CommentText"/>
    <w:link w:val="CommentSubjectChar"/>
    <w:semiHidden/>
    <w:unhideWhenUsed/>
    <w:rsid w:val="00A33255"/>
    <w:rPr>
      <w:b/>
      <w:bCs/>
    </w:rPr>
  </w:style>
  <w:style w:type="character" w:customStyle="1" w:styleId="CommentSubjectChar">
    <w:name w:val="Comment Subject Char"/>
    <w:basedOn w:val="CommentTextChar"/>
    <w:link w:val="CommentSubject"/>
    <w:semiHidden/>
    <w:rsid w:val="00A33255"/>
    <w:rPr>
      <w:rFonts w:ascii="Arial" w:hAnsi="Arial"/>
      <w:b/>
      <w:bCs/>
      <w:lang w:eastAsia="en-US"/>
    </w:rPr>
  </w:style>
  <w:style w:type="character" w:styleId="UnresolvedMention">
    <w:name w:val="Unresolved Mention"/>
    <w:basedOn w:val="DefaultParagraphFont"/>
    <w:uiPriority w:val="99"/>
    <w:semiHidden/>
    <w:unhideWhenUsed/>
    <w:rsid w:val="00ED27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herine.terrier@nbb.b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BB_Document" ma:contentTypeID="0x010100FEDCBA0987654321FEDCBA09876573A1001EA99C4677D4C74DA2CBC65A390ED9FF" ma:contentTypeVersion="4" ma:contentTypeDescription="Document" ma:contentTypeScope="" ma:versionID="c8e5b7351ab946af579686667f29ab63">
  <xsd:schema xmlns:xsd="http://www.w3.org/2001/XMLSchema" xmlns:xs="http://www.w3.org/2001/XMLSchema" xmlns:p="http://schemas.microsoft.com/office/2006/metadata/properties" xmlns:ns2="73cb8da0-c499-4296-abe6-3abdb8d92b34" targetNamespace="http://schemas.microsoft.com/office/2006/metadata/properties" ma:root="true" ma:fieldsID="763ffcbcd8724fcfa4f14aea5760e9a8" ns2:_="">
    <xsd:import namespace="73cb8da0-c499-4296-abe6-3abdb8d92b34"/>
    <xsd:element name="properties">
      <xsd:complexType>
        <xsd:sequence>
          <xsd:element name="documentManagement">
            <xsd:complexType>
              <xsd:all>
                <xsd:element ref="ns2:NBB_ClassificationPath" minOccurs="0"/>
                <xsd:element ref="ns2:NBB_GroupName" minOccurs="0"/>
                <xsd:element ref="ns2:NBB_CompanyName" minOccurs="0"/>
                <xsd:element ref="ns2:NBB_Metier" minOccurs="0"/>
                <xsd:element ref="ns2:NBB_Author" minOccurs="0"/>
                <xsd:element ref="ns2:NBB_DocumentDate" minOccurs="0"/>
                <xsd:element ref="ns2:NBB_DocumentFlow" minOccurs="0"/>
                <xsd:element ref="ns2:NBB_PublicFoldersPath" minOccurs="0"/>
                <xsd:element ref="ns2:NBB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8da0-c499-4296-abe6-3abdb8d92b34" elementFormDefault="qualified">
    <xsd:import namespace="http://schemas.microsoft.com/office/2006/documentManagement/types"/>
    <xsd:import namespace="http://schemas.microsoft.com/office/infopath/2007/PartnerControls"/>
    <xsd:element name="NBB_ClassificationPath" ma:index="8" nillable="true" ma:displayName="NBB_ClassificationPath" ma:internalName="NBB_ClassificationPath">
      <xsd:simpleType>
        <xsd:restriction base="dms:Text"/>
      </xsd:simpleType>
    </xsd:element>
    <xsd:element name="NBB_GroupName" ma:index="9" nillable="true" ma:displayName="NBB_GroupName" ma:internalName="NBB_GroupName">
      <xsd:simpleType>
        <xsd:restriction base="dms:Text"/>
      </xsd:simpleType>
    </xsd:element>
    <xsd:element name="NBB_CompanyName" ma:index="10" nillable="true" ma:displayName="NBB_CompanyName" ma:internalName="NBB_CompanyName">
      <xsd:simpleType>
        <xsd:restriction base="dms:Text"/>
      </xsd:simpleType>
    </xsd:element>
    <xsd:element name="NBB_Metier" ma:index="11" nillable="true" ma:displayName="NBB_Metier" ma:internalName="NBB_Metier">
      <xsd:simpleType>
        <xsd:restriction base="dms:Text"/>
      </xsd:simpleType>
    </xsd:element>
    <xsd:element name="NBB_Author" ma:index="12" nillable="true" ma:displayName="NBB_Author" ma:internalName="NBB_Author">
      <xsd:simpleType>
        <xsd:restriction base="dms:Text"/>
      </xsd:simpleType>
    </xsd:element>
    <xsd:element name="NBB_DocumentDate" ma:index="13" nillable="true" ma:displayName="NBB_DocumentDate" ma:format="DateTime" ma:internalName="NBB_DocumentDate">
      <xsd:simpleType>
        <xsd:restriction base="dms:DateTime"/>
      </xsd:simpleType>
    </xsd:element>
    <xsd:element name="NBB_DocumentFlow" ma:index="14" nillable="true" ma:displayName="NBB_DocumentFlow" ma:internalName="NBB_DocumentFlow">
      <xsd:simpleType>
        <xsd:restriction base="dms:Choice">
          <xsd:enumeration value="Intern"/>
          <xsd:enumeration value="In"/>
          <xsd:enumeration value="Out"/>
        </xsd:restriction>
      </xsd:simpleType>
    </xsd:element>
    <xsd:element name="NBB_PublicFoldersPath" ma:index="15" nillable="true" ma:displayName="NBB_PublicFoldersPath" ma:internalName="NBB_PublicFoldersPath">
      <xsd:simpleType>
        <xsd:restriction base="dms:Text"/>
      </xsd:simpleType>
    </xsd:element>
    <xsd:element name="NBB_Final" ma:index="16" nillable="true" ma:displayName="NBB_Final" ma:default="0" ma:internalName="NBB_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BB_Final xmlns="73cb8da0-c499-4296-abe6-3abdb8d92b34">false</NBB_Final>
    <NBB_CompanyName xmlns="73cb8da0-c499-4296-abe6-3abdb8d92b34" xsi:nil="true"/>
    <NBB_GroupName xmlns="73cb8da0-c499-4296-abe6-3abdb8d92b34" xsi:nil="true"/>
    <NBB_DocumentDate xmlns="73cb8da0-c499-4296-abe6-3abdb8d92b34">2018-09-17T22:00:00+00:00</NBB_DocumentDate>
    <NBB_Author xmlns="73cb8da0-c499-4296-abe6-3abdb8d92b34">Catherine Terrier</NBB_Author>
    <NBB_DocumentFlow xmlns="73cb8da0-c499-4296-abe6-3abdb8d92b34">Out</NBB_DocumentFlow>
    <NBB_Metier xmlns="73cb8da0-c499-4296-abe6-3abdb8d92b34" xsi:nil="true"/>
    <NBB_PublicFoldersPath xmlns="73cb8da0-c499-4296-abe6-3abdb8d92b34" xsi:nil="true"/>
    <NBB_ClassificationPath xmlns="73cb8da0-c499-4296-abe6-3abdb8d92b34" xsi:nil="true"/>
  </documentManagement>
</p:properties>
</file>

<file path=customXml/item4.xml><?xml version="1.0" encoding="utf-8"?>
<?mso-contentType ?>
<MyProperties xmlns="mypropertiesschema-NBB_Document">
  <ContentTypeSets>
    <ContentTypeSet>Common</ContentTypeSet>
  </ContentTypeSets>
</My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3EDE-8BB0-4DB0-86D4-8D128DBCA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8da0-c499-4296-abe6-3abdb8d92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92BCB-1FB5-4204-91CD-5390341E95AB}">
  <ds:schemaRefs>
    <ds:schemaRef ds:uri="http://schemas.microsoft.com/sharepoint/v3/contenttype/forms"/>
  </ds:schemaRefs>
</ds:datastoreItem>
</file>

<file path=customXml/itemProps3.xml><?xml version="1.0" encoding="utf-8"?>
<ds:datastoreItem xmlns:ds="http://schemas.openxmlformats.org/officeDocument/2006/customXml" ds:itemID="{F04977E1-F85B-44B0-9EF6-D962AADB4F14}">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3cb8da0-c499-4296-abe6-3abdb8d92b34"/>
    <ds:schemaRef ds:uri="http://www.w3.org/XML/1998/namespace"/>
  </ds:schemaRefs>
</ds:datastoreItem>
</file>

<file path=customXml/itemProps4.xml><?xml version="1.0" encoding="utf-8"?>
<ds:datastoreItem xmlns:ds="http://schemas.openxmlformats.org/officeDocument/2006/customXml" ds:itemID="{80A3E286-10C7-443D-9FA2-27BFC72EE2ED}">
  <ds:schemaRefs>
    <ds:schemaRef ds:uri="mypropertiesschema-NBB_Document"/>
  </ds:schemaRefs>
</ds:datastoreItem>
</file>

<file path=customXml/itemProps5.xml><?xml version="1.0" encoding="utf-8"?>
<ds:datastoreItem xmlns:ds="http://schemas.openxmlformats.org/officeDocument/2006/customXml" ds:itemID="{40DBABDC-0D89-4BE4-B047-B24411B4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TotalTime>
  <Pages>5</Pages>
  <Words>2161</Words>
  <Characters>11889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Terrier Catherine</dc:creator>
  <cp:lastModifiedBy>Arys Viviane</cp:lastModifiedBy>
  <cp:revision>2</cp:revision>
  <cp:lastPrinted>2018-09-17T12:42:00Z</cp:lastPrinted>
  <dcterms:created xsi:type="dcterms:W3CDTF">2018-10-02T13:05:00Z</dcterms:created>
  <dcterms:modified xsi:type="dcterms:W3CDTF">2018-10-02T13:05:00Z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0x010100FEDCBA0987654321FEDCBA09876573A1001EA99C4677D4C74DA2CBC65A390ED9FF</vt:lpwstr>
  </property>
  <property fmtid="{D5CDD505-2E9C-101B-9397-08002B2CF9AE}" pid="3" name="Order">
    <vt:r8>297400</vt:r8>
  </property>
</Properties>
</file>