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29"/>
      </w:tblGrid>
      <w:tr w:rsidR="008C2478" w:rsidRPr="00FA458C" w14:paraId="7A46653C" w14:textId="77777777" w:rsidTr="00FA458C">
        <w:tc>
          <w:tcPr>
            <w:tcW w:w="8929" w:type="dxa"/>
            <w:shd w:val="clear" w:color="auto" w:fill="auto"/>
          </w:tcPr>
          <w:p w14:paraId="26F75A0D" w14:textId="0E9E9F51" w:rsidR="008C2478" w:rsidRPr="00FA458C" w:rsidRDefault="00FA458C" w:rsidP="00FA458C">
            <w:pPr>
              <w:pStyle w:val="ListParagraph"/>
              <w:overflowPunct w:val="0"/>
              <w:autoSpaceDE w:val="0"/>
              <w:autoSpaceDN w:val="0"/>
              <w:adjustRightInd w:val="0"/>
              <w:spacing w:before="120" w:after="120" w:line="240" w:lineRule="atLeast"/>
              <w:jc w:val="center"/>
              <w:rPr>
                <w:b/>
                <w:sz w:val="24"/>
                <w:szCs w:val="24"/>
              </w:rPr>
            </w:pPr>
            <w:bookmarkStart w:id="0" w:name="_GoBack"/>
            <w:bookmarkEnd w:id="0"/>
            <w:r>
              <w:rPr>
                <w:b/>
                <w:sz w:val="24"/>
                <w:szCs w:val="24"/>
              </w:rPr>
              <w:t>Comprehensive report on the activities relating to [name institution] for the financial year [</w:t>
            </w:r>
            <w:proofErr w:type="spellStart"/>
            <w:r>
              <w:rPr>
                <w:b/>
                <w:sz w:val="24"/>
                <w:szCs w:val="24"/>
              </w:rPr>
              <w:t>xxxx</w:t>
            </w:r>
            <w:proofErr w:type="spellEnd"/>
            <w:r>
              <w:rPr>
                <w:b/>
                <w:sz w:val="24"/>
                <w:szCs w:val="24"/>
              </w:rPr>
              <w:t>]</w:t>
            </w:r>
          </w:p>
        </w:tc>
      </w:tr>
      <w:tr w:rsidR="00FA458C" w:rsidRPr="00FA458C" w14:paraId="3EA6EE03" w14:textId="77777777" w:rsidTr="00C92989">
        <w:trPr>
          <w:trHeight w:val="1042"/>
        </w:trPr>
        <w:tc>
          <w:tcPr>
            <w:tcW w:w="8929" w:type="dxa"/>
            <w:shd w:val="clear" w:color="auto" w:fill="auto"/>
          </w:tcPr>
          <w:p w14:paraId="7BEE8800" w14:textId="0E5D9388" w:rsidR="00FA458C" w:rsidRDefault="00FA458C" w:rsidP="00FA458C">
            <w:pPr>
              <w:overflowPunct w:val="0"/>
              <w:autoSpaceDE w:val="0"/>
              <w:autoSpaceDN w:val="0"/>
              <w:adjustRightInd w:val="0"/>
              <w:spacing w:before="120" w:after="120" w:line="240" w:lineRule="atLeast"/>
              <w:jc w:val="center"/>
              <w:rPr>
                <w:sz w:val="24"/>
                <w:szCs w:val="24"/>
                <w:u w:val="single"/>
              </w:rPr>
            </w:pPr>
            <w:r>
              <w:rPr>
                <w:sz w:val="24"/>
                <w:szCs w:val="24"/>
                <w:u w:val="single"/>
              </w:rPr>
              <w:t>Executive summary</w:t>
            </w:r>
            <w:r>
              <w:rPr>
                <w:sz w:val="24"/>
                <w:szCs w:val="24"/>
              </w:rPr>
              <w:t>:</w:t>
            </w:r>
          </w:p>
          <w:p w14:paraId="3F728E23" w14:textId="77777777" w:rsidR="00FA458C" w:rsidRPr="00FA458C" w:rsidRDefault="00FA458C" w:rsidP="00FA458C">
            <w:pPr>
              <w:overflowPunct w:val="0"/>
              <w:autoSpaceDE w:val="0"/>
              <w:autoSpaceDN w:val="0"/>
              <w:adjustRightInd w:val="0"/>
              <w:spacing w:before="120" w:after="120" w:line="240" w:lineRule="atLeast"/>
              <w:jc w:val="left"/>
              <w:rPr>
                <w:b/>
                <w:sz w:val="24"/>
                <w:szCs w:val="24"/>
                <w:lang w:val="nl-BE"/>
              </w:rPr>
            </w:pPr>
          </w:p>
          <w:p w14:paraId="786E685F" w14:textId="08E4753E" w:rsidR="00FA458C" w:rsidRPr="00FA458C" w:rsidRDefault="00FA458C" w:rsidP="00FA458C">
            <w:pPr>
              <w:overflowPunct w:val="0"/>
              <w:autoSpaceDE w:val="0"/>
              <w:autoSpaceDN w:val="0"/>
              <w:adjustRightInd w:val="0"/>
              <w:spacing w:before="120" w:after="120" w:line="240" w:lineRule="atLeast"/>
              <w:jc w:val="left"/>
              <w:rPr>
                <w:sz w:val="24"/>
                <w:szCs w:val="24"/>
                <w:lang w:val="nl-BE"/>
              </w:rPr>
            </w:pPr>
          </w:p>
        </w:tc>
      </w:tr>
      <w:tr w:rsidR="00F5456C" w14:paraId="20F7F966" w14:textId="77777777" w:rsidTr="00F5456C">
        <w:tc>
          <w:tcPr>
            <w:tcW w:w="8929" w:type="dxa"/>
            <w:shd w:val="clear" w:color="auto" w:fill="C6D9F1" w:themeFill="text2" w:themeFillTint="33"/>
          </w:tcPr>
          <w:p w14:paraId="51BED4D6" w14:textId="77777777" w:rsidR="00F5456C" w:rsidRPr="00F5456C" w:rsidRDefault="00F5456C" w:rsidP="00F5456C">
            <w:pPr>
              <w:pStyle w:val="ListParagraph"/>
              <w:numPr>
                <w:ilvl w:val="0"/>
                <w:numId w:val="13"/>
              </w:numPr>
              <w:overflowPunct w:val="0"/>
              <w:autoSpaceDE w:val="0"/>
              <w:autoSpaceDN w:val="0"/>
              <w:adjustRightInd w:val="0"/>
              <w:spacing w:before="120" w:after="120" w:line="240" w:lineRule="atLeast"/>
              <w:jc w:val="left"/>
              <w:rPr>
                <w:b/>
              </w:rPr>
            </w:pPr>
            <w:r>
              <w:rPr>
                <w:b/>
              </w:rPr>
              <w:t>Analysis of the follow-up of the audit plan and of the additional information provided to the supervisory authority:</w:t>
            </w:r>
          </w:p>
        </w:tc>
      </w:tr>
      <w:tr w:rsidR="00922863" w14:paraId="7ACF1DAB" w14:textId="77777777" w:rsidTr="00F5456C">
        <w:tc>
          <w:tcPr>
            <w:tcW w:w="8929" w:type="dxa"/>
          </w:tcPr>
          <w:p w14:paraId="477F543A" w14:textId="77777777" w:rsidR="00922863" w:rsidRPr="00922863" w:rsidRDefault="00922863" w:rsidP="00922863">
            <w:pPr>
              <w:overflowPunct w:val="0"/>
              <w:autoSpaceDE w:val="0"/>
              <w:autoSpaceDN w:val="0"/>
              <w:adjustRightInd w:val="0"/>
              <w:spacing w:before="120" w:after="120" w:line="240" w:lineRule="atLeast"/>
              <w:jc w:val="left"/>
            </w:pPr>
          </w:p>
        </w:tc>
      </w:tr>
      <w:tr w:rsidR="00F5456C" w14:paraId="5B93D98A" w14:textId="77777777" w:rsidTr="00F5456C">
        <w:tc>
          <w:tcPr>
            <w:tcW w:w="8929" w:type="dxa"/>
          </w:tcPr>
          <w:p w14:paraId="642787DB" w14:textId="77777777" w:rsidR="00F5456C" w:rsidRPr="00F5456C" w:rsidRDefault="00F5456C" w:rsidP="00F5456C">
            <w:pPr>
              <w:pStyle w:val="ListParagraph"/>
              <w:numPr>
                <w:ilvl w:val="0"/>
                <w:numId w:val="14"/>
              </w:numPr>
              <w:overflowPunct w:val="0"/>
              <w:autoSpaceDE w:val="0"/>
              <w:autoSpaceDN w:val="0"/>
              <w:adjustRightInd w:val="0"/>
              <w:spacing w:before="120" w:after="120" w:line="240" w:lineRule="atLeast"/>
              <w:jc w:val="left"/>
              <w:rPr>
                <w:b/>
                <w:i/>
              </w:rPr>
            </w:pPr>
            <w:r>
              <w:rPr>
                <w:b/>
                <w:i/>
              </w:rPr>
              <w:t>Problems encountered in implementing the audit plan and changes made thereto.</w:t>
            </w:r>
          </w:p>
        </w:tc>
      </w:tr>
      <w:tr w:rsidR="00F5456C" w14:paraId="65920FAE" w14:textId="77777777" w:rsidTr="00F5456C">
        <w:tc>
          <w:tcPr>
            <w:tcW w:w="8929" w:type="dxa"/>
          </w:tcPr>
          <w:p w14:paraId="520D5C12" w14:textId="77777777" w:rsidR="00F5456C" w:rsidRPr="00F5456C" w:rsidRDefault="00F5456C" w:rsidP="00F5456C">
            <w:pPr>
              <w:overflowPunct w:val="0"/>
              <w:autoSpaceDE w:val="0"/>
              <w:autoSpaceDN w:val="0"/>
              <w:adjustRightInd w:val="0"/>
              <w:spacing w:before="120" w:after="120" w:line="240" w:lineRule="atLeast"/>
              <w:jc w:val="left"/>
            </w:pPr>
          </w:p>
        </w:tc>
      </w:tr>
      <w:tr w:rsidR="00F5456C" w14:paraId="06B9D209" w14:textId="77777777" w:rsidTr="00F5456C">
        <w:tc>
          <w:tcPr>
            <w:tcW w:w="8929" w:type="dxa"/>
          </w:tcPr>
          <w:p w14:paraId="2F706AB1" w14:textId="77777777" w:rsidR="00F5456C" w:rsidRPr="00F5456C" w:rsidRDefault="00F5456C" w:rsidP="00F5456C">
            <w:pPr>
              <w:pStyle w:val="ListParagraph"/>
              <w:numPr>
                <w:ilvl w:val="0"/>
                <w:numId w:val="14"/>
              </w:numPr>
              <w:overflowPunct w:val="0"/>
              <w:autoSpaceDE w:val="0"/>
              <w:autoSpaceDN w:val="0"/>
              <w:adjustRightInd w:val="0"/>
              <w:spacing w:before="120" w:after="120" w:line="240" w:lineRule="atLeast"/>
              <w:jc w:val="left"/>
              <w:rPr>
                <w:b/>
                <w:i/>
              </w:rPr>
            </w:pPr>
            <w:r>
              <w:rPr>
                <w:b/>
                <w:i/>
              </w:rPr>
              <w:t>Overview of any major audit work completed in addition to the work originally planned, and the reasons for doing so.</w:t>
            </w:r>
          </w:p>
        </w:tc>
      </w:tr>
      <w:tr w:rsidR="00F5456C" w14:paraId="2974C0A6" w14:textId="77777777" w:rsidTr="00F5456C">
        <w:tc>
          <w:tcPr>
            <w:tcW w:w="8929" w:type="dxa"/>
          </w:tcPr>
          <w:p w14:paraId="21BB4C8F" w14:textId="77777777" w:rsidR="00F5456C" w:rsidRPr="00F5456C" w:rsidRDefault="00F5456C" w:rsidP="00F5456C">
            <w:pPr>
              <w:overflowPunct w:val="0"/>
              <w:autoSpaceDE w:val="0"/>
              <w:autoSpaceDN w:val="0"/>
              <w:adjustRightInd w:val="0"/>
              <w:spacing w:before="120" w:after="120" w:line="240" w:lineRule="atLeast"/>
              <w:jc w:val="left"/>
            </w:pPr>
          </w:p>
        </w:tc>
      </w:tr>
      <w:tr w:rsidR="00F5456C" w14:paraId="0D7D89C2" w14:textId="77777777" w:rsidTr="00F5456C">
        <w:tc>
          <w:tcPr>
            <w:tcW w:w="8929" w:type="dxa"/>
          </w:tcPr>
          <w:p w14:paraId="7F0F6AB4" w14:textId="3BA9AC68" w:rsidR="00F5456C" w:rsidRDefault="00F5456C" w:rsidP="00F5456C">
            <w:pPr>
              <w:pStyle w:val="ListParagraph"/>
              <w:numPr>
                <w:ilvl w:val="0"/>
                <w:numId w:val="14"/>
              </w:numPr>
              <w:overflowPunct w:val="0"/>
              <w:autoSpaceDE w:val="0"/>
              <w:autoSpaceDN w:val="0"/>
              <w:adjustRightInd w:val="0"/>
              <w:spacing w:before="120" w:after="120" w:line="240" w:lineRule="atLeast"/>
              <w:jc w:val="left"/>
            </w:pPr>
            <w:r>
              <w:rPr>
                <w:b/>
                <w:i/>
              </w:rPr>
              <w:t>Non-conformities identified in the independent control functions which have a major impact on the audit position.</w:t>
            </w:r>
          </w:p>
        </w:tc>
      </w:tr>
      <w:tr w:rsidR="00F5456C" w14:paraId="29FDFC8E" w14:textId="77777777" w:rsidTr="00F5456C">
        <w:tc>
          <w:tcPr>
            <w:tcW w:w="8929" w:type="dxa"/>
          </w:tcPr>
          <w:p w14:paraId="241A8F73" w14:textId="77777777" w:rsidR="00F5456C" w:rsidRDefault="00F5456C" w:rsidP="00F5456C">
            <w:pPr>
              <w:overflowPunct w:val="0"/>
              <w:autoSpaceDE w:val="0"/>
              <w:autoSpaceDN w:val="0"/>
              <w:adjustRightInd w:val="0"/>
              <w:spacing w:before="120" w:after="120" w:line="240" w:lineRule="atLeast"/>
              <w:jc w:val="left"/>
            </w:pPr>
          </w:p>
        </w:tc>
      </w:tr>
      <w:tr w:rsidR="00F5456C" w14:paraId="043F5E89" w14:textId="77777777" w:rsidTr="00F5456C">
        <w:tc>
          <w:tcPr>
            <w:tcW w:w="8929" w:type="dxa"/>
          </w:tcPr>
          <w:p w14:paraId="0FCE9BE5" w14:textId="77777777" w:rsidR="00F5456C" w:rsidRPr="00F5456C" w:rsidRDefault="00F5456C" w:rsidP="00F5456C">
            <w:pPr>
              <w:pStyle w:val="ListParagraph"/>
              <w:numPr>
                <w:ilvl w:val="0"/>
                <w:numId w:val="14"/>
              </w:numPr>
              <w:overflowPunct w:val="0"/>
              <w:autoSpaceDE w:val="0"/>
              <w:autoSpaceDN w:val="0"/>
              <w:adjustRightInd w:val="0"/>
              <w:spacing w:before="120" w:after="120" w:line="240" w:lineRule="atLeast"/>
              <w:jc w:val="left"/>
            </w:pPr>
            <w:r>
              <w:rPr>
                <w:b/>
                <w:i/>
              </w:rPr>
              <w:t>Other issues.</w:t>
            </w:r>
          </w:p>
        </w:tc>
      </w:tr>
      <w:tr w:rsidR="00F5456C" w14:paraId="25C97749" w14:textId="77777777" w:rsidTr="00F5456C">
        <w:tc>
          <w:tcPr>
            <w:tcW w:w="8929" w:type="dxa"/>
          </w:tcPr>
          <w:p w14:paraId="0E1A660B" w14:textId="77777777" w:rsidR="00F5456C" w:rsidRDefault="00F5456C" w:rsidP="00F5456C">
            <w:pPr>
              <w:overflowPunct w:val="0"/>
              <w:autoSpaceDE w:val="0"/>
              <w:autoSpaceDN w:val="0"/>
              <w:adjustRightInd w:val="0"/>
              <w:spacing w:before="120" w:after="120" w:line="240" w:lineRule="atLeast"/>
              <w:jc w:val="left"/>
            </w:pPr>
          </w:p>
        </w:tc>
      </w:tr>
      <w:tr w:rsidR="00F5456C" w:rsidRPr="00922863" w14:paraId="26AB66CF" w14:textId="77777777" w:rsidTr="00922863">
        <w:tc>
          <w:tcPr>
            <w:tcW w:w="8929" w:type="dxa"/>
            <w:shd w:val="clear" w:color="auto" w:fill="C6D9F1" w:themeFill="text2" w:themeFillTint="33"/>
          </w:tcPr>
          <w:p w14:paraId="3CF1E357" w14:textId="4C5C4BD4" w:rsidR="00F5456C" w:rsidRPr="00922863" w:rsidRDefault="00922863" w:rsidP="00922863">
            <w:pPr>
              <w:pStyle w:val="ListParagraph"/>
              <w:numPr>
                <w:ilvl w:val="0"/>
                <w:numId w:val="13"/>
              </w:numPr>
              <w:overflowPunct w:val="0"/>
              <w:autoSpaceDE w:val="0"/>
              <w:autoSpaceDN w:val="0"/>
              <w:adjustRightInd w:val="0"/>
              <w:spacing w:before="120" w:after="120" w:line="240" w:lineRule="atLeast"/>
              <w:jc w:val="left"/>
              <w:rPr>
                <w:b/>
              </w:rPr>
            </w:pPr>
            <w:r>
              <w:rPr>
                <w:b/>
              </w:rPr>
              <w:t>All of the statutory auditor’s recommendations to the management committee and any omissions identified, insofar as these were not specified in the statutory auditor’s recommendations to the management committee.</w:t>
            </w:r>
          </w:p>
        </w:tc>
      </w:tr>
      <w:tr w:rsidR="00F5456C" w14:paraId="7C94FA56" w14:textId="77777777" w:rsidTr="00F5456C">
        <w:tc>
          <w:tcPr>
            <w:tcW w:w="8929" w:type="dxa"/>
          </w:tcPr>
          <w:p w14:paraId="1893E3C0" w14:textId="77777777" w:rsidR="00F5456C" w:rsidRDefault="00F5456C" w:rsidP="00F5456C">
            <w:pPr>
              <w:overflowPunct w:val="0"/>
              <w:autoSpaceDE w:val="0"/>
              <w:autoSpaceDN w:val="0"/>
              <w:adjustRightInd w:val="0"/>
              <w:spacing w:before="120" w:after="120" w:line="240" w:lineRule="atLeast"/>
              <w:jc w:val="left"/>
            </w:pPr>
          </w:p>
        </w:tc>
      </w:tr>
      <w:tr w:rsidR="00F5456C" w:rsidRPr="00922863" w14:paraId="2087D3BB" w14:textId="77777777" w:rsidTr="00922863">
        <w:tc>
          <w:tcPr>
            <w:tcW w:w="8929" w:type="dxa"/>
            <w:shd w:val="clear" w:color="auto" w:fill="C6D9F1" w:themeFill="text2" w:themeFillTint="33"/>
          </w:tcPr>
          <w:p w14:paraId="7A54C148" w14:textId="522F3261" w:rsidR="00F5456C" w:rsidRPr="00922863" w:rsidRDefault="00922863" w:rsidP="00922863">
            <w:pPr>
              <w:pStyle w:val="ListParagraph"/>
              <w:numPr>
                <w:ilvl w:val="0"/>
                <w:numId w:val="13"/>
              </w:numPr>
              <w:overflowPunct w:val="0"/>
              <w:autoSpaceDE w:val="0"/>
              <w:autoSpaceDN w:val="0"/>
              <w:adjustRightInd w:val="0"/>
              <w:spacing w:before="120" w:after="120" w:line="240" w:lineRule="atLeast"/>
              <w:jc w:val="left"/>
              <w:rPr>
                <w:b/>
              </w:rPr>
            </w:pPr>
            <w:r>
              <w:rPr>
                <w:b/>
              </w:rPr>
              <w:t>The follow-up of the recommendations and omissions that were established during the previous audit of the periodic statements (stating any recommendations and omissions which have not effectively been followed up by the institution).</w:t>
            </w:r>
          </w:p>
        </w:tc>
      </w:tr>
      <w:tr w:rsidR="00922863" w14:paraId="6E140110" w14:textId="77777777" w:rsidTr="00F5456C">
        <w:tc>
          <w:tcPr>
            <w:tcW w:w="8929" w:type="dxa"/>
          </w:tcPr>
          <w:p w14:paraId="0B3AE947" w14:textId="77777777" w:rsidR="00922863" w:rsidRDefault="00922863" w:rsidP="00F5456C">
            <w:pPr>
              <w:overflowPunct w:val="0"/>
              <w:autoSpaceDE w:val="0"/>
              <w:autoSpaceDN w:val="0"/>
              <w:adjustRightInd w:val="0"/>
              <w:spacing w:before="120" w:after="120" w:line="240" w:lineRule="atLeast"/>
              <w:jc w:val="left"/>
            </w:pPr>
          </w:p>
        </w:tc>
      </w:tr>
      <w:tr w:rsidR="00922863" w:rsidRPr="006623D6" w14:paraId="26DA0934" w14:textId="77777777" w:rsidTr="00922863">
        <w:tc>
          <w:tcPr>
            <w:tcW w:w="8929" w:type="dxa"/>
            <w:shd w:val="clear" w:color="auto" w:fill="C6D9F1" w:themeFill="text2" w:themeFillTint="33"/>
          </w:tcPr>
          <w:p w14:paraId="7A9BAF56" w14:textId="68F5A060" w:rsidR="00FB426A" w:rsidRDefault="00922863" w:rsidP="002435A0">
            <w:pPr>
              <w:pStyle w:val="ListParagraph"/>
              <w:numPr>
                <w:ilvl w:val="0"/>
                <w:numId w:val="13"/>
              </w:numPr>
              <w:overflowPunct w:val="0"/>
              <w:autoSpaceDE w:val="0"/>
              <w:autoSpaceDN w:val="0"/>
              <w:adjustRightInd w:val="0"/>
              <w:spacing w:before="120" w:after="120" w:line="240" w:lineRule="atLeast"/>
              <w:jc w:val="left"/>
              <w:rPr>
                <w:b/>
              </w:rPr>
            </w:pPr>
            <w:r>
              <w:rPr>
                <w:b/>
              </w:rPr>
              <w:t xml:space="preserve">An overview of the </w:t>
            </w:r>
            <w:r w:rsidR="0048736D">
              <w:rPr>
                <w:b/>
              </w:rPr>
              <w:t xml:space="preserve">items </w:t>
            </w:r>
            <w:r>
              <w:rPr>
                <w:b/>
              </w:rPr>
              <w:t>that</w:t>
            </w:r>
            <w:r w:rsidR="002435A0">
              <w:rPr>
                <w:b/>
              </w:rPr>
              <w:t xml:space="preserve">, in the professional opinion of the statutory auditor, are sufficiently important and relevant to be reported to the supervisory authority for supervisory </w:t>
            </w:r>
            <w:proofErr w:type="gramStart"/>
            <w:r w:rsidR="002435A0">
              <w:rPr>
                <w:b/>
              </w:rPr>
              <w:t>purposes</w:t>
            </w:r>
            <w:r w:rsidR="002435A0" w:rsidDel="00FB426A">
              <w:rPr>
                <w:b/>
              </w:rPr>
              <w:t xml:space="preserve"> </w:t>
            </w:r>
            <w:r>
              <w:rPr>
                <w:b/>
              </w:rPr>
              <w:t>:</w:t>
            </w:r>
            <w:proofErr w:type="gramEnd"/>
          </w:p>
          <w:p w14:paraId="01CE5F71" w14:textId="77777777" w:rsidR="002435A0" w:rsidRDefault="002435A0" w:rsidP="00582164">
            <w:pPr>
              <w:pStyle w:val="ListParagraph"/>
              <w:overflowPunct w:val="0"/>
              <w:autoSpaceDE w:val="0"/>
              <w:autoSpaceDN w:val="0"/>
              <w:adjustRightInd w:val="0"/>
              <w:spacing w:before="120" w:after="120" w:line="240" w:lineRule="atLeast"/>
              <w:jc w:val="left"/>
              <w:rPr>
                <w:b/>
              </w:rPr>
            </w:pPr>
          </w:p>
          <w:p w14:paraId="2101C8BF" w14:textId="77777777" w:rsidR="002435A0" w:rsidRPr="002435A0" w:rsidRDefault="002435A0" w:rsidP="00582164">
            <w:pPr>
              <w:pStyle w:val="ListParagraph"/>
              <w:numPr>
                <w:ilvl w:val="0"/>
                <w:numId w:val="18"/>
              </w:numPr>
              <w:overflowPunct w:val="0"/>
              <w:autoSpaceDE w:val="0"/>
              <w:autoSpaceDN w:val="0"/>
              <w:adjustRightInd w:val="0"/>
              <w:spacing w:before="120" w:after="120" w:line="240" w:lineRule="atLeast"/>
              <w:ind w:left="1137"/>
              <w:rPr>
                <w:i/>
                <w:color w:val="FF0000"/>
              </w:rPr>
            </w:pPr>
            <w:r w:rsidRPr="007320AA">
              <w:rPr>
                <w:i/>
                <w:color w:val="FF0000"/>
              </w:rPr>
              <w:t xml:space="preserve">For each </w:t>
            </w:r>
            <w:r>
              <w:rPr>
                <w:i/>
                <w:color w:val="FF0000"/>
              </w:rPr>
              <w:t>item</w:t>
            </w:r>
            <w:r w:rsidRPr="002435A0">
              <w:rPr>
                <w:i/>
                <w:color w:val="FF0000"/>
              </w:rPr>
              <w:t xml:space="preserve">, please </w:t>
            </w:r>
            <w:r w:rsidRPr="002435A0">
              <w:rPr>
                <w:b/>
                <w:i/>
                <w:color w:val="FF0000"/>
              </w:rPr>
              <w:t>explain</w:t>
            </w:r>
            <w:r w:rsidRPr="002435A0">
              <w:rPr>
                <w:color w:val="FF0000"/>
              </w:rPr>
              <w:t xml:space="preserve"> </w:t>
            </w:r>
            <w:r w:rsidRPr="002435A0">
              <w:rPr>
                <w:i/>
                <w:color w:val="FF0000"/>
              </w:rPr>
              <w:t xml:space="preserve">your opinion </w:t>
            </w:r>
            <w:r w:rsidRPr="002435A0">
              <w:rPr>
                <w:b/>
                <w:i/>
                <w:color w:val="FF0000"/>
              </w:rPr>
              <w:t>and/or refer</w:t>
            </w:r>
            <w:r w:rsidRPr="002435A0">
              <w:rPr>
                <w:i/>
                <w:color w:val="FF0000"/>
              </w:rPr>
              <w:t xml:space="preserve"> to other documents, e.g. audit committee reports, specify</w:t>
            </w:r>
            <w:r>
              <w:rPr>
                <w:i/>
                <w:color w:val="FF0000"/>
              </w:rPr>
              <w:t>ing</w:t>
            </w:r>
            <w:r w:rsidRPr="002435A0">
              <w:rPr>
                <w:i/>
                <w:color w:val="FF0000"/>
              </w:rPr>
              <w:t xml:space="preserve"> where</w:t>
            </w:r>
            <w:r>
              <w:rPr>
                <w:color w:val="FF0000"/>
              </w:rPr>
              <w:t xml:space="preserve"> the relevant information can be found (page, paragraph, etc.).</w:t>
            </w:r>
          </w:p>
          <w:p w14:paraId="5C7F0B6C" w14:textId="0501339B" w:rsidR="002435A0" w:rsidRPr="002435A0" w:rsidRDefault="002435A0" w:rsidP="00582164">
            <w:pPr>
              <w:pStyle w:val="ListParagraph"/>
              <w:numPr>
                <w:ilvl w:val="0"/>
                <w:numId w:val="18"/>
              </w:numPr>
              <w:overflowPunct w:val="0"/>
              <w:autoSpaceDE w:val="0"/>
              <w:autoSpaceDN w:val="0"/>
              <w:adjustRightInd w:val="0"/>
              <w:spacing w:before="120" w:after="120" w:line="240" w:lineRule="atLeast"/>
              <w:ind w:left="1137"/>
              <w:rPr>
                <w:i/>
                <w:color w:val="FF0000"/>
              </w:rPr>
            </w:pPr>
            <w:r w:rsidRPr="002435A0">
              <w:rPr>
                <w:i/>
                <w:color w:val="FF0000"/>
              </w:rPr>
              <w:t xml:space="preserve">Please fill in </w:t>
            </w:r>
            <w:r w:rsidRPr="002435A0">
              <w:rPr>
                <w:b/>
                <w:i/>
                <w:color w:val="FF0000"/>
              </w:rPr>
              <w:t>‘nil’</w:t>
            </w:r>
            <w:r w:rsidRPr="002435A0">
              <w:rPr>
                <w:i/>
                <w:color w:val="FF0000"/>
              </w:rPr>
              <w:t xml:space="preserve"> for </w:t>
            </w:r>
            <w:r>
              <w:rPr>
                <w:i/>
                <w:color w:val="FF0000"/>
              </w:rPr>
              <w:t xml:space="preserve">items </w:t>
            </w:r>
            <w:r w:rsidRPr="002435A0">
              <w:rPr>
                <w:i/>
                <w:color w:val="FF0000"/>
              </w:rPr>
              <w:t xml:space="preserve">which, in your professional opinion, </w:t>
            </w:r>
            <w:r w:rsidRPr="00183304">
              <w:rPr>
                <w:i/>
                <w:color w:val="FF0000"/>
              </w:rPr>
              <w:t>do not</w:t>
            </w:r>
            <w:r w:rsidRPr="00A918E4">
              <w:rPr>
                <w:i/>
                <w:color w:val="FF0000"/>
              </w:rPr>
              <w:t xml:space="preserve"> </w:t>
            </w:r>
            <w:r w:rsidRPr="002435A0">
              <w:rPr>
                <w:i/>
                <w:color w:val="FF0000"/>
              </w:rPr>
              <w:t>constitute major points for attention for</w:t>
            </w:r>
            <w:r>
              <w:rPr>
                <w:i/>
                <w:color w:val="FF0000"/>
              </w:rPr>
              <w:t xml:space="preserve"> </w:t>
            </w:r>
            <w:r w:rsidRPr="002435A0">
              <w:rPr>
                <w:i/>
                <w:color w:val="FF0000"/>
              </w:rPr>
              <w:t xml:space="preserve">the supervisory authority even though they are part of your </w:t>
            </w:r>
            <w:r w:rsidR="00582164">
              <w:rPr>
                <w:i/>
                <w:color w:val="FF0000"/>
              </w:rPr>
              <w:t>audit tasks</w:t>
            </w:r>
            <w:r w:rsidRPr="002435A0">
              <w:rPr>
                <w:i/>
                <w:color w:val="FF0000"/>
              </w:rPr>
              <w:t>.</w:t>
            </w:r>
          </w:p>
          <w:p w14:paraId="1079AC77" w14:textId="1F280E10" w:rsidR="002435A0" w:rsidRPr="00582164" w:rsidRDefault="002435A0" w:rsidP="00582164">
            <w:pPr>
              <w:pStyle w:val="ListParagraph"/>
              <w:numPr>
                <w:ilvl w:val="0"/>
                <w:numId w:val="18"/>
              </w:numPr>
              <w:overflowPunct w:val="0"/>
              <w:autoSpaceDE w:val="0"/>
              <w:autoSpaceDN w:val="0"/>
              <w:adjustRightInd w:val="0"/>
              <w:spacing w:before="120" w:after="120" w:line="240" w:lineRule="atLeast"/>
              <w:ind w:left="1137"/>
              <w:jc w:val="left"/>
              <w:rPr>
                <w:b/>
              </w:rPr>
            </w:pPr>
            <w:r w:rsidRPr="00582164">
              <w:rPr>
                <w:i/>
                <w:color w:val="FF0000"/>
                <w:lang w:val="en-US"/>
              </w:rPr>
              <w:t xml:space="preserve">Please fill in </w:t>
            </w:r>
            <w:r w:rsidRPr="00582164">
              <w:rPr>
                <w:b/>
                <w:i/>
                <w:color w:val="FF0000"/>
                <w:lang w:val="en-US"/>
              </w:rPr>
              <w:t>‘n/a’</w:t>
            </w:r>
            <w:r w:rsidRPr="00582164">
              <w:rPr>
                <w:i/>
                <w:color w:val="FF0000"/>
                <w:lang w:val="en-US"/>
              </w:rPr>
              <w:t xml:space="preserve"> for </w:t>
            </w:r>
            <w:r w:rsidRPr="00582164">
              <w:rPr>
                <w:i/>
                <w:color w:val="FF0000"/>
              </w:rPr>
              <w:t xml:space="preserve">items </w:t>
            </w:r>
            <w:r w:rsidRPr="00582164">
              <w:rPr>
                <w:i/>
                <w:color w:val="FF0000"/>
                <w:lang w:val="en-US"/>
              </w:rPr>
              <w:t>which are not part of your</w:t>
            </w:r>
            <w:r w:rsidR="00582164">
              <w:rPr>
                <w:i/>
                <w:color w:val="FF0000"/>
                <w:lang w:val="en-US"/>
              </w:rPr>
              <w:t xml:space="preserve"> audit tasks.</w:t>
            </w:r>
          </w:p>
        </w:tc>
      </w:tr>
      <w:tr w:rsidR="00922863" w:rsidRPr="00A37596" w14:paraId="0F2E874E" w14:textId="77777777" w:rsidTr="00F5456C">
        <w:tc>
          <w:tcPr>
            <w:tcW w:w="8929" w:type="dxa"/>
          </w:tcPr>
          <w:p w14:paraId="3107B16E" w14:textId="7589184D" w:rsidR="00922863" w:rsidRPr="00A37596" w:rsidRDefault="00922863"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impact of any omissions in the internal control of the audit of periodic statements.</w:t>
            </w:r>
          </w:p>
        </w:tc>
      </w:tr>
      <w:tr w:rsidR="00A37596" w:rsidRPr="00A37596" w14:paraId="248E1FA3" w14:textId="77777777" w:rsidTr="00F5456C">
        <w:tc>
          <w:tcPr>
            <w:tcW w:w="8929" w:type="dxa"/>
          </w:tcPr>
          <w:p w14:paraId="3F89CD19" w14:textId="77777777" w:rsidR="00A37596" w:rsidRPr="00A37596" w:rsidRDefault="00A37596" w:rsidP="00A37596">
            <w:pPr>
              <w:overflowPunct w:val="0"/>
              <w:autoSpaceDE w:val="0"/>
              <w:autoSpaceDN w:val="0"/>
              <w:adjustRightInd w:val="0"/>
              <w:spacing w:before="120" w:after="120" w:line="240" w:lineRule="atLeast"/>
              <w:jc w:val="left"/>
            </w:pPr>
          </w:p>
        </w:tc>
      </w:tr>
      <w:tr w:rsidR="00922863" w:rsidRPr="00A37596" w14:paraId="10A4EAF6" w14:textId="77777777" w:rsidTr="00F5456C">
        <w:tc>
          <w:tcPr>
            <w:tcW w:w="8929" w:type="dxa"/>
          </w:tcPr>
          <w:p w14:paraId="0709739C" w14:textId="6289116F" w:rsidR="00922863" w:rsidRPr="00A37596" w:rsidRDefault="00922863" w:rsidP="00A37596">
            <w:pPr>
              <w:pStyle w:val="ListParagraph"/>
              <w:numPr>
                <w:ilvl w:val="0"/>
                <w:numId w:val="14"/>
              </w:numPr>
              <w:overflowPunct w:val="0"/>
              <w:autoSpaceDE w:val="0"/>
              <w:autoSpaceDN w:val="0"/>
              <w:adjustRightInd w:val="0"/>
              <w:spacing w:before="120" w:after="120" w:line="240" w:lineRule="atLeast"/>
              <w:jc w:val="left"/>
              <w:rPr>
                <w:b/>
                <w:i/>
              </w:rPr>
            </w:pPr>
            <w:r>
              <w:rPr>
                <w:b/>
                <w:i/>
              </w:rPr>
              <w:t xml:space="preserve">The evolution of specific or systemic risks (regulatory or macro-economic developments that have an impact on the institution) which the institution faces and which have had — or could have — an influence on its periodic statements and its continuity, as established by the statutory auditor as part of his/her work. </w:t>
            </w:r>
          </w:p>
        </w:tc>
      </w:tr>
      <w:tr w:rsidR="00A37596" w14:paraId="03F76EDA" w14:textId="77777777" w:rsidTr="00F5456C">
        <w:tc>
          <w:tcPr>
            <w:tcW w:w="8929" w:type="dxa"/>
          </w:tcPr>
          <w:p w14:paraId="1B5416B2" w14:textId="77777777" w:rsidR="00A37596" w:rsidRPr="00D66708" w:rsidRDefault="00A37596" w:rsidP="00922863">
            <w:pPr>
              <w:overflowPunct w:val="0"/>
              <w:autoSpaceDE w:val="0"/>
              <w:autoSpaceDN w:val="0"/>
              <w:adjustRightInd w:val="0"/>
              <w:spacing w:before="120" w:after="120" w:line="240" w:lineRule="atLeast"/>
              <w:jc w:val="left"/>
            </w:pPr>
          </w:p>
        </w:tc>
      </w:tr>
      <w:tr w:rsidR="00922863" w:rsidRPr="00A37596" w14:paraId="4072F2A4" w14:textId="77777777" w:rsidTr="00F5456C">
        <w:tc>
          <w:tcPr>
            <w:tcW w:w="8929" w:type="dxa"/>
          </w:tcPr>
          <w:p w14:paraId="21D69731" w14:textId="74DC3BA0" w:rsidR="00922863" w:rsidRPr="00A37596" w:rsidRDefault="00922863"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major developments that have occurred over the course of the financial year in the institution’s solvency, liquidity, financial situation, results, and off-balance sheet items, and any pending disputes, insofar as they are not already covered elsewhere. This also implies that an overview is provided of the institution’s development in light of the different risks it faces (credit risk, market risk, interest rate risk, etc.), as reported in the periodic statements.</w:t>
            </w:r>
          </w:p>
        </w:tc>
      </w:tr>
      <w:tr w:rsidR="00A37596" w14:paraId="52B40F85" w14:textId="77777777" w:rsidTr="00F5456C">
        <w:tc>
          <w:tcPr>
            <w:tcW w:w="8929" w:type="dxa"/>
          </w:tcPr>
          <w:p w14:paraId="13C048C3" w14:textId="77777777" w:rsidR="00A37596" w:rsidRPr="00D66708" w:rsidRDefault="00A37596" w:rsidP="00922863">
            <w:pPr>
              <w:overflowPunct w:val="0"/>
              <w:autoSpaceDE w:val="0"/>
              <w:autoSpaceDN w:val="0"/>
              <w:adjustRightInd w:val="0"/>
              <w:spacing w:before="120" w:after="120" w:line="240" w:lineRule="atLeast"/>
              <w:jc w:val="left"/>
            </w:pPr>
          </w:p>
        </w:tc>
      </w:tr>
      <w:tr w:rsidR="00922863" w:rsidRPr="00A37596" w14:paraId="09690595" w14:textId="77777777" w:rsidTr="00F5456C">
        <w:tc>
          <w:tcPr>
            <w:tcW w:w="8929" w:type="dxa"/>
          </w:tcPr>
          <w:p w14:paraId="14D34E21" w14:textId="3FE8570C" w:rsidR="00922863" w:rsidRPr="00A37596" w:rsidRDefault="00922863"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major changes that have occurred in the activities of the institution and that have had — or could have — an impact on its periodic statements.</w:t>
            </w:r>
          </w:p>
        </w:tc>
      </w:tr>
      <w:tr w:rsidR="00A37596" w14:paraId="5B3FDC34" w14:textId="77777777" w:rsidTr="00F5456C">
        <w:tc>
          <w:tcPr>
            <w:tcW w:w="8929" w:type="dxa"/>
          </w:tcPr>
          <w:p w14:paraId="640CD478" w14:textId="77777777" w:rsidR="00A37596" w:rsidRPr="00D66708" w:rsidRDefault="00A37596" w:rsidP="00922863">
            <w:pPr>
              <w:overflowPunct w:val="0"/>
              <w:autoSpaceDE w:val="0"/>
              <w:autoSpaceDN w:val="0"/>
              <w:adjustRightInd w:val="0"/>
              <w:spacing w:before="120" w:after="120" w:line="240" w:lineRule="atLeast"/>
              <w:jc w:val="left"/>
            </w:pPr>
          </w:p>
        </w:tc>
      </w:tr>
      <w:tr w:rsidR="00A37596" w:rsidRPr="00A37596" w14:paraId="12EF58C7" w14:textId="77777777" w:rsidTr="00F5456C">
        <w:tc>
          <w:tcPr>
            <w:tcW w:w="8929" w:type="dxa"/>
          </w:tcPr>
          <w:p w14:paraId="4D24AC35" w14:textId="42A89782" w:rsidR="00A37596" w:rsidRPr="00A37596" w:rsidRDefault="00A37596"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use and implementation of internal models for the preparation of financial or prudential information.</w:t>
            </w:r>
          </w:p>
        </w:tc>
      </w:tr>
      <w:tr w:rsidR="00A37596" w14:paraId="64CFCA45" w14:textId="77777777" w:rsidTr="00F5456C">
        <w:tc>
          <w:tcPr>
            <w:tcW w:w="8929" w:type="dxa"/>
          </w:tcPr>
          <w:p w14:paraId="737B85FA" w14:textId="77777777" w:rsidR="00A37596" w:rsidRPr="00F9605E" w:rsidRDefault="00A37596" w:rsidP="00A37596">
            <w:pPr>
              <w:overflowPunct w:val="0"/>
              <w:autoSpaceDE w:val="0"/>
              <w:autoSpaceDN w:val="0"/>
              <w:adjustRightInd w:val="0"/>
              <w:spacing w:before="120" w:after="120" w:line="240" w:lineRule="atLeast"/>
              <w:jc w:val="left"/>
            </w:pPr>
          </w:p>
        </w:tc>
      </w:tr>
      <w:tr w:rsidR="00A37596" w:rsidRPr="00A37596" w14:paraId="67864EEC" w14:textId="77777777" w:rsidTr="00F5456C">
        <w:tc>
          <w:tcPr>
            <w:tcW w:w="8929" w:type="dxa"/>
          </w:tcPr>
          <w:p w14:paraId="0701B4EB" w14:textId="58C93250" w:rsidR="00A37596" w:rsidRPr="00A37596" w:rsidRDefault="00A37596"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adequacy, quality and relevance of the information, assumptions and methods used as part of the main valuations that serve as the basis for the preparation of the periodic statements.</w:t>
            </w:r>
          </w:p>
        </w:tc>
      </w:tr>
      <w:tr w:rsidR="00A37596" w14:paraId="18AAA3B2" w14:textId="77777777" w:rsidTr="00F5456C">
        <w:tc>
          <w:tcPr>
            <w:tcW w:w="8929" w:type="dxa"/>
          </w:tcPr>
          <w:p w14:paraId="2A62502D" w14:textId="77777777" w:rsidR="00A37596" w:rsidRPr="00F9605E" w:rsidRDefault="00A37596" w:rsidP="00A37596">
            <w:pPr>
              <w:overflowPunct w:val="0"/>
              <w:autoSpaceDE w:val="0"/>
              <w:autoSpaceDN w:val="0"/>
              <w:adjustRightInd w:val="0"/>
              <w:spacing w:before="120" w:after="120" w:line="240" w:lineRule="atLeast"/>
              <w:jc w:val="left"/>
            </w:pPr>
          </w:p>
        </w:tc>
      </w:tr>
      <w:tr w:rsidR="00A37596" w:rsidRPr="00A37596" w14:paraId="491E306E" w14:textId="77777777" w:rsidTr="00F5456C">
        <w:tc>
          <w:tcPr>
            <w:tcW w:w="8929" w:type="dxa"/>
          </w:tcPr>
          <w:p w14:paraId="268EA35F" w14:textId="399C09F8" w:rsidR="00A37596" w:rsidRPr="00A37596" w:rsidRDefault="00A37596"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serious problems the institution encounters with the valuation of assets, liabilities, and off-balance sheet items, with the accounting treatment of the results, the establishment of the regulatory own funds and the calculation of the data regarding the specific prudential risks it faces. Particular attention should be paid to the valuations which required a high degree of discretion (by reference to the International Standard on Auditing (ISA) 540).</w:t>
            </w:r>
          </w:p>
        </w:tc>
      </w:tr>
      <w:tr w:rsidR="00A37596" w14:paraId="3E95385F" w14:textId="77777777" w:rsidTr="00F5456C">
        <w:tc>
          <w:tcPr>
            <w:tcW w:w="8929" w:type="dxa"/>
          </w:tcPr>
          <w:p w14:paraId="454D391F" w14:textId="77777777" w:rsidR="00A37596" w:rsidRPr="00F9605E" w:rsidRDefault="00A37596" w:rsidP="00A37596">
            <w:pPr>
              <w:overflowPunct w:val="0"/>
              <w:autoSpaceDE w:val="0"/>
              <w:autoSpaceDN w:val="0"/>
              <w:adjustRightInd w:val="0"/>
              <w:spacing w:before="120" w:after="120" w:line="240" w:lineRule="atLeast"/>
              <w:jc w:val="left"/>
            </w:pPr>
          </w:p>
        </w:tc>
      </w:tr>
      <w:tr w:rsidR="00A37596" w:rsidRPr="00A37596" w14:paraId="4FB510BE" w14:textId="77777777" w:rsidTr="00F5456C">
        <w:tc>
          <w:tcPr>
            <w:tcW w:w="8929" w:type="dxa"/>
          </w:tcPr>
          <w:p w14:paraId="2634B94A" w14:textId="32373FF1" w:rsidR="00A37596" w:rsidRPr="00A37596" w:rsidRDefault="00A37596" w:rsidP="00A37596">
            <w:pPr>
              <w:pStyle w:val="ListParagraph"/>
              <w:numPr>
                <w:ilvl w:val="0"/>
                <w:numId w:val="14"/>
              </w:numPr>
              <w:overflowPunct w:val="0"/>
              <w:autoSpaceDE w:val="0"/>
              <w:autoSpaceDN w:val="0"/>
              <w:adjustRightInd w:val="0"/>
              <w:spacing w:before="120" w:after="120" w:line="240" w:lineRule="atLeast"/>
              <w:jc w:val="left"/>
              <w:rPr>
                <w:b/>
                <w:i/>
              </w:rPr>
            </w:pPr>
            <w:r>
              <w:rPr>
                <w:b/>
                <w:i/>
              </w:rPr>
              <w:t>The scale and quality of the valuation work conferred on external experts and the measures the statutory auditor has taken in that respect.</w:t>
            </w:r>
          </w:p>
        </w:tc>
      </w:tr>
      <w:tr w:rsidR="00A37596" w14:paraId="05376BD2" w14:textId="77777777" w:rsidTr="00F5456C">
        <w:tc>
          <w:tcPr>
            <w:tcW w:w="8929" w:type="dxa"/>
          </w:tcPr>
          <w:p w14:paraId="0F853B0F" w14:textId="77777777" w:rsidR="00A37596" w:rsidRPr="00F9605E" w:rsidRDefault="00A37596" w:rsidP="00A37596">
            <w:pPr>
              <w:overflowPunct w:val="0"/>
              <w:autoSpaceDE w:val="0"/>
              <w:autoSpaceDN w:val="0"/>
              <w:adjustRightInd w:val="0"/>
              <w:spacing w:before="120" w:after="120" w:line="240" w:lineRule="atLeast"/>
              <w:jc w:val="left"/>
            </w:pPr>
          </w:p>
        </w:tc>
      </w:tr>
      <w:tr w:rsidR="00922863" w:rsidRPr="00A37596" w14:paraId="1232C784" w14:textId="77777777" w:rsidTr="00F5456C">
        <w:tc>
          <w:tcPr>
            <w:tcW w:w="8929" w:type="dxa"/>
          </w:tcPr>
          <w:p w14:paraId="249634CD" w14:textId="77777777" w:rsidR="00A37596" w:rsidRPr="00A37596" w:rsidRDefault="00A37596" w:rsidP="00A37596">
            <w:pPr>
              <w:pStyle w:val="ListParagraph"/>
              <w:numPr>
                <w:ilvl w:val="0"/>
                <w:numId w:val="14"/>
              </w:numPr>
              <w:overflowPunct w:val="0"/>
              <w:autoSpaceDE w:val="0"/>
              <w:autoSpaceDN w:val="0"/>
              <w:adjustRightInd w:val="0"/>
              <w:spacing w:before="120" w:after="120" w:line="240" w:lineRule="atLeast"/>
              <w:jc w:val="left"/>
              <w:rPr>
                <w:b/>
                <w:i/>
              </w:rPr>
            </w:pPr>
            <w:r>
              <w:rPr>
                <w:b/>
                <w:i/>
              </w:rPr>
              <w:t xml:space="preserve">The impact of any management bias in the aforementioned valuations, in particular: </w:t>
            </w:r>
          </w:p>
          <w:p w14:paraId="164DD3FB" w14:textId="76A622C6" w:rsidR="00A37596" w:rsidRPr="00A37596" w:rsidRDefault="00030E18" w:rsidP="00A37596">
            <w:pPr>
              <w:pStyle w:val="ListParagraph"/>
              <w:numPr>
                <w:ilvl w:val="0"/>
                <w:numId w:val="15"/>
              </w:numPr>
              <w:overflowPunct w:val="0"/>
              <w:autoSpaceDE w:val="0"/>
              <w:autoSpaceDN w:val="0"/>
              <w:adjustRightInd w:val="0"/>
              <w:spacing w:before="120" w:after="120" w:line="240" w:lineRule="atLeast"/>
              <w:ind w:left="1276" w:hanging="283"/>
              <w:jc w:val="left"/>
              <w:rPr>
                <w:b/>
                <w:i/>
              </w:rPr>
            </w:pPr>
            <w:r>
              <w:rPr>
                <w:b/>
                <w:i/>
              </w:rPr>
              <w:t xml:space="preserve">where an institution continuously uses valuations which, taken on their own, are admissible, but which indicate a pattern of optimism or pessimism, or other indications of management bias, or </w:t>
            </w:r>
          </w:p>
          <w:p w14:paraId="4CEBEEBE" w14:textId="39B5C5B0" w:rsidR="00922863" w:rsidRPr="00A37596" w:rsidRDefault="00030E18" w:rsidP="00A37596">
            <w:pPr>
              <w:pStyle w:val="ListParagraph"/>
              <w:numPr>
                <w:ilvl w:val="0"/>
                <w:numId w:val="15"/>
              </w:numPr>
              <w:overflowPunct w:val="0"/>
              <w:autoSpaceDE w:val="0"/>
              <w:autoSpaceDN w:val="0"/>
              <w:adjustRightInd w:val="0"/>
              <w:spacing w:before="120" w:after="120" w:line="240" w:lineRule="atLeast"/>
              <w:ind w:left="1276" w:hanging="283"/>
              <w:jc w:val="left"/>
              <w:rPr>
                <w:b/>
                <w:i/>
              </w:rPr>
            </w:pPr>
            <w:r>
              <w:rPr>
                <w:b/>
                <w:i/>
              </w:rPr>
              <w:t xml:space="preserve">where an institution executes transactions to achieve a certain accounting or fiscal result and does so in such a way that the accounting or fiscal treatment is technically </w:t>
            </w:r>
            <w:proofErr w:type="gramStart"/>
            <w:r>
              <w:rPr>
                <w:b/>
                <w:i/>
              </w:rPr>
              <w:t>admissible</w:t>
            </w:r>
            <w:proofErr w:type="gramEnd"/>
            <w:r>
              <w:rPr>
                <w:b/>
                <w:i/>
              </w:rPr>
              <w:t xml:space="preserve"> but the essence of the transaction is concealed as a result.</w:t>
            </w:r>
          </w:p>
        </w:tc>
      </w:tr>
      <w:tr w:rsidR="00A37596" w14:paraId="3A73A7FF" w14:textId="77777777" w:rsidTr="00F5456C">
        <w:tc>
          <w:tcPr>
            <w:tcW w:w="8929" w:type="dxa"/>
          </w:tcPr>
          <w:p w14:paraId="5EBE0286" w14:textId="77777777" w:rsidR="00A37596" w:rsidRPr="00F5456C" w:rsidRDefault="00A37596" w:rsidP="00A37596">
            <w:pPr>
              <w:tabs>
                <w:tab w:val="left" w:pos="284"/>
              </w:tabs>
              <w:overflowPunct w:val="0"/>
              <w:autoSpaceDE w:val="0"/>
              <w:autoSpaceDN w:val="0"/>
              <w:adjustRightInd w:val="0"/>
              <w:spacing w:before="120" w:after="120" w:line="240" w:lineRule="atLeast"/>
              <w:jc w:val="left"/>
            </w:pPr>
          </w:p>
        </w:tc>
      </w:tr>
      <w:tr w:rsidR="00A37596" w:rsidRPr="00A37596" w14:paraId="0AEEF95D" w14:textId="77777777" w:rsidTr="00F5456C">
        <w:tc>
          <w:tcPr>
            <w:tcW w:w="8929" w:type="dxa"/>
          </w:tcPr>
          <w:p w14:paraId="411CDA49" w14:textId="5CEFDBFE" w:rsidR="00A37596" w:rsidRPr="00A37596" w:rsidRDefault="00A37596" w:rsidP="00A37596">
            <w:pPr>
              <w:pStyle w:val="ListParagraph"/>
              <w:numPr>
                <w:ilvl w:val="0"/>
                <w:numId w:val="14"/>
              </w:numPr>
              <w:overflowPunct w:val="0"/>
              <w:autoSpaceDE w:val="0"/>
              <w:autoSpaceDN w:val="0"/>
              <w:adjustRightInd w:val="0"/>
              <w:spacing w:before="120" w:after="120" w:line="240" w:lineRule="atLeast"/>
              <w:jc w:val="left"/>
              <w:rPr>
                <w:b/>
                <w:i/>
              </w:rPr>
            </w:pPr>
            <w:r>
              <w:rPr>
                <w:b/>
                <w:i/>
              </w:rPr>
              <w:lastRenderedPageBreak/>
              <w:t>The reputational risk or the risk of non-compliance by the institution with the laws, regulations and instructions of the supervisory authority.</w:t>
            </w:r>
          </w:p>
        </w:tc>
      </w:tr>
      <w:tr w:rsidR="00A37596" w14:paraId="60A03CC7" w14:textId="77777777" w:rsidTr="00F5456C">
        <w:tc>
          <w:tcPr>
            <w:tcW w:w="8929" w:type="dxa"/>
          </w:tcPr>
          <w:p w14:paraId="6E5C2910" w14:textId="77777777" w:rsidR="00A37596" w:rsidRPr="00220297" w:rsidRDefault="00A37596" w:rsidP="00A37596">
            <w:pPr>
              <w:overflowPunct w:val="0"/>
              <w:autoSpaceDE w:val="0"/>
              <w:autoSpaceDN w:val="0"/>
              <w:adjustRightInd w:val="0"/>
              <w:spacing w:before="120" w:after="120" w:line="240" w:lineRule="atLeast"/>
              <w:jc w:val="left"/>
            </w:pPr>
          </w:p>
        </w:tc>
      </w:tr>
      <w:tr w:rsidR="00A37596" w:rsidRPr="008C2478" w14:paraId="356C117C" w14:textId="77777777" w:rsidTr="00F5456C">
        <w:tc>
          <w:tcPr>
            <w:tcW w:w="8929" w:type="dxa"/>
          </w:tcPr>
          <w:p w14:paraId="0CE12C45" w14:textId="5564C478" w:rsidR="00A37596" w:rsidRPr="008C2478" w:rsidRDefault="00A37596" w:rsidP="008C2478">
            <w:pPr>
              <w:pStyle w:val="ListParagraph"/>
              <w:numPr>
                <w:ilvl w:val="0"/>
                <w:numId w:val="14"/>
              </w:numPr>
              <w:overflowPunct w:val="0"/>
              <w:autoSpaceDE w:val="0"/>
              <w:autoSpaceDN w:val="0"/>
              <w:adjustRightInd w:val="0"/>
              <w:spacing w:before="120" w:after="120" w:line="240" w:lineRule="atLeast"/>
              <w:jc w:val="left"/>
              <w:rPr>
                <w:b/>
                <w:i/>
              </w:rPr>
            </w:pPr>
            <w:r>
              <w:rPr>
                <w:b/>
                <w:i/>
              </w:rPr>
              <w:t>Insofar as they have not been covered above, the points for attention stated in Circular NBB_2017_20.</w:t>
            </w:r>
          </w:p>
        </w:tc>
      </w:tr>
      <w:tr w:rsidR="00A37596" w14:paraId="440348BC" w14:textId="77777777" w:rsidTr="00F5456C">
        <w:tc>
          <w:tcPr>
            <w:tcW w:w="8929" w:type="dxa"/>
          </w:tcPr>
          <w:p w14:paraId="423D4816" w14:textId="77777777" w:rsidR="00A37596" w:rsidRPr="00220297" w:rsidRDefault="00A37596" w:rsidP="00A37596">
            <w:pPr>
              <w:overflowPunct w:val="0"/>
              <w:autoSpaceDE w:val="0"/>
              <w:autoSpaceDN w:val="0"/>
              <w:adjustRightInd w:val="0"/>
              <w:spacing w:before="120" w:after="120" w:line="240" w:lineRule="atLeast"/>
              <w:jc w:val="left"/>
            </w:pPr>
          </w:p>
        </w:tc>
      </w:tr>
      <w:tr w:rsidR="00030E18" w:rsidRPr="00030E18" w14:paraId="3BC0D704" w14:textId="77777777" w:rsidTr="00F5456C">
        <w:tc>
          <w:tcPr>
            <w:tcW w:w="8929" w:type="dxa"/>
          </w:tcPr>
          <w:p w14:paraId="233823C4" w14:textId="1BC41929" w:rsidR="00030E18" w:rsidRPr="00030E18" w:rsidRDefault="00030E18" w:rsidP="00030E18">
            <w:pPr>
              <w:pStyle w:val="ListParagraph"/>
              <w:numPr>
                <w:ilvl w:val="0"/>
                <w:numId w:val="14"/>
              </w:numPr>
              <w:overflowPunct w:val="0"/>
              <w:autoSpaceDE w:val="0"/>
              <w:autoSpaceDN w:val="0"/>
              <w:adjustRightInd w:val="0"/>
              <w:spacing w:before="120" w:after="120" w:line="240" w:lineRule="atLeast"/>
              <w:jc w:val="left"/>
              <w:rPr>
                <w:b/>
                <w:i/>
              </w:rPr>
            </w:pPr>
            <w:r>
              <w:rPr>
                <w:b/>
                <w:i/>
              </w:rPr>
              <w:t>Other aspects which the statutory auditor deems sufficiently important and relevant, based on his/her professional judgement, to be reported to the supervisory authority for supervisory purposes.</w:t>
            </w:r>
          </w:p>
        </w:tc>
      </w:tr>
      <w:tr w:rsidR="00030E18" w14:paraId="64B89817" w14:textId="77777777" w:rsidTr="00F5456C">
        <w:tc>
          <w:tcPr>
            <w:tcW w:w="8929" w:type="dxa"/>
          </w:tcPr>
          <w:p w14:paraId="44575083" w14:textId="77777777" w:rsidR="00030E18" w:rsidRPr="00220297" w:rsidRDefault="00030E18" w:rsidP="00A37596">
            <w:pPr>
              <w:overflowPunct w:val="0"/>
              <w:autoSpaceDE w:val="0"/>
              <w:autoSpaceDN w:val="0"/>
              <w:adjustRightInd w:val="0"/>
              <w:spacing w:before="120" w:after="120" w:line="240" w:lineRule="atLeast"/>
              <w:jc w:val="left"/>
            </w:pPr>
          </w:p>
        </w:tc>
      </w:tr>
      <w:tr w:rsidR="00922863" w:rsidRPr="00A37596" w14:paraId="0557B30D" w14:textId="77777777" w:rsidTr="00A37596">
        <w:tc>
          <w:tcPr>
            <w:tcW w:w="8929" w:type="dxa"/>
            <w:shd w:val="clear" w:color="auto" w:fill="C6D9F1" w:themeFill="text2" w:themeFillTint="33"/>
          </w:tcPr>
          <w:p w14:paraId="0DE7814A" w14:textId="15D20504" w:rsidR="00922863" w:rsidRPr="00A37596" w:rsidRDefault="00A37596" w:rsidP="00A37596">
            <w:pPr>
              <w:pStyle w:val="ListParagraph"/>
              <w:numPr>
                <w:ilvl w:val="0"/>
                <w:numId w:val="13"/>
              </w:numPr>
              <w:overflowPunct w:val="0"/>
              <w:autoSpaceDE w:val="0"/>
              <w:autoSpaceDN w:val="0"/>
              <w:adjustRightInd w:val="0"/>
              <w:spacing w:before="120" w:after="120" w:line="240" w:lineRule="atLeast"/>
              <w:jc w:val="left"/>
              <w:rPr>
                <w:b/>
              </w:rPr>
            </w:pPr>
            <w:r>
              <w:rPr>
                <w:b/>
              </w:rPr>
              <w:t>If they are not included in the aforementioned reports, the statutory auditor must also communicate the ‘key audit matters’ as referred to in ISA 701 to the supervisory authority.</w:t>
            </w:r>
          </w:p>
        </w:tc>
      </w:tr>
      <w:tr w:rsidR="00922863" w14:paraId="2EF84008" w14:textId="77777777" w:rsidTr="00F5456C">
        <w:tc>
          <w:tcPr>
            <w:tcW w:w="8929" w:type="dxa"/>
          </w:tcPr>
          <w:p w14:paraId="1AC2670E" w14:textId="77777777" w:rsidR="00922863" w:rsidRPr="00D66708" w:rsidRDefault="00922863" w:rsidP="00922863">
            <w:pPr>
              <w:overflowPunct w:val="0"/>
              <w:autoSpaceDE w:val="0"/>
              <w:autoSpaceDN w:val="0"/>
              <w:adjustRightInd w:val="0"/>
              <w:spacing w:before="120" w:after="120" w:line="240" w:lineRule="atLeast"/>
              <w:jc w:val="left"/>
            </w:pPr>
          </w:p>
        </w:tc>
      </w:tr>
    </w:tbl>
    <w:p w14:paraId="15D2680E" w14:textId="77777777" w:rsidR="00F5456C" w:rsidRDefault="00F5456C" w:rsidP="00F5456C">
      <w:pPr>
        <w:overflowPunct w:val="0"/>
        <w:autoSpaceDE w:val="0"/>
        <w:autoSpaceDN w:val="0"/>
        <w:adjustRightInd w:val="0"/>
        <w:spacing w:before="120" w:after="120" w:line="240" w:lineRule="atLeast"/>
        <w:jc w:val="left"/>
      </w:pPr>
    </w:p>
    <w:p w14:paraId="782922F2" w14:textId="5678C0BB" w:rsidR="00ED1B50" w:rsidRDefault="00ED1B50" w:rsidP="00F5456C"/>
    <w:p w14:paraId="7186B187" w14:textId="3E3F8B7E" w:rsidR="00FA458C" w:rsidRDefault="00FA458C" w:rsidP="00F5456C">
      <w:r>
        <w:t>[Place and date]</w:t>
      </w:r>
    </w:p>
    <w:p w14:paraId="26D72D21" w14:textId="27EB01FD" w:rsidR="00FA458C" w:rsidRDefault="00FA458C" w:rsidP="00F5456C"/>
    <w:p w14:paraId="7DB806D2" w14:textId="17EAA42C" w:rsidR="00FA458C" w:rsidRDefault="00FA458C" w:rsidP="00F5456C"/>
    <w:p w14:paraId="1FA8E575" w14:textId="2D777932" w:rsidR="00FA458C" w:rsidRDefault="00FA458C" w:rsidP="00F5456C"/>
    <w:p w14:paraId="5B7135C6" w14:textId="3B145261" w:rsidR="00FA458C" w:rsidRDefault="00FA458C" w:rsidP="00F5456C"/>
    <w:p w14:paraId="15A92B96" w14:textId="15F9C388" w:rsidR="00FA458C" w:rsidRDefault="00FA458C" w:rsidP="00F5456C"/>
    <w:p w14:paraId="29CEE810" w14:textId="01A97560" w:rsidR="00FA458C" w:rsidRDefault="00FA458C" w:rsidP="00F5456C"/>
    <w:p w14:paraId="5D0882E5" w14:textId="77777777" w:rsidR="00FA458C" w:rsidRDefault="00FA458C" w:rsidP="00F5456C"/>
    <w:p w14:paraId="371E858E" w14:textId="03144128" w:rsidR="00FA458C" w:rsidRDefault="00FA458C" w:rsidP="00F5456C">
      <w:r>
        <w:t>[Signature of the statutory auditor]</w:t>
      </w:r>
    </w:p>
    <w:p w14:paraId="0FAAC721" w14:textId="25A5F5F0" w:rsidR="00FA458C" w:rsidRDefault="00FA458C" w:rsidP="00F5456C"/>
    <w:p w14:paraId="6AD8AD76" w14:textId="06A00296" w:rsidR="00FA458C" w:rsidRPr="007060FF" w:rsidRDefault="00FA458C" w:rsidP="00F5456C">
      <w:r>
        <w:t>__________________________________________</w:t>
      </w:r>
    </w:p>
    <w:sectPr w:rsidR="00FA458C" w:rsidRPr="007060FF" w:rsidSect="00CA177B">
      <w:headerReference w:type="even" r:id="rId10"/>
      <w:headerReference w:type="default" r:id="rId11"/>
      <w:footerReference w:type="default" r:id="rId12"/>
      <w:headerReference w:type="first" r:id="rId13"/>
      <w:pgSz w:w="11907" w:h="16840" w:code="9"/>
      <w:pgMar w:top="1134" w:right="155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EB9C" w14:textId="77777777" w:rsidR="00CB5B0D" w:rsidRDefault="00CB5B0D">
      <w:r>
        <w:separator/>
      </w:r>
    </w:p>
  </w:endnote>
  <w:endnote w:type="continuationSeparator" w:id="0">
    <w:p w14:paraId="69D61E2D" w14:textId="77777777" w:rsidR="00CB5B0D" w:rsidRDefault="00CB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405" w14:textId="72333933" w:rsidR="00796132" w:rsidRDefault="00FA458C">
    <w:pPr>
      <w:pStyle w:val="Footer"/>
      <w:jc w:val="right"/>
      <w:rPr>
        <w:noProof/>
      </w:rPr>
    </w:pPr>
    <w:r>
      <w:t>Comprehensive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9121" w14:textId="77777777" w:rsidR="00CB5B0D" w:rsidRDefault="00CB5B0D">
      <w:r>
        <w:separator/>
      </w:r>
    </w:p>
  </w:footnote>
  <w:footnote w:type="continuationSeparator" w:id="0">
    <w:p w14:paraId="1A82E204" w14:textId="77777777" w:rsidR="00CB5B0D" w:rsidRDefault="00CB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7891"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2398" w14:textId="77777777" w:rsidR="00796132" w:rsidRDefault="003B6994">
    <w:pPr>
      <w:pStyle w:val="Header"/>
      <w:tabs>
        <w:tab w:val="clear" w:pos="4394"/>
        <w:tab w:val="center" w:pos="4395"/>
      </w:tabs>
      <w:jc w:val="right"/>
    </w:pPr>
    <w:r>
      <w:fldChar w:fldCharType="begin"/>
    </w:r>
    <w:r>
      <w:instrText>PAGE</w:instrText>
    </w:r>
    <w:r>
      <w:fldChar w:fldCharType="separate"/>
    </w:r>
    <w:r>
      <w:t>1</w:t>
    </w:r>
    <w: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175"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7545"/>
    <w:multiLevelType w:val="hybridMultilevel"/>
    <w:tmpl w:val="D86A00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F87212"/>
    <w:multiLevelType w:val="hybridMultilevel"/>
    <w:tmpl w:val="EC10EA5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3">
      <w:start w:val="1"/>
      <w:numFmt w:val="upp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213CD"/>
    <w:multiLevelType w:val="hybridMultilevel"/>
    <w:tmpl w:val="B07E592E"/>
    <w:lvl w:ilvl="0" w:tplc="0409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0C4594"/>
    <w:multiLevelType w:val="hybridMultilevel"/>
    <w:tmpl w:val="EFE83B48"/>
    <w:lvl w:ilvl="0" w:tplc="08090019">
      <w:start w:val="1"/>
      <w:numFmt w:val="lowerLetter"/>
      <w:lvlText w:val="%1."/>
      <w:lvlJc w:val="left"/>
      <w:pPr>
        <w:ind w:left="1004" w:hanging="360"/>
      </w:pPr>
      <w:rPr>
        <w:rFonts w:hint="default"/>
      </w:rPr>
    </w:lvl>
    <w:lvl w:ilvl="1" w:tplc="08090019">
      <w:start w:val="1"/>
      <w:numFmt w:val="lowerLetter"/>
      <w:lvlText w:val="%2."/>
      <w:lvlJc w:val="left"/>
      <w:pPr>
        <w:ind w:left="1724" w:hanging="360"/>
      </w:pPr>
      <w:rPr>
        <w:rFonts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9CF30F5"/>
    <w:multiLevelType w:val="hybridMultilevel"/>
    <w:tmpl w:val="EFFAEAC4"/>
    <w:lvl w:ilvl="0" w:tplc="E410B6D4">
      <w:start w:val="1"/>
      <w:numFmt w:val="bullet"/>
      <w:lvlText w:val=""/>
      <w:lvlJc w:val="left"/>
      <w:pPr>
        <w:ind w:left="720" w:hanging="360"/>
      </w:pPr>
      <w:rPr>
        <w:rFonts w:ascii="Wingdings" w:hAnsi="Wingdings"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81024D"/>
    <w:multiLevelType w:val="hybridMultilevel"/>
    <w:tmpl w:val="E23A45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4A7FBE"/>
    <w:multiLevelType w:val="hybridMultilevel"/>
    <w:tmpl w:val="DB1C4FD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0C3FD8"/>
    <w:multiLevelType w:val="hybridMultilevel"/>
    <w:tmpl w:val="0CB25D4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6"/>
  </w:num>
  <w:num w:numId="14">
    <w:abstractNumId w:val="10"/>
  </w:num>
  <w:num w:numId="15">
    <w:abstractNumId w:val="15"/>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6C"/>
    <w:rsid w:val="00002AB1"/>
    <w:rsid w:val="00005848"/>
    <w:rsid w:val="0001064F"/>
    <w:rsid w:val="00016588"/>
    <w:rsid w:val="0002547B"/>
    <w:rsid w:val="00030E18"/>
    <w:rsid w:val="00077885"/>
    <w:rsid w:val="00082B62"/>
    <w:rsid w:val="00092F24"/>
    <w:rsid w:val="000A43B4"/>
    <w:rsid w:val="000C2D0A"/>
    <w:rsid w:val="001726FE"/>
    <w:rsid w:val="001767E5"/>
    <w:rsid w:val="00190BA2"/>
    <w:rsid w:val="00217B38"/>
    <w:rsid w:val="0022049F"/>
    <w:rsid w:val="002435A0"/>
    <w:rsid w:val="00243709"/>
    <w:rsid w:val="00247B44"/>
    <w:rsid w:val="002913D9"/>
    <w:rsid w:val="002968E4"/>
    <w:rsid w:val="002D19CB"/>
    <w:rsid w:val="002F65B9"/>
    <w:rsid w:val="00310D8D"/>
    <w:rsid w:val="00352DC7"/>
    <w:rsid w:val="003B6994"/>
    <w:rsid w:val="003C268F"/>
    <w:rsid w:val="00477796"/>
    <w:rsid w:val="0048736D"/>
    <w:rsid w:val="00577B66"/>
    <w:rsid w:val="00582164"/>
    <w:rsid w:val="005C7148"/>
    <w:rsid w:val="006356E0"/>
    <w:rsid w:val="00637909"/>
    <w:rsid w:val="00661343"/>
    <w:rsid w:val="00662196"/>
    <w:rsid w:val="006623D6"/>
    <w:rsid w:val="00665B84"/>
    <w:rsid w:val="00665FF1"/>
    <w:rsid w:val="006720E3"/>
    <w:rsid w:val="00683E12"/>
    <w:rsid w:val="0068491F"/>
    <w:rsid w:val="00692D3A"/>
    <w:rsid w:val="006A0A3A"/>
    <w:rsid w:val="006A50FA"/>
    <w:rsid w:val="006E020F"/>
    <w:rsid w:val="007060FF"/>
    <w:rsid w:val="0071233C"/>
    <w:rsid w:val="007360DD"/>
    <w:rsid w:val="00772B0D"/>
    <w:rsid w:val="00782E97"/>
    <w:rsid w:val="00796132"/>
    <w:rsid w:val="007B7057"/>
    <w:rsid w:val="007F0CC7"/>
    <w:rsid w:val="008148C0"/>
    <w:rsid w:val="0083501D"/>
    <w:rsid w:val="00840F95"/>
    <w:rsid w:val="008448B4"/>
    <w:rsid w:val="008533D0"/>
    <w:rsid w:val="00871F80"/>
    <w:rsid w:val="00876A19"/>
    <w:rsid w:val="00892821"/>
    <w:rsid w:val="008A6313"/>
    <w:rsid w:val="008C2478"/>
    <w:rsid w:val="008C53AF"/>
    <w:rsid w:val="0090787B"/>
    <w:rsid w:val="00913394"/>
    <w:rsid w:val="00922863"/>
    <w:rsid w:val="00960F42"/>
    <w:rsid w:val="0096502C"/>
    <w:rsid w:val="00993CCE"/>
    <w:rsid w:val="009F23EB"/>
    <w:rsid w:val="00A126F9"/>
    <w:rsid w:val="00A1288D"/>
    <w:rsid w:val="00A37596"/>
    <w:rsid w:val="00A46B4C"/>
    <w:rsid w:val="00A80218"/>
    <w:rsid w:val="00A86AC8"/>
    <w:rsid w:val="00A918E4"/>
    <w:rsid w:val="00AA3C24"/>
    <w:rsid w:val="00AC79A6"/>
    <w:rsid w:val="00B37AA8"/>
    <w:rsid w:val="00B40075"/>
    <w:rsid w:val="00B80A37"/>
    <w:rsid w:val="00BC6750"/>
    <w:rsid w:val="00BE791D"/>
    <w:rsid w:val="00C377BC"/>
    <w:rsid w:val="00C40267"/>
    <w:rsid w:val="00C769A5"/>
    <w:rsid w:val="00CA177B"/>
    <w:rsid w:val="00CA5A74"/>
    <w:rsid w:val="00CB4B76"/>
    <w:rsid w:val="00CB5B0D"/>
    <w:rsid w:val="00CD268E"/>
    <w:rsid w:val="00D40E4D"/>
    <w:rsid w:val="00D84645"/>
    <w:rsid w:val="00DE2E9A"/>
    <w:rsid w:val="00E02090"/>
    <w:rsid w:val="00EA01EB"/>
    <w:rsid w:val="00EA6773"/>
    <w:rsid w:val="00ED1B50"/>
    <w:rsid w:val="00F27D53"/>
    <w:rsid w:val="00F5456C"/>
    <w:rsid w:val="00F7258B"/>
    <w:rsid w:val="00FA458C"/>
    <w:rsid w:val="00FA5EF5"/>
    <w:rsid w:val="00FB426A"/>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F4EF"/>
  <w15:chartTrackingRefBased/>
  <w15:docId w15:val="{8C580300-AFE3-4FEC-BFD7-68EB08DA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3C"/>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F5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56C"/>
    <w:pPr>
      <w:ind w:left="720"/>
      <w:contextualSpacing/>
    </w:pPr>
  </w:style>
  <w:style w:type="paragraph" w:styleId="BalloonText">
    <w:name w:val="Balloon Text"/>
    <w:basedOn w:val="Normal"/>
    <w:link w:val="BalloonTextChar"/>
    <w:rsid w:val="00FB42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B42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615C85728B14BB2446E4B43A5FF37" ma:contentTypeVersion="0" ma:contentTypeDescription="Create a new document." ma:contentTypeScope="" ma:versionID="6f519e384c9e35dae977818adebcdd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8F09B-D45A-4EC1-881C-41C3F6B10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68AC87-4719-4852-99DA-9D775A08ADF3}">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918DC7-BE5D-4089-8507-BD6A0D23B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2019vt445_Bijlage 2 bij consultatiebrief_ model-omstandig verslag.docx</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2019vt445_Bijlage 2 bij consultatiebrief_ model-omstandig verslag.docx</dc:title>
  <dc:subject/>
  <dc:creator>Van Raemdonck Kurt</dc:creator>
  <cp:keywords/>
  <dc:description/>
  <cp:lastModifiedBy>Arys Viviane</cp:lastModifiedBy>
  <cp:revision>2</cp:revision>
  <cp:lastPrinted>2019-04-03T06:51:00Z</cp:lastPrinted>
  <dcterms:created xsi:type="dcterms:W3CDTF">2019-04-04T09:07:00Z</dcterms:created>
  <dcterms:modified xsi:type="dcterms:W3CDTF">2019-04-04T09:07:00Z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0x010100E7C615C85728B14BB2446E4B43A5FF37</vt:lpwstr>
  </property>
</Properties>
</file>