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113" w:type="dxa"/>
          <w:right w:w="0" w:type="dxa"/>
        </w:tblCellMar>
        <w:tblLook w:val="01E0" w:firstRow="1" w:lastRow="1" w:firstColumn="1" w:lastColumn="1" w:noHBand="0" w:noVBand="0"/>
      </w:tblPr>
      <w:tblGrid>
        <w:gridCol w:w="6067"/>
        <w:gridCol w:w="3856"/>
      </w:tblGrid>
      <w:tr w:rsidR="00815A99" w:rsidRPr="00562A44" w14:paraId="1BB7C441" w14:textId="77777777" w:rsidTr="004E6FD5">
        <w:trPr>
          <w:cantSplit/>
          <w:trHeight w:hRule="exact" w:val="1077"/>
        </w:trPr>
        <w:tc>
          <w:tcPr>
            <w:tcW w:w="6067" w:type="dxa"/>
            <w:vAlign w:val="center"/>
          </w:tcPr>
          <w:p w14:paraId="3BD4315D" w14:textId="77777777" w:rsidR="00815A99" w:rsidRPr="00242A6D" w:rsidRDefault="00815A99" w:rsidP="007B7965">
            <w:pPr>
              <w:pStyle w:val="AdresseAdres"/>
              <w:spacing w:before="300"/>
              <w:rPr>
                <w:lang w:val="fr-BE"/>
              </w:rPr>
            </w:pPr>
            <w:r w:rsidRPr="00242A6D">
              <w:rPr>
                <w:lang w:val="fr-BE"/>
              </w:rPr>
              <w:t>boulevard de Berlaimont 14 – 1000 Brussels</w:t>
            </w:r>
          </w:p>
          <w:p w14:paraId="567695B9" w14:textId="09ABCFC7" w:rsidR="00815A99" w:rsidRPr="00242A6D" w:rsidRDefault="00815A99" w:rsidP="00F07FD0">
            <w:pPr>
              <w:pStyle w:val="AdresseAdres"/>
              <w:rPr>
                <w:lang w:val="fr-BE"/>
              </w:rPr>
            </w:pPr>
            <w:r w:rsidRPr="00242A6D">
              <w:rPr>
                <w:lang w:val="fr-BE"/>
              </w:rPr>
              <w:t xml:space="preserve">Phone: +32 2 221 </w:t>
            </w:r>
            <w:r w:rsidR="006F41F3">
              <w:rPr>
                <w:lang w:val="fr-BE"/>
              </w:rPr>
              <w:t>38 12</w:t>
            </w:r>
          </w:p>
          <w:p w14:paraId="1E5ACB5A" w14:textId="77777777" w:rsidR="00815A99" w:rsidRPr="00FE24A6" w:rsidRDefault="00815A99" w:rsidP="00F07FD0">
            <w:pPr>
              <w:pStyle w:val="AdresseAdres"/>
            </w:pPr>
            <w:r>
              <w:t>Company number: 0203.201.340</w:t>
            </w:r>
          </w:p>
          <w:p w14:paraId="1C37F9D0" w14:textId="77777777" w:rsidR="00815A99" w:rsidRPr="00FE24A6" w:rsidRDefault="00815A99" w:rsidP="00F07FD0">
            <w:pPr>
              <w:pStyle w:val="AdresseAdres"/>
            </w:pPr>
            <w:r>
              <w:t>RPM (Trade Register) Brussels</w:t>
            </w:r>
          </w:p>
          <w:p w14:paraId="2A776A4B" w14:textId="77777777" w:rsidR="00815A99" w:rsidRPr="00562A44" w:rsidRDefault="00815A99" w:rsidP="00815A99">
            <w:pPr>
              <w:pStyle w:val="AdresseAdres"/>
            </w:pPr>
            <w:r>
              <w:t>www.nbb.be</w:t>
            </w:r>
          </w:p>
        </w:tc>
        <w:tc>
          <w:tcPr>
            <w:tcW w:w="3856" w:type="dxa"/>
            <w:shd w:val="clear" w:color="auto" w:fill="auto"/>
            <w:vAlign w:val="center"/>
          </w:tcPr>
          <w:p w14:paraId="42358EE5" w14:textId="77777777" w:rsidR="00815A99" w:rsidRPr="00562A44" w:rsidRDefault="00815A99" w:rsidP="00682F2F">
            <w:pPr>
              <w:rPr>
                <w:sz w:val="16"/>
                <w:szCs w:val="16"/>
              </w:rPr>
            </w:pPr>
            <w:r>
              <w:rPr>
                <w:noProof/>
                <w:sz w:val="16"/>
                <w:szCs w:val="16"/>
              </w:rPr>
              <w:drawing>
                <wp:inline distT="0" distB="0" distL="0" distR="0" wp14:anchorId="21A8C889" wp14:editId="6321EF3B">
                  <wp:extent cx="2343150" cy="581025"/>
                  <wp:effectExtent l="19050" t="0" r="0" b="0"/>
                  <wp:docPr id="15" name="Picture 6" descr="BNB EU Bil N&amp;B 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NB EU Bil N&amp;B Pos"/>
                          <pic:cNvPicPr>
                            <a:picLocks noChangeAspect="1" noChangeArrowheads="1"/>
                          </pic:cNvPicPr>
                        </pic:nvPicPr>
                        <pic:blipFill>
                          <a:blip r:embed="rId11" cstate="print"/>
                          <a:srcRect/>
                          <a:stretch>
                            <a:fillRect/>
                          </a:stretch>
                        </pic:blipFill>
                        <pic:spPr bwMode="auto">
                          <a:xfrm>
                            <a:off x="0" y="0"/>
                            <a:ext cx="2343150" cy="581025"/>
                          </a:xfrm>
                          <a:prstGeom prst="rect">
                            <a:avLst/>
                          </a:prstGeom>
                          <a:noFill/>
                          <a:ln w="9525">
                            <a:noFill/>
                            <a:miter lim="800000"/>
                            <a:headEnd/>
                            <a:tailEnd/>
                          </a:ln>
                        </pic:spPr>
                      </pic:pic>
                    </a:graphicData>
                  </a:graphic>
                </wp:inline>
              </w:drawing>
            </w:r>
          </w:p>
        </w:tc>
      </w:tr>
      <w:tr w:rsidR="00815A99" w:rsidRPr="00562A44" w14:paraId="32074B2C" w14:textId="77777777" w:rsidTr="00A52B3E">
        <w:trPr>
          <w:cantSplit/>
          <w:trHeight w:hRule="exact" w:val="850"/>
        </w:trPr>
        <w:tc>
          <w:tcPr>
            <w:tcW w:w="6067" w:type="dxa"/>
            <w:shd w:val="clear" w:color="auto" w:fill="auto"/>
          </w:tcPr>
          <w:p w14:paraId="73F0BC04" w14:textId="77777777" w:rsidR="00815A99" w:rsidRPr="000A56E5" w:rsidRDefault="00815A99" w:rsidP="00682F2F">
            <w:pPr>
              <w:pStyle w:val="AdresseAdres"/>
              <w:tabs>
                <w:tab w:val="center" w:pos="4678"/>
                <w:tab w:val="right" w:pos="9356"/>
              </w:tabs>
              <w:spacing w:line="260" w:lineRule="atLeast"/>
              <w:rPr>
                <w:sz w:val="16"/>
              </w:rPr>
            </w:pPr>
          </w:p>
        </w:tc>
        <w:tc>
          <w:tcPr>
            <w:tcW w:w="3856" w:type="dxa"/>
            <w:shd w:val="clear" w:color="auto" w:fill="auto"/>
          </w:tcPr>
          <w:p w14:paraId="7569CD73" w14:textId="77777777" w:rsidR="00815A99" w:rsidRDefault="00815A99" w:rsidP="00A52B3E">
            <w:pPr>
              <w:pStyle w:val="TitreTitel"/>
              <w:keepLines/>
              <w:tabs>
                <w:tab w:val="left" w:pos="284"/>
                <w:tab w:val="right" w:leader="dot" w:pos="9639"/>
              </w:tabs>
              <w:spacing w:after="120"/>
              <w:ind w:left="397" w:right="567" w:hanging="397"/>
            </w:pPr>
          </w:p>
          <w:p w14:paraId="76FBB979" w14:textId="77777777" w:rsidR="00815A99" w:rsidRPr="00815A99" w:rsidRDefault="00815A99" w:rsidP="00A52B3E">
            <w:pPr>
              <w:pStyle w:val="TitreTitel"/>
              <w:keepLines/>
              <w:tabs>
                <w:tab w:val="left" w:pos="284"/>
                <w:tab w:val="right" w:leader="dot" w:pos="9639"/>
              </w:tabs>
              <w:spacing w:after="120"/>
              <w:ind w:left="397" w:right="567" w:hanging="397"/>
              <w:rPr>
                <w:sz w:val="20"/>
              </w:rPr>
            </w:pPr>
            <w:r>
              <w:rPr>
                <w:sz w:val="20"/>
              </w:rPr>
              <w:t>Public</w:t>
            </w:r>
          </w:p>
        </w:tc>
      </w:tr>
      <w:tr w:rsidR="00815A99" w:rsidRPr="00812A3E" w14:paraId="2DC940DA" w14:textId="77777777" w:rsidTr="004E6FD5">
        <w:trPr>
          <w:cantSplit/>
          <w:trHeight w:hRule="exact" w:val="794"/>
        </w:trPr>
        <w:tc>
          <w:tcPr>
            <w:tcW w:w="6067" w:type="dxa"/>
            <w:shd w:val="clear" w:color="auto" w:fill="auto"/>
          </w:tcPr>
          <w:p w14:paraId="5CDBA655" w14:textId="77777777" w:rsidR="00815A99" w:rsidRPr="00562A44" w:rsidRDefault="00815A99" w:rsidP="00C67902">
            <w:pPr>
              <w:pStyle w:val="AdresseAdres"/>
              <w:rPr>
                <w:lang w:val="fr-BE"/>
              </w:rPr>
            </w:pPr>
          </w:p>
        </w:tc>
        <w:tc>
          <w:tcPr>
            <w:tcW w:w="3856" w:type="dxa"/>
          </w:tcPr>
          <w:p w14:paraId="7188F26D" w14:textId="29FB613C" w:rsidR="00815A99" w:rsidRPr="00562A44" w:rsidRDefault="00815A99" w:rsidP="00F07FD0">
            <w:r>
              <w:t xml:space="preserve">Brussels, </w:t>
            </w:r>
            <w:r w:rsidR="00EC5D1F">
              <w:t xml:space="preserve">27 June </w:t>
            </w:r>
            <w:r>
              <w:t>2023</w:t>
            </w:r>
          </w:p>
        </w:tc>
      </w:tr>
      <w:tr w:rsidR="00815A99" w:rsidRPr="005B17DE" w14:paraId="7FC1A82B" w14:textId="77777777" w:rsidTr="00F07FD0">
        <w:trPr>
          <w:cantSplit/>
          <w:trHeight w:hRule="exact" w:val="340"/>
        </w:trPr>
        <w:tc>
          <w:tcPr>
            <w:tcW w:w="9923" w:type="dxa"/>
            <w:gridSpan w:val="2"/>
            <w:shd w:val="clear" w:color="auto" w:fill="auto"/>
            <w:vAlign w:val="center"/>
          </w:tcPr>
          <w:p w14:paraId="1CC9AB69" w14:textId="420171D8" w:rsidR="00815A99" w:rsidRPr="00562A44" w:rsidRDefault="00815A99" w:rsidP="00F07FD0">
            <w:pPr>
              <w:pStyle w:val="AnnexeBijlage"/>
            </w:pPr>
            <w:r>
              <w:t>Annex 3 to Circular NBB_2023</w:t>
            </w:r>
            <w:r w:rsidR="006F41F3">
              <w:t>_</w:t>
            </w:r>
            <w:r w:rsidR="00EC5D1F">
              <w:t>07</w:t>
            </w:r>
          </w:p>
        </w:tc>
      </w:tr>
      <w:tr w:rsidR="00815A99" w:rsidRPr="005B17DE" w14:paraId="7284F781" w14:textId="77777777" w:rsidTr="00F07FD0">
        <w:trPr>
          <w:cantSplit/>
          <w:trHeight w:hRule="exact" w:val="1304"/>
        </w:trPr>
        <w:tc>
          <w:tcPr>
            <w:tcW w:w="9923" w:type="dxa"/>
            <w:gridSpan w:val="2"/>
            <w:tcMar>
              <w:top w:w="240" w:type="dxa"/>
            </w:tcMar>
            <w:vAlign w:val="bottom"/>
          </w:tcPr>
          <w:p w14:paraId="435D6F55" w14:textId="4F5604E6" w:rsidR="00815A99" w:rsidRPr="005B17DE" w:rsidRDefault="005B17DE" w:rsidP="00F07FD0">
            <w:pPr>
              <w:pStyle w:val="SujetOnderwerp"/>
            </w:pPr>
            <w:r>
              <w:t>Explanatory notes to reporting tables 90.30.a, 90.30.b and 90.30.c</w:t>
            </w:r>
          </w:p>
        </w:tc>
      </w:tr>
      <w:tr w:rsidR="00815A99" w:rsidRPr="005B17DE" w14:paraId="1BA10261" w14:textId="77777777" w:rsidTr="00682F2F">
        <w:trPr>
          <w:cantSplit/>
          <w:trHeight w:hRule="exact" w:val="397"/>
        </w:trPr>
        <w:tc>
          <w:tcPr>
            <w:tcW w:w="9923" w:type="dxa"/>
            <w:gridSpan w:val="2"/>
          </w:tcPr>
          <w:p w14:paraId="7217F1B8" w14:textId="77777777" w:rsidR="00815A99" w:rsidRPr="00242A6D" w:rsidRDefault="00815A99" w:rsidP="00682F2F">
            <w:pPr>
              <w:rPr>
                <w:lang w:val="en-US"/>
              </w:rPr>
            </w:pPr>
          </w:p>
        </w:tc>
      </w:tr>
    </w:tbl>
    <w:p w14:paraId="051FF6B4" w14:textId="77777777" w:rsidR="0015124C" w:rsidRPr="00242A6D" w:rsidRDefault="0015124C" w:rsidP="0015124C">
      <w:pPr>
        <w:widowControl w:val="0"/>
        <w:autoSpaceDE w:val="0"/>
        <w:autoSpaceDN w:val="0"/>
        <w:spacing w:line="260" w:lineRule="auto"/>
        <w:ind w:left="360"/>
        <w:rPr>
          <w:rFonts w:ascii="Arial MT" w:eastAsia="Arial MT" w:hAnsi="Arial MT" w:cs="Arial MT"/>
          <w:b/>
          <w:bCs/>
          <w:sz w:val="22"/>
          <w:szCs w:val="22"/>
          <w:lang w:val="en-US"/>
        </w:rPr>
      </w:pPr>
    </w:p>
    <w:p w14:paraId="3E75821B" w14:textId="77777777" w:rsidR="00046F25" w:rsidRPr="00242A6D" w:rsidRDefault="00046F25" w:rsidP="00046F25">
      <w:pPr>
        <w:widowControl w:val="0"/>
        <w:autoSpaceDE w:val="0"/>
        <w:autoSpaceDN w:val="0"/>
        <w:spacing w:line="260" w:lineRule="auto"/>
        <w:ind w:left="360"/>
        <w:rPr>
          <w:rFonts w:ascii="Arial MT" w:eastAsia="Arial MT" w:hAnsi="Arial MT" w:cs="Arial MT"/>
          <w:b/>
          <w:bCs/>
          <w:sz w:val="22"/>
          <w:szCs w:val="22"/>
          <w:lang w:val="en-US"/>
        </w:rPr>
      </w:pPr>
    </w:p>
    <w:p w14:paraId="65A1D1BD" w14:textId="3F9E7EDC" w:rsidR="00A10895" w:rsidRPr="0052784F" w:rsidRDefault="0015124C" w:rsidP="00A10895">
      <w:pPr>
        <w:widowControl w:val="0"/>
        <w:numPr>
          <w:ilvl w:val="0"/>
          <w:numId w:val="45"/>
        </w:numPr>
        <w:autoSpaceDE w:val="0"/>
        <w:autoSpaceDN w:val="0"/>
        <w:spacing w:line="260" w:lineRule="auto"/>
        <w:rPr>
          <w:rFonts w:ascii="Arial MT" w:eastAsia="Arial MT" w:hAnsi="Arial MT" w:cs="Arial MT"/>
          <w:b/>
          <w:bCs/>
        </w:rPr>
      </w:pPr>
      <w:r>
        <w:rPr>
          <w:rFonts w:ascii="Arial MT" w:hAnsi="Arial MT"/>
          <w:b/>
          <w:bCs/>
        </w:rPr>
        <w:t>General provisions</w:t>
      </w:r>
    </w:p>
    <w:p w14:paraId="79460698" w14:textId="2FBF4389" w:rsidR="00147746" w:rsidRPr="002C7492" w:rsidRDefault="00147746" w:rsidP="002C7492">
      <w:pPr>
        <w:numPr>
          <w:ilvl w:val="1"/>
          <w:numId w:val="45"/>
        </w:numPr>
        <w:spacing w:before="120" w:line="260" w:lineRule="auto"/>
        <w:ind w:left="851" w:right="649" w:hanging="567"/>
        <w:jc w:val="both"/>
        <w:rPr>
          <w:rFonts w:ascii="Arial MT" w:eastAsia="Arial MT" w:hAnsi="Arial MT" w:cs="Arial MT"/>
        </w:rPr>
      </w:pPr>
      <w:r>
        <w:rPr>
          <w:rFonts w:ascii="Arial MT" w:hAnsi="Arial MT"/>
        </w:rPr>
        <w:t>Reporting tables 90.30.a, 90.30.b and 90.30.c are in accordance with Circular NBB_2023_</w:t>
      </w:r>
      <w:r w:rsidR="003D651E">
        <w:rPr>
          <w:rFonts w:ascii="Arial MT" w:hAnsi="Arial MT"/>
        </w:rPr>
        <w:t>07</w:t>
      </w:r>
      <w:r>
        <w:rPr>
          <w:rFonts w:ascii="Arial MT" w:hAnsi="Arial MT"/>
        </w:rPr>
        <w:t xml:space="preserve"> relating to Guidelines on sound management practices and reporting concerning interest rate risk and credit spread risk arising from non-trading book activities. The requirements on periodic prudential reporting set out in that circular apply.</w:t>
      </w:r>
    </w:p>
    <w:p w14:paraId="2976D459" w14:textId="77777777" w:rsidR="00147746" w:rsidRDefault="00147746" w:rsidP="002C7492">
      <w:pPr>
        <w:numPr>
          <w:ilvl w:val="1"/>
          <w:numId w:val="45"/>
        </w:numPr>
        <w:spacing w:before="120" w:line="260" w:lineRule="auto"/>
        <w:ind w:left="851" w:right="649" w:hanging="567"/>
        <w:jc w:val="both"/>
        <w:rPr>
          <w:rFonts w:ascii="Arial MT" w:eastAsia="Arial MT" w:hAnsi="Arial MT" w:cs="Arial MT"/>
        </w:rPr>
      </w:pPr>
      <w:r>
        <w:rPr>
          <w:rFonts w:ascii="Arial MT" w:hAnsi="Arial MT"/>
        </w:rPr>
        <w:t>These tables must be reported by institutions considered less significant under the SSM.</w:t>
      </w:r>
    </w:p>
    <w:p w14:paraId="4BBB7043" w14:textId="77777777" w:rsidR="00046F25" w:rsidRPr="00242A6D" w:rsidRDefault="00046F25" w:rsidP="008E76BE">
      <w:pPr>
        <w:spacing w:before="120" w:line="260" w:lineRule="auto"/>
        <w:ind w:left="851" w:right="649"/>
        <w:jc w:val="both"/>
        <w:rPr>
          <w:rFonts w:ascii="Arial MT" w:eastAsia="Arial MT" w:hAnsi="Arial MT" w:cs="Arial MT"/>
          <w:lang w:val="en-US"/>
        </w:rPr>
      </w:pPr>
    </w:p>
    <w:p w14:paraId="0D96F9AE" w14:textId="77777777" w:rsidR="00147746" w:rsidRPr="0052784F" w:rsidRDefault="00147746" w:rsidP="008E76BE">
      <w:pPr>
        <w:widowControl w:val="0"/>
        <w:numPr>
          <w:ilvl w:val="0"/>
          <w:numId w:val="45"/>
        </w:numPr>
        <w:autoSpaceDE w:val="0"/>
        <w:autoSpaceDN w:val="0"/>
        <w:spacing w:line="260" w:lineRule="auto"/>
        <w:rPr>
          <w:rFonts w:ascii="Arial MT" w:eastAsia="Arial MT" w:hAnsi="Arial MT" w:cs="Arial MT"/>
          <w:b/>
          <w:bCs/>
        </w:rPr>
      </w:pPr>
      <w:r>
        <w:rPr>
          <w:rFonts w:ascii="Arial MT" w:hAnsi="Arial MT"/>
          <w:b/>
          <w:bCs/>
        </w:rPr>
        <w:t>Specific provisions</w:t>
      </w:r>
    </w:p>
    <w:p w14:paraId="20F16CC5" w14:textId="77777777" w:rsidR="00147746" w:rsidRPr="0098545D" w:rsidRDefault="00147746" w:rsidP="008E76BE">
      <w:pPr>
        <w:numPr>
          <w:ilvl w:val="1"/>
          <w:numId w:val="45"/>
        </w:numPr>
        <w:spacing w:before="120" w:line="260" w:lineRule="auto"/>
        <w:ind w:left="851" w:right="649" w:hanging="567"/>
        <w:jc w:val="both"/>
        <w:rPr>
          <w:rFonts w:ascii="Arial MT" w:eastAsia="Arial MT" w:hAnsi="Arial MT" w:cs="Arial MT"/>
        </w:rPr>
      </w:pPr>
      <w:r>
        <w:rPr>
          <w:rFonts w:ascii="Arial MT" w:hAnsi="Arial MT"/>
        </w:rPr>
        <w:t>Institutions should calculate the data to be reported on the basis of a series of supervisory interest rate movement scenarios established in accordance with the provisions of Article 143 §1(12) of the Banking Law, taking into account the requirements set out in the regulatory technical standards of the EBA specifying common modelling and parametric assumptions for supervisory outlier tests</w:t>
      </w:r>
      <w:r w:rsidRPr="0098545D">
        <w:rPr>
          <w:rFonts w:ascii="Arial MT" w:eastAsia="Arial MT" w:hAnsi="Arial MT" w:cs="Arial MT"/>
          <w:lang w:val="fr-BE"/>
        </w:rPr>
        <w:footnoteReference w:id="2"/>
      </w:r>
      <w:r>
        <w:rPr>
          <w:rFonts w:ascii="Arial MT" w:hAnsi="Arial MT"/>
        </w:rPr>
        <w:t xml:space="preserve"> (hereinafter “the RTS on supervisory outlier tests”).</w:t>
      </w:r>
    </w:p>
    <w:p w14:paraId="68E67856" w14:textId="77777777" w:rsidR="00147746" w:rsidRPr="0098545D" w:rsidRDefault="00147746" w:rsidP="008E76BE">
      <w:pPr>
        <w:numPr>
          <w:ilvl w:val="1"/>
          <w:numId w:val="45"/>
        </w:numPr>
        <w:spacing w:before="120" w:line="260" w:lineRule="auto"/>
        <w:ind w:left="851" w:right="649" w:hanging="567"/>
        <w:jc w:val="both"/>
        <w:rPr>
          <w:rFonts w:ascii="Arial MT" w:eastAsia="Arial MT" w:hAnsi="Arial MT" w:cs="Arial MT"/>
        </w:rPr>
      </w:pPr>
      <w:r>
        <w:rPr>
          <w:rFonts w:ascii="Arial MT" w:hAnsi="Arial MT"/>
        </w:rPr>
        <w:t>Institutions should apply either their own methodology, defined internally taking into account the requirements laid down in EBA Guidelines EBA/GL/2022/14 of 20 October 2022 specifying criteria for the identification, evaluation, management and mitigation of the risks arising from potential changes in interest rates and of the assessment and monitoring of credit spread risk, of institutions’ non-trading book activities, or the standardised methodology or simplified standardised methodology, in accordance with the provisions of Article 6 of Annex I to the Banking Law.</w:t>
      </w:r>
    </w:p>
    <w:p w14:paraId="75262E33" w14:textId="77777777" w:rsidR="00046F25" w:rsidRDefault="00046F25" w:rsidP="00147746">
      <w:pPr>
        <w:pStyle w:val="BodyText"/>
        <w:spacing w:before="1" w:line="276" w:lineRule="auto"/>
        <w:ind w:left="416" w:right="649"/>
        <w:jc w:val="both"/>
      </w:pPr>
    </w:p>
    <w:p w14:paraId="7B4CE5CF" w14:textId="77777777" w:rsidR="00147746" w:rsidRPr="0052784F" w:rsidRDefault="00147746" w:rsidP="00177A87">
      <w:pPr>
        <w:numPr>
          <w:ilvl w:val="1"/>
          <w:numId w:val="45"/>
        </w:numPr>
        <w:spacing w:before="120" w:line="260" w:lineRule="auto"/>
        <w:ind w:left="851" w:right="649" w:hanging="567"/>
        <w:jc w:val="both"/>
        <w:rPr>
          <w:rFonts w:ascii="Arial MT" w:eastAsia="Arial MT" w:hAnsi="Arial MT" w:cs="Arial MT"/>
          <w:b/>
          <w:bCs/>
        </w:rPr>
      </w:pPr>
      <w:r>
        <w:rPr>
          <w:rFonts w:ascii="Arial MT" w:hAnsi="Arial MT"/>
          <w:b/>
          <w:bCs/>
        </w:rPr>
        <w:t>Table 90.30.a</w:t>
      </w:r>
    </w:p>
    <w:p w14:paraId="70FE4DF6" w14:textId="3F6C5204" w:rsidR="00147746" w:rsidRPr="00177A87" w:rsidRDefault="00437FA4" w:rsidP="00177A87">
      <w:pPr>
        <w:spacing w:before="120" w:line="260" w:lineRule="auto"/>
        <w:ind w:left="851" w:right="649"/>
        <w:jc w:val="both"/>
        <w:rPr>
          <w:rFonts w:ascii="Arial MT" w:eastAsia="Arial MT" w:hAnsi="Arial MT" w:cs="Arial MT"/>
        </w:rPr>
      </w:pPr>
      <w:r>
        <w:rPr>
          <w:rFonts w:ascii="Arial MT" w:hAnsi="Arial MT"/>
        </w:rPr>
        <w:t>In table 90.30.a, institutions should report the results of the assessment of their economic value of equity (EVE) sensitivity and net interest income (NII) sensitivity to different supervisory interest rate movement scenarios.</w:t>
      </w:r>
    </w:p>
    <w:p w14:paraId="48C8BC72" w14:textId="2E9EDF8B" w:rsidR="00147746" w:rsidRPr="00177A87" w:rsidRDefault="00147746" w:rsidP="00177A87">
      <w:pPr>
        <w:spacing w:before="120" w:line="260" w:lineRule="auto"/>
        <w:ind w:left="851" w:right="649"/>
        <w:jc w:val="both"/>
        <w:rPr>
          <w:rFonts w:ascii="Arial MT" w:eastAsia="Arial MT" w:hAnsi="Arial MT" w:cs="Arial MT"/>
          <w:u w:val="single"/>
        </w:rPr>
      </w:pPr>
      <w:r>
        <w:rPr>
          <w:rFonts w:ascii="Arial MT" w:hAnsi="Arial MT"/>
          <w:u w:val="single"/>
        </w:rPr>
        <w:t>EVE sensitivity</w:t>
      </w:r>
    </w:p>
    <w:p w14:paraId="15AD3CA2" w14:textId="60AE5725" w:rsidR="00147746" w:rsidRPr="00177A87" w:rsidRDefault="00147746" w:rsidP="00177A87">
      <w:pPr>
        <w:spacing w:before="120" w:line="260" w:lineRule="auto"/>
        <w:ind w:left="851" w:right="649"/>
        <w:jc w:val="both"/>
        <w:rPr>
          <w:rFonts w:ascii="Arial MT" w:eastAsia="Arial MT" w:hAnsi="Arial MT" w:cs="Arial MT"/>
        </w:rPr>
        <w:sectPr w:rsidR="00147746" w:rsidRPr="00177A87" w:rsidSect="00147746">
          <w:footerReference w:type="default" r:id="rId12"/>
          <w:pgSz w:w="11910" w:h="16840"/>
          <w:pgMar w:top="580" w:right="480" w:bottom="280" w:left="1000" w:header="720" w:footer="720" w:gutter="0"/>
          <w:cols w:space="720"/>
        </w:sectPr>
      </w:pPr>
      <w:r>
        <w:rPr>
          <w:rFonts w:ascii="Arial MT" w:hAnsi="Arial MT"/>
        </w:rPr>
        <w:t>In column 010, institutions should report the EVE of the banking book as calculated using a range of prescribed interest rate movement scenarios.</w:t>
      </w:r>
    </w:p>
    <w:p w14:paraId="31FBE1D4" w14:textId="77777777" w:rsidR="00147746" w:rsidRPr="00177A87" w:rsidRDefault="00147746" w:rsidP="00CA0014">
      <w:pPr>
        <w:spacing w:before="120" w:line="260" w:lineRule="auto"/>
        <w:ind w:left="851" w:right="649"/>
        <w:jc w:val="both"/>
        <w:rPr>
          <w:rFonts w:ascii="Arial MT" w:eastAsia="Arial MT" w:hAnsi="Arial MT" w:cs="Arial MT"/>
        </w:rPr>
      </w:pPr>
      <w:r>
        <w:rPr>
          <w:rFonts w:ascii="Arial MT" w:hAnsi="Arial MT"/>
        </w:rPr>
        <w:lastRenderedPageBreak/>
        <w:t>The scope of the parallel rate movements in the standardised assumptions amounts to 200 basis points, both upwards (line 300) and downwards (line 500). The RTS on supervisory outlier tests provide for four other scenarios: a steepening yield curve (line 100), an increase in short-term interest rates (line 200), a decrease in short-term interest rates (line 600) and a flattening yield curve (line 700). These six scenarios are supplemented by a seventh scenario of unchanged rates (line 400).</w:t>
      </w:r>
    </w:p>
    <w:p w14:paraId="298D16B4" w14:textId="59702D34" w:rsidR="00147746" w:rsidRPr="00177A87" w:rsidRDefault="00147746" w:rsidP="00177A87">
      <w:pPr>
        <w:spacing w:before="120" w:line="260" w:lineRule="auto"/>
        <w:ind w:left="851" w:right="649"/>
        <w:jc w:val="both"/>
        <w:rPr>
          <w:rFonts w:ascii="Arial MT" w:eastAsia="Arial MT" w:hAnsi="Arial MT" w:cs="Arial MT"/>
          <w:u w:val="single"/>
        </w:rPr>
      </w:pPr>
      <w:r>
        <w:rPr>
          <w:rFonts w:ascii="Arial MT" w:hAnsi="Arial MT"/>
          <w:u w:val="single"/>
        </w:rPr>
        <w:t>NII sensitivity</w:t>
      </w:r>
    </w:p>
    <w:p w14:paraId="10C1C5B3" w14:textId="3D026A44" w:rsidR="00147746" w:rsidRPr="00177A87" w:rsidRDefault="00147746" w:rsidP="00177A87">
      <w:pPr>
        <w:spacing w:before="120" w:line="260" w:lineRule="auto"/>
        <w:ind w:left="851" w:right="649"/>
        <w:jc w:val="both"/>
        <w:rPr>
          <w:rFonts w:ascii="Arial MT" w:eastAsia="Arial MT" w:hAnsi="Arial MT" w:cs="Arial MT"/>
        </w:rPr>
      </w:pPr>
      <w:r>
        <w:rPr>
          <w:rFonts w:ascii="Arial MT" w:hAnsi="Arial MT"/>
        </w:rPr>
        <w:t xml:space="preserve">Institutions should report, in ascending order, their NII for the past 12 months in column 020, and their expected NII for the next twelve-month period in column 030, taking account of the requirements set out in the RTS on </w:t>
      </w:r>
      <w:r w:rsidR="0099418F">
        <w:rPr>
          <w:rFonts w:ascii="Arial MT" w:hAnsi="Arial MT"/>
        </w:rPr>
        <w:t xml:space="preserve">the </w:t>
      </w:r>
      <w:r>
        <w:rPr>
          <w:rFonts w:ascii="Arial MT" w:hAnsi="Arial MT"/>
        </w:rPr>
        <w:t xml:space="preserve">supervisory outlier tests, </w:t>
      </w:r>
      <w:proofErr w:type="gramStart"/>
      <w:r>
        <w:rPr>
          <w:rFonts w:ascii="Arial MT" w:hAnsi="Arial MT"/>
        </w:rPr>
        <w:t>on the basis of</w:t>
      </w:r>
      <w:proofErr w:type="gramEnd"/>
      <w:r>
        <w:rPr>
          <w:rFonts w:ascii="Arial MT" w:hAnsi="Arial MT"/>
        </w:rPr>
        <w:t xml:space="preserve"> two standardised parallel interest rate movement scenarios.</w:t>
      </w:r>
    </w:p>
    <w:p w14:paraId="0AF11F23" w14:textId="77777777" w:rsidR="00147746" w:rsidRPr="00177A87" w:rsidRDefault="00147746" w:rsidP="00177A87">
      <w:pPr>
        <w:spacing w:before="120" w:line="260" w:lineRule="auto"/>
        <w:ind w:left="851" w:right="649"/>
        <w:jc w:val="both"/>
        <w:rPr>
          <w:rFonts w:ascii="Arial MT" w:eastAsia="Arial MT" w:hAnsi="Arial MT" w:cs="Arial MT"/>
        </w:rPr>
      </w:pPr>
      <w:r>
        <w:rPr>
          <w:rFonts w:ascii="Arial MT" w:hAnsi="Arial MT"/>
        </w:rPr>
        <w:t>The scope of the parallel rate movements in the standardised assumptions amounts to 200 basis points, both upwards (line 300) and downwards (line 500). These two scenarios are supplemented by a third scenario of unchanged rates (line 400).</w:t>
      </w:r>
    </w:p>
    <w:p w14:paraId="591ACF0E" w14:textId="6FB663A7" w:rsidR="00147746" w:rsidRPr="00177A87" w:rsidRDefault="00147746" w:rsidP="00177A87">
      <w:pPr>
        <w:spacing w:before="120" w:line="260" w:lineRule="auto"/>
        <w:ind w:left="851" w:right="649"/>
        <w:jc w:val="both"/>
        <w:rPr>
          <w:rFonts w:ascii="Arial MT" w:eastAsia="Arial MT" w:hAnsi="Arial MT" w:cs="Arial MT"/>
          <w:u w:val="single"/>
        </w:rPr>
      </w:pPr>
      <w:r>
        <w:rPr>
          <w:rFonts w:ascii="Arial MT" w:hAnsi="Arial MT"/>
          <w:u w:val="single"/>
        </w:rPr>
        <w:t>Market value changes</w:t>
      </w:r>
    </w:p>
    <w:p w14:paraId="5AA5F88B" w14:textId="1476E9F6" w:rsidR="00147746" w:rsidRPr="00177A87" w:rsidRDefault="00147746" w:rsidP="00177A87">
      <w:pPr>
        <w:spacing w:before="120" w:line="260" w:lineRule="auto"/>
        <w:ind w:left="851" w:right="649"/>
        <w:jc w:val="both"/>
        <w:rPr>
          <w:rFonts w:ascii="Arial MT" w:eastAsia="Arial MT" w:hAnsi="Arial MT" w:cs="Arial MT"/>
        </w:rPr>
      </w:pPr>
      <w:r>
        <w:rPr>
          <w:rFonts w:ascii="Arial MT" w:hAnsi="Arial MT"/>
        </w:rPr>
        <w:t>In column 060, institutions should report the market value of instruments whose value changes are shown either in the profit and loss account or directly in equity (</w:t>
      </w:r>
      <w:proofErr w:type="gramStart"/>
      <w:r>
        <w:rPr>
          <w:rFonts w:ascii="Arial MT" w:hAnsi="Arial MT"/>
        </w:rPr>
        <w:t>e.g.</w:t>
      </w:r>
      <w:proofErr w:type="gramEnd"/>
      <w:r>
        <w:rPr>
          <w:rFonts w:ascii="Arial MT" w:hAnsi="Arial MT"/>
        </w:rPr>
        <w:t xml:space="preserve"> via other comprehensive income) based on a range of prescribed interest rate scenarios. They should calculate the market value of these instruments over a one-year horizon, excluding the effect of accounting hedges and without </w:t>
      </w:r>
      <w:proofErr w:type="gramStart"/>
      <w:r>
        <w:rPr>
          <w:rFonts w:ascii="Arial MT" w:hAnsi="Arial MT"/>
        </w:rPr>
        <w:t>taking into account</w:t>
      </w:r>
      <w:proofErr w:type="gramEnd"/>
      <w:r>
        <w:rPr>
          <w:rFonts w:ascii="Arial MT" w:hAnsi="Arial MT"/>
        </w:rPr>
        <w:t xml:space="preserve"> the items referred to in Article 33(1)(a) of Regulation (EU) No 575/2013.</w:t>
      </w:r>
    </w:p>
    <w:p w14:paraId="338E9789" w14:textId="3139CA70" w:rsidR="00147746" w:rsidRPr="00177A87" w:rsidRDefault="00C37D91" w:rsidP="00177A87">
      <w:pPr>
        <w:spacing w:before="120" w:line="260" w:lineRule="auto"/>
        <w:ind w:left="851" w:right="649"/>
        <w:jc w:val="both"/>
        <w:rPr>
          <w:rFonts w:ascii="Arial MT" w:eastAsia="Arial MT" w:hAnsi="Arial MT" w:cs="Arial MT"/>
        </w:rPr>
      </w:pPr>
      <w:r>
        <w:rPr>
          <w:rFonts w:ascii="Arial MT" w:hAnsi="Arial MT"/>
        </w:rPr>
        <w:t xml:space="preserve">Institutions should calculate the projections of the market value of these instruments </w:t>
      </w:r>
      <w:proofErr w:type="gramStart"/>
      <w:r>
        <w:rPr>
          <w:rFonts w:ascii="Arial MT" w:hAnsi="Arial MT"/>
        </w:rPr>
        <w:t>on the basis of</w:t>
      </w:r>
      <w:proofErr w:type="gramEnd"/>
      <w:r>
        <w:rPr>
          <w:rFonts w:ascii="Arial MT" w:hAnsi="Arial MT"/>
        </w:rPr>
        <w:t xml:space="preserve"> internal measurement systems or, where appropriate, on the basis of the standardised methodology (Articles 15 and 20 of the EBA RTS on the standardised methodology for the evaluation of IRRBB</w:t>
      </w:r>
      <w:r w:rsidR="00147746" w:rsidRPr="00DC224C">
        <w:rPr>
          <w:rFonts w:ascii="Arial MT" w:eastAsia="Arial MT" w:hAnsi="Arial MT" w:cs="Arial MT"/>
          <w:vertAlign w:val="superscript"/>
        </w:rPr>
        <w:footnoteReference w:id="3"/>
      </w:r>
      <w:r>
        <w:rPr>
          <w:rFonts w:ascii="Arial MT" w:hAnsi="Arial MT"/>
        </w:rPr>
        <w:t>) or the simplified standardised methodology (Article 24 of the said RTS).</w:t>
      </w:r>
    </w:p>
    <w:p w14:paraId="516DDD1F" w14:textId="77777777" w:rsidR="00147746" w:rsidRDefault="00147746" w:rsidP="00177A87">
      <w:pPr>
        <w:spacing w:before="120" w:line="260" w:lineRule="auto"/>
        <w:ind w:left="851" w:right="649"/>
        <w:jc w:val="both"/>
        <w:rPr>
          <w:rFonts w:ascii="Arial MT" w:eastAsia="Arial MT" w:hAnsi="Arial MT" w:cs="Arial MT"/>
        </w:rPr>
      </w:pPr>
      <w:r>
        <w:rPr>
          <w:rFonts w:ascii="Arial MT" w:hAnsi="Arial MT"/>
        </w:rPr>
        <w:t>The scope of the parallel rate movements in the standardised assumptions amounts to 200 basis points, both upwards (line 300) and downwards (line 500). These two scenarios are supplemented by a third scenario of unchanged rates (line 400).</w:t>
      </w:r>
    </w:p>
    <w:p w14:paraId="5C91693D" w14:textId="77777777" w:rsidR="00C416DC" w:rsidRPr="00242A6D" w:rsidRDefault="00C416DC" w:rsidP="00C416DC">
      <w:pPr>
        <w:spacing w:before="120" w:line="260" w:lineRule="auto"/>
        <w:ind w:right="649"/>
        <w:jc w:val="both"/>
        <w:rPr>
          <w:rFonts w:ascii="Arial MT" w:eastAsia="Arial MT" w:hAnsi="Arial MT" w:cs="Arial MT"/>
          <w:lang w:val="en-US"/>
        </w:rPr>
      </w:pPr>
    </w:p>
    <w:p w14:paraId="42E03B8E" w14:textId="77777777" w:rsidR="00147746" w:rsidRPr="00C416DC" w:rsidRDefault="00147746" w:rsidP="00C416DC">
      <w:pPr>
        <w:numPr>
          <w:ilvl w:val="1"/>
          <w:numId w:val="45"/>
        </w:numPr>
        <w:spacing w:before="120" w:line="260" w:lineRule="auto"/>
        <w:ind w:left="851" w:right="649" w:hanging="567"/>
        <w:jc w:val="both"/>
        <w:rPr>
          <w:rFonts w:ascii="Arial MT" w:eastAsia="Arial MT" w:hAnsi="Arial MT" w:cs="Arial MT"/>
          <w:b/>
          <w:bCs/>
        </w:rPr>
      </w:pPr>
      <w:r>
        <w:rPr>
          <w:rFonts w:ascii="Arial MT" w:hAnsi="Arial MT"/>
          <w:b/>
          <w:bCs/>
        </w:rPr>
        <w:t>Table 90.30.b</w:t>
      </w:r>
    </w:p>
    <w:p w14:paraId="0ACF17A7" w14:textId="2D4E1F8D" w:rsidR="00147746" w:rsidRPr="00E714F2" w:rsidRDefault="00401C3E" w:rsidP="00E714F2">
      <w:pPr>
        <w:spacing w:before="120" w:line="260" w:lineRule="auto"/>
        <w:ind w:left="851" w:right="649"/>
        <w:jc w:val="both"/>
        <w:rPr>
          <w:rFonts w:ascii="Arial MT" w:eastAsia="Arial MT" w:hAnsi="Arial MT" w:cs="Arial MT"/>
        </w:rPr>
      </w:pPr>
      <w:r>
        <w:rPr>
          <w:rFonts w:ascii="Arial MT" w:hAnsi="Arial MT"/>
        </w:rPr>
        <w:t>In table 90.30.b, institutions should report qualitative data on the methodologies used to evaluate IRRBB.</w:t>
      </w:r>
    </w:p>
    <w:p w14:paraId="45CB0BA1" w14:textId="77777777" w:rsidR="00147746" w:rsidRPr="00242A6D" w:rsidRDefault="00147746" w:rsidP="00D71A22">
      <w:pPr>
        <w:spacing w:before="120" w:line="260" w:lineRule="auto"/>
        <w:ind w:left="851" w:right="649"/>
        <w:jc w:val="both"/>
        <w:rPr>
          <w:lang w:val="en-US"/>
        </w:rPr>
      </w:pPr>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147746" w:rsidRPr="00AE5973" w14:paraId="624CC392" w14:textId="77777777" w:rsidTr="00194EAE">
        <w:tc>
          <w:tcPr>
            <w:tcW w:w="1129" w:type="dxa"/>
            <w:shd w:val="clear" w:color="auto" w:fill="D9D9D9" w:themeFill="background1" w:themeFillShade="D9"/>
          </w:tcPr>
          <w:p w14:paraId="1989EE8A" w14:textId="77777777" w:rsidR="00147746" w:rsidRPr="00AE5973" w:rsidRDefault="00147746" w:rsidP="005508CC">
            <w:pPr>
              <w:pStyle w:val="InstructionsText"/>
              <w:rPr>
                <w:rStyle w:val="InstructionsTabelleText"/>
                <w:rFonts w:ascii="Arial MT" w:eastAsia="Arial" w:hAnsi="Arial MT"/>
                <w:szCs w:val="20"/>
              </w:rPr>
            </w:pPr>
            <w:r>
              <w:rPr>
                <w:rStyle w:val="InstructionsTabelleText"/>
                <w:rFonts w:ascii="Arial MT" w:hAnsi="Arial MT"/>
                <w:szCs w:val="20"/>
              </w:rPr>
              <w:t>Line(s)</w:t>
            </w:r>
          </w:p>
        </w:tc>
        <w:tc>
          <w:tcPr>
            <w:tcW w:w="7620" w:type="dxa"/>
            <w:shd w:val="clear" w:color="auto" w:fill="D9D9D9" w:themeFill="background1" w:themeFillShade="D9"/>
          </w:tcPr>
          <w:p w14:paraId="5B90EFCF" w14:textId="77777777" w:rsidR="00147746" w:rsidRPr="00AE5973" w:rsidRDefault="00147746" w:rsidP="005508CC">
            <w:pPr>
              <w:pStyle w:val="InstructionsText"/>
              <w:rPr>
                <w:rStyle w:val="InstructionsTabelleText"/>
                <w:rFonts w:ascii="Arial MT" w:hAnsi="Arial MT"/>
                <w:bCs/>
                <w:szCs w:val="20"/>
              </w:rPr>
            </w:pPr>
            <w:r>
              <w:rPr>
                <w:rStyle w:val="InstructionsTabelleText"/>
                <w:rFonts w:ascii="Arial MT" w:hAnsi="Arial MT"/>
                <w:szCs w:val="20"/>
              </w:rPr>
              <w:t>Instructions</w:t>
            </w:r>
          </w:p>
        </w:tc>
      </w:tr>
      <w:tr w:rsidR="00147746" w:rsidRPr="00AE5973" w14:paraId="5718A5A4" w14:textId="77777777" w:rsidTr="00194EAE">
        <w:tc>
          <w:tcPr>
            <w:tcW w:w="1129" w:type="dxa"/>
          </w:tcPr>
          <w:p w14:paraId="35F79D0B" w14:textId="77777777" w:rsidR="00147746" w:rsidRPr="00AE5973"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0010</w:t>
            </w:r>
          </w:p>
        </w:tc>
        <w:tc>
          <w:tcPr>
            <w:tcW w:w="7620" w:type="dxa"/>
          </w:tcPr>
          <w:p w14:paraId="77508323" w14:textId="77AE4808" w:rsidR="00147746" w:rsidRPr="0034123C" w:rsidRDefault="00184653" w:rsidP="005508CC">
            <w:pPr>
              <w:pStyle w:val="InstructionsText"/>
              <w:rPr>
                <w:rFonts w:ascii="Arial MT" w:hAnsi="Arial MT"/>
                <w:b/>
                <w:bCs/>
                <w:sz w:val="20"/>
                <w:szCs w:val="20"/>
                <w:u w:val="single"/>
              </w:rPr>
            </w:pPr>
            <w:r>
              <w:rPr>
                <w:rFonts w:ascii="Arial MT" w:hAnsi="Arial MT"/>
                <w:b/>
                <w:bCs/>
                <w:sz w:val="20"/>
                <w:szCs w:val="20"/>
                <w:u w:val="single"/>
              </w:rPr>
              <w:t>Measurement methodology (NII/EVE)</w:t>
            </w:r>
          </w:p>
          <w:p w14:paraId="66C3D53E" w14:textId="77777777" w:rsidR="00147746" w:rsidRPr="00AE5973" w:rsidRDefault="00147746" w:rsidP="005508CC">
            <w:pPr>
              <w:pStyle w:val="InstructionsText"/>
              <w:rPr>
                <w:rFonts w:ascii="Arial MT" w:hAnsi="Arial MT"/>
                <w:sz w:val="20"/>
                <w:szCs w:val="20"/>
              </w:rPr>
            </w:pPr>
            <w:r>
              <w:rPr>
                <w:rFonts w:ascii="Arial MT" w:hAnsi="Arial MT"/>
                <w:sz w:val="20"/>
                <w:szCs w:val="20"/>
              </w:rPr>
              <w:t>Institutions should specify their approach for evaluating interest-rate risk in the context of supervisory outlier tests.</w:t>
            </w:r>
          </w:p>
          <w:p w14:paraId="01D88B5C"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Simplified standardised methodology</w:t>
            </w:r>
          </w:p>
          <w:p w14:paraId="6B67081C"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Standardised methodology</w:t>
            </w:r>
          </w:p>
          <w:p w14:paraId="6AAF0325" w14:textId="77777777" w:rsidR="00147746" w:rsidRPr="00AE5973" w:rsidRDefault="00147746" w:rsidP="005508CC">
            <w:pPr>
              <w:pStyle w:val="InstructionsText"/>
              <w:numPr>
                <w:ilvl w:val="0"/>
                <w:numId w:val="43"/>
              </w:numPr>
              <w:rPr>
                <w:rFonts w:ascii="Arial MT" w:hAnsi="Arial MT"/>
                <w:b/>
                <w:bCs/>
                <w:sz w:val="20"/>
                <w:szCs w:val="20"/>
              </w:rPr>
            </w:pPr>
            <w:r>
              <w:rPr>
                <w:rFonts w:ascii="Arial MT" w:hAnsi="Arial MT"/>
                <w:sz w:val="20"/>
                <w:szCs w:val="20"/>
              </w:rPr>
              <w:t>Internal systems</w:t>
            </w:r>
          </w:p>
        </w:tc>
      </w:tr>
      <w:tr w:rsidR="00147746" w:rsidRPr="00AE5973" w14:paraId="68580089" w14:textId="77777777" w:rsidTr="00194EAE">
        <w:tc>
          <w:tcPr>
            <w:tcW w:w="1129" w:type="dxa"/>
          </w:tcPr>
          <w:p w14:paraId="67976070" w14:textId="77777777" w:rsidR="00147746" w:rsidRPr="00AE5973"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0020</w:t>
            </w:r>
          </w:p>
          <w:p w14:paraId="355B9D0D" w14:textId="77777777" w:rsidR="00147746" w:rsidRPr="00AE5973"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0030</w:t>
            </w:r>
          </w:p>
          <w:p w14:paraId="16A4D8F0" w14:textId="77777777" w:rsidR="00147746" w:rsidRPr="00AE5973"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0040</w:t>
            </w:r>
          </w:p>
        </w:tc>
        <w:tc>
          <w:tcPr>
            <w:tcW w:w="7620" w:type="dxa"/>
          </w:tcPr>
          <w:p w14:paraId="4D23212A" w14:textId="77777777" w:rsidR="00147746" w:rsidRPr="00AE5973" w:rsidRDefault="00147746" w:rsidP="005508CC">
            <w:pPr>
              <w:pStyle w:val="InstructionsText"/>
              <w:rPr>
                <w:rStyle w:val="InstructionsTabelleberschrift"/>
                <w:rFonts w:ascii="Arial MT" w:hAnsi="Arial MT"/>
                <w:szCs w:val="20"/>
              </w:rPr>
            </w:pPr>
            <w:r>
              <w:rPr>
                <w:rStyle w:val="InstructionsTabelleberschrift"/>
                <w:rFonts w:ascii="Arial MT" w:hAnsi="Arial MT"/>
                <w:szCs w:val="20"/>
              </w:rPr>
              <w:t>Second, third and fourth most important currencies (NII/EVE)</w:t>
            </w:r>
          </w:p>
          <w:p w14:paraId="57BC2804" w14:textId="77777777" w:rsidR="00147746" w:rsidRPr="00AE5973" w:rsidRDefault="00147746" w:rsidP="005508CC">
            <w:pPr>
              <w:pStyle w:val="InstructionsText"/>
              <w:rPr>
                <w:rStyle w:val="InstructionsTabelleberschrift"/>
                <w:rFonts w:ascii="Arial MT" w:hAnsi="Arial MT"/>
                <w:szCs w:val="20"/>
              </w:rPr>
            </w:pPr>
            <w:r>
              <w:rPr>
                <w:rFonts w:ascii="Arial MT" w:hAnsi="Arial MT"/>
                <w:sz w:val="20"/>
                <w:szCs w:val="20"/>
              </w:rPr>
              <w:t>If applicable, institutions should report the three most important currencies, after the euro, used to measure NII and EVE sensitivity in the context of supervisory outlier tests.</w:t>
            </w:r>
          </w:p>
        </w:tc>
      </w:tr>
      <w:tr w:rsidR="00147746" w:rsidRPr="00AE5973" w14:paraId="1D1E87C3" w14:textId="77777777" w:rsidTr="00194EAE">
        <w:tc>
          <w:tcPr>
            <w:tcW w:w="1129" w:type="dxa"/>
          </w:tcPr>
          <w:p w14:paraId="131974DE" w14:textId="77777777" w:rsidR="00147746" w:rsidRPr="00AE5973"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0050</w:t>
            </w:r>
          </w:p>
        </w:tc>
        <w:tc>
          <w:tcPr>
            <w:tcW w:w="7620" w:type="dxa"/>
          </w:tcPr>
          <w:p w14:paraId="52A52E1B" w14:textId="77777777" w:rsidR="00147746" w:rsidRPr="00AE5973" w:rsidRDefault="00147746" w:rsidP="005508CC">
            <w:pPr>
              <w:pStyle w:val="InstructionsText"/>
              <w:rPr>
                <w:rStyle w:val="InstructionsTabelleberschrift"/>
                <w:rFonts w:ascii="Arial MT" w:hAnsi="Arial MT"/>
                <w:szCs w:val="20"/>
              </w:rPr>
            </w:pPr>
            <w:r>
              <w:rPr>
                <w:rStyle w:val="InstructionsTabelleberschrift"/>
                <w:rFonts w:ascii="Arial MT" w:hAnsi="Arial MT"/>
                <w:szCs w:val="20"/>
              </w:rPr>
              <w:t>Other important currencies (NII/EVE)</w:t>
            </w:r>
          </w:p>
          <w:p w14:paraId="25E6AA43" w14:textId="77777777" w:rsidR="00147746" w:rsidRPr="00AE5973" w:rsidRDefault="00147746" w:rsidP="005508CC">
            <w:pPr>
              <w:pStyle w:val="InstructionsText"/>
              <w:rPr>
                <w:rStyle w:val="InstructionsTabelleberschrift"/>
                <w:rFonts w:ascii="Arial MT" w:hAnsi="Arial MT"/>
                <w:szCs w:val="20"/>
              </w:rPr>
            </w:pPr>
            <w:r>
              <w:rPr>
                <w:rFonts w:ascii="Arial MT" w:hAnsi="Arial MT"/>
                <w:sz w:val="20"/>
                <w:szCs w:val="20"/>
              </w:rPr>
              <w:lastRenderedPageBreak/>
              <w:t>If applicable, institutions should report the other important currencies used to measure NII and EVE sensitivity in the context of supervisory outlier tests.</w:t>
            </w:r>
          </w:p>
        </w:tc>
      </w:tr>
      <w:tr w:rsidR="00147746" w:rsidRPr="00AE5973" w14:paraId="4F31A56F" w14:textId="77777777" w:rsidTr="00194EAE">
        <w:tc>
          <w:tcPr>
            <w:tcW w:w="1129" w:type="dxa"/>
          </w:tcPr>
          <w:p w14:paraId="374AF8E4" w14:textId="77777777" w:rsidR="00147746" w:rsidRPr="00AE5973"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lastRenderedPageBreak/>
              <w:t>0060</w:t>
            </w:r>
          </w:p>
        </w:tc>
        <w:tc>
          <w:tcPr>
            <w:tcW w:w="7620" w:type="dxa"/>
          </w:tcPr>
          <w:p w14:paraId="523B0D62" w14:textId="77777777" w:rsidR="00147746" w:rsidRPr="00AE5973" w:rsidRDefault="00147746" w:rsidP="005508CC">
            <w:pPr>
              <w:pStyle w:val="InstructionsText"/>
              <w:rPr>
                <w:rStyle w:val="InstructionsTabelleberschrift"/>
                <w:rFonts w:ascii="Arial MT" w:hAnsi="Arial MT"/>
                <w:szCs w:val="20"/>
              </w:rPr>
            </w:pPr>
            <w:r>
              <w:rPr>
                <w:rStyle w:val="InstructionsTabelleberschrift"/>
                <w:rFonts w:ascii="Arial MT" w:hAnsi="Arial MT"/>
                <w:szCs w:val="20"/>
              </w:rPr>
              <w:t>Methodology (NII)</w:t>
            </w:r>
          </w:p>
          <w:p w14:paraId="3E7D382D" w14:textId="77777777" w:rsidR="00147746" w:rsidRPr="00AE5973" w:rsidRDefault="00147746" w:rsidP="005508CC">
            <w:pPr>
              <w:pStyle w:val="InstructionsText"/>
              <w:rPr>
                <w:rFonts w:ascii="Arial MT" w:hAnsi="Arial MT"/>
                <w:sz w:val="20"/>
                <w:szCs w:val="20"/>
              </w:rPr>
            </w:pPr>
            <w:r>
              <w:rPr>
                <w:rFonts w:ascii="Arial MT" w:hAnsi="Arial MT"/>
                <w:sz w:val="20"/>
                <w:szCs w:val="20"/>
              </w:rPr>
              <w:t>Institutions should specify the methodology used to measure NII sensitivity in the context of supervisory outlier tests.</w:t>
            </w:r>
          </w:p>
          <w:p w14:paraId="64E0EC70"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 xml:space="preserve">Repricing gap analysis </w:t>
            </w:r>
          </w:p>
          <w:p w14:paraId="23DB7994"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Full revaluation approach</w:t>
            </w:r>
          </w:p>
          <w:p w14:paraId="35D3E407"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Mixed approach</w:t>
            </w:r>
          </w:p>
          <w:p w14:paraId="1CDFC267"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Other</w:t>
            </w:r>
          </w:p>
        </w:tc>
      </w:tr>
      <w:tr w:rsidR="00147746" w:rsidRPr="00AE5973" w14:paraId="389AFD66" w14:textId="77777777" w:rsidTr="00194EAE">
        <w:tc>
          <w:tcPr>
            <w:tcW w:w="1129" w:type="dxa"/>
          </w:tcPr>
          <w:p w14:paraId="3EA4801F" w14:textId="77777777" w:rsidR="00147746" w:rsidRPr="00AE5973"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0070</w:t>
            </w:r>
          </w:p>
        </w:tc>
        <w:tc>
          <w:tcPr>
            <w:tcW w:w="7620" w:type="dxa"/>
          </w:tcPr>
          <w:p w14:paraId="47D3F536" w14:textId="77777777" w:rsidR="00147746" w:rsidRPr="00AE5973" w:rsidRDefault="00147746" w:rsidP="005508CC">
            <w:pPr>
              <w:pStyle w:val="InstructionsText"/>
              <w:rPr>
                <w:rStyle w:val="InstructionsTabelleberschrift"/>
                <w:rFonts w:ascii="Arial MT" w:hAnsi="Arial MT"/>
                <w:szCs w:val="20"/>
              </w:rPr>
            </w:pPr>
            <w:r>
              <w:rPr>
                <w:rStyle w:val="InstructionsTabelleberschrift"/>
                <w:rFonts w:ascii="Arial MT" w:hAnsi="Arial MT"/>
                <w:szCs w:val="20"/>
              </w:rPr>
              <w:t>Conditional cash flows (NII)</w:t>
            </w:r>
          </w:p>
          <w:p w14:paraId="2972EB31" w14:textId="77777777" w:rsidR="00147746" w:rsidRPr="00AE5973" w:rsidRDefault="00147746" w:rsidP="005508CC">
            <w:pPr>
              <w:pStyle w:val="InstructionsText"/>
              <w:rPr>
                <w:rFonts w:ascii="Arial MT" w:hAnsi="Arial MT"/>
                <w:sz w:val="20"/>
                <w:szCs w:val="20"/>
              </w:rPr>
            </w:pPr>
            <w:r>
              <w:rPr>
                <w:rFonts w:ascii="Arial MT" w:hAnsi="Arial MT"/>
                <w:sz w:val="20"/>
                <w:szCs w:val="20"/>
              </w:rPr>
              <w:t>Institutions should specify to what extent the measurement of NII sensitivity in the context of supervisory outlier tests is based on conditional cash flow modelling approaches.</w:t>
            </w:r>
          </w:p>
          <w:p w14:paraId="38B570B9" w14:textId="77777777" w:rsidR="00147746" w:rsidRPr="00AE5973" w:rsidRDefault="00147746" w:rsidP="005508CC">
            <w:pPr>
              <w:pStyle w:val="InstructionsText"/>
              <w:rPr>
                <w:rFonts w:ascii="Arial MT" w:hAnsi="Arial MT"/>
                <w:sz w:val="20"/>
                <w:szCs w:val="20"/>
              </w:rPr>
            </w:pPr>
            <w:r>
              <w:rPr>
                <w:rFonts w:ascii="Arial MT" w:hAnsi="Arial MT"/>
                <w:sz w:val="20"/>
                <w:szCs w:val="20"/>
              </w:rPr>
              <w:t>Conditional cash flow modelling approaches are considered for:</w:t>
            </w:r>
          </w:p>
          <w:p w14:paraId="23B22C58"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 xml:space="preserve">All material items </w:t>
            </w:r>
          </w:p>
          <w:p w14:paraId="055BFC39"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 xml:space="preserve">Some material items </w:t>
            </w:r>
          </w:p>
          <w:p w14:paraId="34E7B86D"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Not considered</w:t>
            </w:r>
          </w:p>
        </w:tc>
      </w:tr>
      <w:tr w:rsidR="00147746" w:rsidRPr="00AE5973" w14:paraId="59552D7C" w14:textId="77777777" w:rsidTr="00194EAE">
        <w:tc>
          <w:tcPr>
            <w:tcW w:w="1129" w:type="dxa"/>
          </w:tcPr>
          <w:p w14:paraId="2CF7F6B1" w14:textId="77777777" w:rsidR="00147746" w:rsidRPr="00AE5973"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0080</w:t>
            </w:r>
          </w:p>
        </w:tc>
        <w:tc>
          <w:tcPr>
            <w:tcW w:w="7620" w:type="dxa"/>
          </w:tcPr>
          <w:p w14:paraId="3FBFA676" w14:textId="77777777" w:rsidR="00147746" w:rsidRPr="00AE5973" w:rsidRDefault="00147746" w:rsidP="005508CC">
            <w:pPr>
              <w:pStyle w:val="InstructionsText"/>
              <w:rPr>
                <w:rStyle w:val="InstructionsTabelleberschrift"/>
                <w:rFonts w:ascii="Arial MT" w:hAnsi="Arial MT"/>
                <w:szCs w:val="20"/>
              </w:rPr>
            </w:pPr>
            <w:r>
              <w:rPr>
                <w:rStyle w:val="InstructionsTabelleberschrift"/>
                <w:rFonts w:ascii="Arial MT" w:hAnsi="Arial MT"/>
                <w:szCs w:val="20"/>
              </w:rPr>
              <w:t>Option risk (NII)</w:t>
            </w:r>
          </w:p>
          <w:p w14:paraId="3661E59E" w14:textId="77777777" w:rsidR="00147746" w:rsidRPr="00AE5973" w:rsidRDefault="00147746" w:rsidP="005508CC">
            <w:pPr>
              <w:pStyle w:val="InstructionsText"/>
              <w:rPr>
                <w:rFonts w:ascii="Arial MT" w:hAnsi="Arial MT"/>
                <w:sz w:val="20"/>
                <w:szCs w:val="20"/>
              </w:rPr>
            </w:pPr>
            <w:r>
              <w:rPr>
                <w:rFonts w:ascii="Arial MT" w:hAnsi="Arial MT"/>
                <w:sz w:val="20"/>
                <w:szCs w:val="20"/>
              </w:rPr>
              <w:t>Institutions should indicate whether option risk is considered in the methodology used to measure NII sensitivity in the context of supervisory outlier tests.</w:t>
            </w:r>
          </w:p>
          <w:p w14:paraId="64B2B5B0"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 xml:space="preserve">Considered </w:t>
            </w:r>
          </w:p>
          <w:p w14:paraId="36F1123B"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Not considered</w:t>
            </w:r>
          </w:p>
        </w:tc>
      </w:tr>
      <w:tr w:rsidR="00147746" w:rsidRPr="00AE5973" w14:paraId="41C57588" w14:textId="77777777" w:rsidTr="00194EAE">
        <w:tc>
          <w:tcPr>
            <w:tcW w:w="1129" w:type="dxa"/>
          </w:tcPr>
          <w:p w14:paraId="33BED5E6" w14:textId="77777777" w:rsidR="00147746" w:rsidRPr="00AE5973"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0090</w:t>
            </w:r>
          </w:p>
        </w:tc>
        <w:tc>
          <w:tcPr>
            <w:tcW w:w="7620" w:type="dxa"/>
          </w:tcPr>
          <w:p w14:paraId="3B20A8F4" w14:textId="77777777" w:rsidR="00147746" w:rsidRPr="00AE5973" w:rsidRDefault="00147746" w:rsidP="005508CC">
            <w:pPr>
              <w:pStyle w:val="InstructionsText"/>
              <w:rPr>
                <w:rStyle w:val="InstructionsTabelleberschrift"/>
                <w:rFonts w:ascii="Arial MT" w:hAnsi="Arial MT"/>
                <w:szCs w:val="20"/>
              </w:rPr>
            </w:pPr>
            <w:r>
              <w:rPr>
                <w:rStyle w:val="InstructionsTabelleberschrift"/>
                <w:rFonts w:ascii="Arial MT" w:hAnsi="Arial MT"/>
                <w:szCs w:val="20"/>
              </w:rPr>
              <w:t>Basis risk (NII)</w:t>
            </w:r>
          </w:p>
          <w:p w14:paraId="6EFE6EA8" w14:textId="77777777" w:rsidR="00147746" w:rsidRPr="00AE5973" w:rsidRDefault="00147746" w:rsidP="005508CC">
            <w:pPr>
              <w:pStyle w:val="InstructionsText"/>
              <w:rPr>
                <w:rFonts w:ascii="Arial MT" w:hAnsi="Arial MT"/>
                <w:sz w:val="20"/>
                <w:szCs w:val="20"/>
              </w:rPr>
            </w:pPr>
            <w:r>
              <w:rPr>
                <w:rFonts w:ascii="Arial MT" w:hAnsi="Arial MT"/>
                <w:sz w:val="20"/>
                <w:szCs w:val="20"/>
              </w:rPr>
              <w:t>Institutions should indicate whether basis risk is considered in the methodology used to measure NII sensitivity in the context of supervisory outlier tests.</w:t>
            </w:r>
          </w:p>
          <w:p w14:paraId="31E810F4"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 xml:space="preserve">Considered </w:t>
            </w:r>
          </w:p>
          <w:p w14:paraId="2EDF261A"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Not considered</w:t>
            </w:r>
          </w:p>
        </w:tc>
      </w:tr>
      <w:tr w:rsidR="00147746" w:rsidRPr="00AE5973" w14:paraId="44D6A96C" w14:textId="77777777" w:rsidTr="00194EAE">
        <w:tc>
          <w:tcPr>
            <w:tcW w:w="1129" w:type="dxa"/>
          </w:tcPr>
          <w:p w14:paraId="4F3AC430" w14:textId="77777777" w:rsidR="00147746" w:rsidRPr="00AE5973"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0100</w:t>
            </w:r>
          </w:p>
        </w:tc>
        <w:tc>
          <w:tcPr>
            <w:tcW w:w="7620" w:type="dxa"/>
          </w:tcPr>
          <w:p w14:paraId="1C8540DA" w14:textId="77777777" w:rsidR="00147746" w:rsidRPr="00AE5973" w:rsidRDefault="00147746" w:rsidP="005508CC">
            <w:pPr>
              <w:pStyle w:val="InstructionsText"/>
              <w:rPr>
                <w:rStyle w:val="InstructionsTabelleberschrift"/>
                <w:rFonts w:ascii="Arial MT" w:hAnsi="Arial MT"/>
                <w:szCs w:val="20"/>
              </w:rPr>
            </w:pPr>
            <w:r>
              <w:rPr>
                <w:rStyle w:val="InstructionsTabelleberschrift"/>
                <w:rFonts w:ascii="Arial MT" w:hAnsi="Arial MT"/>
                <w:szCs w:val="20"/>
              </w:rPr>
              <w:t>Methodology (EVE)</w:t>
            </w:r>
          </w:p>
          <w:p w14:paraId="3F15B5C0" w14:textId="77777777" w:rsidR="00147746" w:rsidRPr="00AE5973" w:rsidRDefault="00147746" w:rsidP="005508CC">
            <w:pPr>
              <w:pStyle w:val="InstructionsText"/>
              <w:rPr>
                <w:rFonts w:ascii="Arial MT" w:hAnsi="Arial MT"/>
                <w:sz w:val="20"/>
                <w:szCs w:val="20"/>
              </w:rPr>
            </w:pPr>
            <w:r>
              <w:rPr>
                <w:rFonts w:ascii="Arial MT" w:hAnsi="Arial MT"/>
                <w:sz w:val="20"/>
                <w:szCs w:val="20"/>
              </w:rPr>
              <w:t>Institutions should specify the methodology used to measure EVE sensitivity in the context of supervisory outlier tests.</w:t>
            </w:r>
          </w:p>
          <w:p w14:paraId="3EEA5653"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 xml:space="preserve">Repricing gap analysis </w:t>
            </w:r>
          </w:p>
          <w:p w14:paraId="3EFE843F"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Full revaluation approach</w:t>
            </w:r>
          </w:p>
          <w:p w14:paraId="45243369"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Mixed approach</w:t>
            </w:r>
          </w:p>
          <w:p w14:paraId="18D52AC6"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Other</w:t>
            </w:r>
          </w:p>
        </w:tc>
      </w:tr>
      <w:tr w:rsidR="00147746" w:rsidRPr="00AE5973" w14:paraId="35321346" w14:textId="77777777" w:rsidTr="00194EAE">
        <w:tc>
          <w:tcPr>
            <w:tcW w:w="1129" w:type="dxa"/>
          </w:tcPr>
          <w:p w14:paraId="7A2E769D" w14:textId="77777777" w:rsidR="00147746" w:rsidRPr="00AE5973"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0110</w:t>
            </w:r>
          </w:p>
        </w:tc>
        <w:tc>
          <w:tcPr>
            <w:tcW w:w="7620" w:type="dxa"/>
          </w:tcPr>
          <w:p w14:paraId="638951D4" w14:textId="77777777" w:rsidR="00147746" w:rsidRPr="00AE5973" w:rsidRDefault="00147746" w:rsidP="005508CC">
            <w:pPr>
              <w:pStyle w:val="InstructionsText"/>
              <w:rPr>
                <w:rStyle w:val="InstructionsTabelleberschrift"/>
                <w:rFonts w:ascii="Arial MT" w:hAnsi="Arial MT"/>
                <w:szCs w:val="20"/>
              </w:rPr>
            </w:pPr>
            <w:r>
              <w:rPr>
                <w:rStyle w:val="InstructionsTabelleberschrift"/>
                <w:rFonts w:ascii="Arial MT" w:hAnsi="Arial MT"/>
                <w:szCs w:val="20"/>
              </w:rPr>
              <w:t>Conditional cash flows (EVE)</w:t>
            </w:r>
          </w:p>
          <w:p w14:paraId="26152854" w14:textId="77777777" w:rsidR="00147746" w:rsidRPr="00AE5973" w:rsidRDefault="00147746" w:rsidP="005508CC">
            <w:pPr>
              <w:pStyle w:val="InstructionsText"/>
              <w:rPr>
                <w:rFonts w:ascii="Arial MT" w:hAnsi="Arial MT"/>
                <w:sz w:val="20"/>
                <w:szCs w:val="20"/>
              </w:rPr>
            </w:pPr>
            <w:r>
              <w:rPr>
                <w:rFonts w:ascii="Arial MT" w:hAnsi="Arial MT"/>
                <w:sz w:val="20"/>
                <w:szCs w:val="20"/>
              </w:rPr>
              <w:t>Institutions should specify to what extent the measurement of EVE sensitivity in the context of supervisory outlier tests is based on conditional cash flow modelling approaches.</w:t>
            </w:r>
          </w:p>
          <w:p w14:paraId="14B8F117" w14:textId="77777777" w:rsidR="00147746" w:rsidRPr="00AE5973" w:rsidRDefault="00147746" w:rsidP="005508CC">
            <w:pPr>
              <w:pStyle w:val="InstructionsText"/>
              <w:rPr>
                <w:rFonts w:ascii="Arial MT" w:hAnsi="Arial MT"/>
                <w:sz w:val="20"/>
                <w:szCs w:val="20"/>
              </w:rPr>
            </w:pPr>
            <w:r>
              <w:rPr>
                <w:rFonts w:ascii="Arial MT" w:hAnsi="Arial MT"/>
                <w:sz w:val="20"/>
                <w:szCs w:val="20"/>
              </w:rPr>
              <w:t>Conditional cash flow modelling approaches are considered for:</w:t>
            </w:r>
          </w:p>
          <w:p w14:paraId="1605B947"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 xml:space="preserve">All material items </w:t>
            </w:r>
          </w:p>
          <w:p w14:paraId="74A19BED"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 xml:space="preserve">Some material items </w:t>
            </w:r>
          </w:p>
          <w:p w14:paraId="76E7C9B5"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Not considered</w:t>
            </w:r>
          </w:p>
        </w:tc>
      </w:tr>
    </w:tbl>
    <w:p w14:paraId="631D7864" w14:textId="77777777" w:rsidR="00E85C6F" w:rsidRDefault="00E85C6F">
      <w:r>
        <w:br w:type="page"/>
      </w:r>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147746" w:rsidRPr="00AE5973" w14:paraId="5C4DD2A0" w14:textId="77777777" w:rsidTr="00194EAE">
        <w:tc>
          <w:tcPr>
            <w:tcW w:w="1129" w:type="dxa"/>
          </w:tcPr>
          <w:p w14:paraId="5D1A3B45" w14:textId="209DDC69" w:rsidR="00147746" w:rsidRPr="00AE5973"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lastRenderedPageBreak/>
              <w:t>0120</w:t>
            </w:r>
          </w:p>
        </w:tc>
        <w:tc>
          <w:tcPr>
            <w:tcW w:w="7620" w:type="dxa"/>
          </w:tcPr>
          <w:p w14:paraId="5260B3E9" w14:textId="77777777" w:rsidR="00147746" w:rsidRPr="00AE5973" w:rsidRDefault="00147746" w:rsidP="005508CC">
            <w:pPr>
              <w:pStyle w:val="InstructionsText"/>
              <w:rPr>
                <w:rStyle w:val="InstructionsTabelleberschrift"/>
                <w:rFonts w:ascii="Arial MT" w:hAnsi="Arial MT"/>
                <w:szCs w:val="20"/>
              </w:rPr>
            </w:pPr>
            <w:r>
              <w:rPr>
                <w:rStyle w:val="InstructionsTabelleberschrift"/>
                <w:rFonts w:ascii="Arial MT" w:hAnsi="Arial MT"/>
                <w:szCs w:val="20"/>
              </w:rPr>
              <w:t>Option risk (EVE)</w:t>
            </w:r>
          </w:p>
          <w:p w14:paraId="62E2D66C" w14:textId="77777777" w:rsidR="00147746" w:rsidRPr="00AE5973" w:rsidRDefault="00147746" w:rsidP="005508CC">
            <w:pPr>
              <w:pStyle w:val="InstructionsText"/>
              <w:rPr>
                <w:rFonts w:ascii="Arial MT" w:hAnsi="Arial MT"/>
                <w:sz w:val="20"/>
                <w:szCs w:val="20"/>
              </w:rPr>
            </w:pPr>
            <w:r>
              <w:rPr>
                <w:rFonts w:ascii="Arial MT" w:hAnsi="Arial MT"/>
                <w:sz w:val="20"/>
                <w:szCs w:val="20"/>
              </w:rPr>
              <w:t>Institutions should indicate whether option risk is considered in the methodology used to measure EVE sensitivity in the context of supervisory outlier tests.</w:t>
            </w:r>
          </w:p>
          <w:p w14:paraId="3348D2D7"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 xml:space="preserve">Considered </w:t>
            </w:r>
          </w:p>
          <w:p w14:paraId="0BCD4146"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Not considered</w:t>
            </w:r>
          </w:p>
        </w:tc>
      </w:tr>
      <w:tr w:rsidR="00147746" w:rsidRPr="00AE5973" w14:paraId="0A5BEDA3" w14:textId="77777777" w:rsidTr="00194EAE">
        <w:tc>
          <w:tcPr>
            <w:tcW w:w="1129" w:type="dxa"/>
          </w:tcPr>
          <w:p w14:paraId="309626CF" w14:textId="77777777" w:rsidR="00147746" w:rsidRPr="00AE5973"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0130</w:t>
            </w:r>
          </w:p>
        </w:tc>
        <w:tc>
          <w:tcPr>
            <w:tcW w:w="7620" w:type="dxa"/>
          </w:tcPr>
          <w:p w14:paraId="0B5B8F25" w14:textId="77777777" w:rsidR="00147746" w:rsidRPr="00AE5973" w:rsidRDefault="00147746" w:rsidP="005508CC">
            <w:pPr>
              <w:pStyle w:val="InstructionsText"/>
              <w:rPr>
                <w:rStyle w:val="InstructionsTabelleberschrift"/>
                <w:rFonts w:ascii="Arial MT" w:hAnsi="Arial MT"/>
                <w:szCs w:val="20"/>
              </w:rPr>
            </w:pPr>
            <w:r>
              <w:rPr>
                <w:rStyle w:val="InstructionsTabelleberschrift"/>
                <w:rFonts w:ascii="Arial MT" w:hAnsi="Arial MT"/>
                <w:szCs w:val="20"/>
              </w:rPr>
              <w:t>Basis risk (EVE)</w:t>
            </w:r>
          </w:p>
          <w:p w14:paraId="528F3DE8" w14:textId="77777777" w:rsidR="00147746" w:rsidRPr="00AE5973" w:rsidRDefault="00147746" w:rsidP="005508CC">
            <w:pPr>
              <w:pStyle w:val="InstructionsText"/>
              <w:rPr>
                <w:rFonts w:ascii="Arial MT" w:hAnsi="Arial MT"/>
                <w:sz w:val="20"/>
                <w:szCs w:val="20"/>
              </w:rPr>
            </w:pPr>
            <w:r>
              <w:rPr>
                <w:rFonts w:ascii="Arial MT" w:hAnsi="Arial MT"/>
                <w:sz w:val="20"/>
                <w:szCs w:val="20"/>
              </w:rPr>
              <w:t>Institutions should indicate whether option risk is considered in the methodology used to measure EVE sensitivity in the context of supervisory outlier tests.</w:t>
            </w:r>
          </w:p>
          <w:p w14:paraId="5C46C159"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 xml:space="preserve">Considered </w:t>
            </w:r>
          </w:p>
          <w:p w14:paraId="21746BE5"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Not considered</w:t>
            </w:r>
          </w:p>
        </w:tc>
      </w:tr>
      <w:tr w:rsidR="00147746" w:rsidRPr="00AE5973" w14:paraId="46607635" w14:textId="77777777" w:rsidTr="00194EAE">
        <w:tc>
          <w:tcPr>
            <w:tcW w:w="1129" w:type="dxa"/>
          </w:tcPr>
          <w:p w14:paraId="03B83799" w14:textId="77777777" w:rsidR="00147746" w:rsidRPr="00AE5973"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0140</w:t>
            </w:r>
          </w:p>
        </w:tc>
        <w:tc>
          <w:tcPr>
            <w:tcW w:w="7620" w:type="dxa"/>
          </w:tcPr>
          <w:p w14:paraId="4D399098" w14:textId="77777777" w:rsidR="00147746" w:rsidRPr="00AE5973" w:rsidRDefault="00147746" w:rsidP="005508CC">
            <w:pPr>
              <w:pStyle w:val="InstructionsText"/>
              <w:rPr>
                <w:rStyle w:val="InstructionsTabelleberschrift"/>
                <w:rFonts w:ascii="Arial MT" w:hAnsi="Arial MT"/>
                <w:szCs w:val="20"/>
              </w:rPr>
            </w:pPr>
            <w:r>
              <w:rPr>
                <w:rStyle w:val="InstructionsTabelleberschrift"/>
                <w:rFonts w:ascii="Arial MT" w:hAnsi="Arial MT"/>
                <w:szCs w:val="20"/>
              </w:rPr>
              <w:t>Commercial margins and other spread components (EVE)</w:t>
            </w:r>
          </w:p>
          <w:p w14:paraId="346CF0E9" w14:textId="77777777" w:rsidR="00147746" w:rsidRPr="00AE5973" w:rsidRDefault="00147746" w:rsidP="005508CC">
            <w:pPr>
              <w:pStyle w:val="InstructionsText"/>
              <w:rPr>
                <w:rFonts w:ascii="Arial MT" w:hAnsi="Arial MT"/>
                <w:sz w:val="20"/>
                <w:szCs w:val="20"/>
              </w:rPr>
            </w:pPr>
            <w:r>
              <w:rPr>
                <w:rFonts w:ascii="Arial MT" w:hAnsi="Arial MT"/>
                <w:sz w:val="20"/>
                <w:szCs w:val="20"/>
              </w:rPr>
              <w:t>Institutions should indicate whether commercial margins and other spread components are included in the methodology used to measure EVE sensitivity in the context of supervisory outlier tests.</w:t>
            </w:r>
          </w:p>
          <w:p w14:paraId="5262DE61"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Included</w:t>
            </w:r>
          </w:p>
          <w:p w14:paraId="35FA10DF"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Excluded</w:t>
            </w:r>
          </w:p>
          <w:p w14:paraId="5566087D" w14:textId="77777777" w:rsidR="00147746" w:rsidRPr="00AE5973" w:rsidRDefault="00147746" w:rsidP="005508CC">
            <w:pPr>
              <w:pStyle w:val="InstructionsText"/>
              <w:numPr>
                <w:ilvl w:val="0"/>
                <w:numId w:val="43"/>
              </w:numPr>
              <w:rPr>
                <w:rStyle w:val="InstructionsTabelleberschrift"/>
                <w:rFonts w:ascii="Arial MT" w:hAnsi="Arial MT"/>
                <w:b w:val="0"/>
                <w:bCs w:val="0"/>
                <w:szCs w:val="20"/>
              </w:rPr>
            </w:pPr>
            <w:r>
              <w:rPr>
                <w:rFonts w:ascii="Arial MT" w:hAnsi="Arial MT"/>
                <w:sz w:val="20"/>
                <w:szCs w:val="20"/>
              </w:rPr>
              <w:t>Not applicable</w:t>
            </w:r>
          </w:p>
        </w:tc>
      </w:tr>
      <w:tr w:rsidR="00147746" w:rsidRPr="00AE5973" w14:paraId="3D608C41" w14:textId="77777777" w:rsidTr="00194EAE">
        <w:tc>
          <w:tcPr>
            <w:tcW w:w="1129" w:type="dxa"/>
          </w:tcPr>
          <w:p w14:paraId="7DA39E13" w14:textId="77777777" w:rsidR="00147746" w:rsidRPr="00AE5973"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0150</w:t>
            </w:r>
          </w:p>
        </w:tc>
        <w:tc>
          <w:tcPr>
            <w:tcW w:w="7620" w:type="dxa"/>
          </w:tcPr>
          <w:p w14:paraId="08F44268" w14:textId="77777777" w:rsidR="00147746" w:rsidRPr="00AE5973" w:rsidRDefault="00147746" w:rsidP="005508CC">
            <w:pPr>
              <w:pStyle w:val="InstructionsText"/>
              <w:rPr>
                <w:rStyle w:val="InstructionsTabelleberschrift"/>
                <w:rFonts w:ascii="Arial MT" w:hAnsi="Arial MT"/>
                <w:szCs w:val="20"/>
              </w:rPr>
            </w:pPr>
            <w:r>
              <w:rPr>
                <w:rStyle w:val="InstructionsTabelleberschrift"/>
                <w:rFonts w:ascii="Arial MT" w:hAnsi="Arial MT"/>
                <w:szCs w:val="20"/>
              </w:rPr>
              <w:t>Loan prepayment penalty fees (NII)</w:t>
            </w:r>
          </w:p>
          <w:p w14:paraId="1DA43ADE" w14:textId="77777777" w:rsidR="00147746" w:rsidRPr="00AE5973" w:rsidRDefault="00147746" w:rsidP="005508CC">
            <w:pPr>
              <w:pStyle w:val="InstructionsText"/>
              <w:rPr>
                <w:rFonts w:ascii="Arial MT" w:hAnsi="Arial MT"/>
                <w:sz w:val="20"/>
                <w:szCs w:val="20"/>
              </w:rPr>
            </w:pPr>
            <w:r>
              <w:rPr>
                <w:rFonts w:ascii="Arial MT" w:hAnsi="Arial MT"/>
                <w:sz w:val="20"/>
                <w:szCs w:val="20"/>
              </w:rPr>
              <w:t>Institutions should indicate whether loan prepayment penalty fees are included in the methodology used to measure NII sensitivity in the context of supervisory outlier tests.</w:t>
            </w:r>
          </w:p>
          <w:p w14:paraId="40731B22"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Included</w:t>
            </w:r>
          </w:p>
          <w:p w14:paraId="1AE4C1F1"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Excluded</w:t>
            </w:r>
          </w:p>
          <w:p w14:paraId="54F1052E" w14:textId="77777777" w:rsidR="00147746" w:rsidRPr="00AE5973" w:rsidRDefault="00147746" w:rsidP="005508CC">
            <w:pPr>
              <w:pStyle w:val="InstructionsText"/>
              <w:numPr>
                <w:ilvl w:val="0"/>
                <w:numId w:val="43"/>
              </w:numPr>
              <w:rPr>
                <w:rStyle w:val="InstructionsTabelleberschrift"/>
                <w:rFonts w:ascii="Arial MT" w:hAnsi="Arial MT"/>
                <w:b w:val="0"/>
                <w:bCs w:val="0"/>
                <w:szCs w:val="20"/>
              </w:rPr>
            </w:pPr>
            <w:r>
              <w:rPr>
                <w:rFonts w:ascii="Arial MT" w:hAnsi="Arial MT"/>
                <w:sz w:val="20"/>
                <w:szCs w:val="20"/>
              </w:rPr>
              <w:t>Not applicable</w:t>
            </w:r>
          </w:p>
        </w:tc>
      </w:tr>
      <w:tr w:rsidR="00147746" w:rsidRPr="00AE5973" w14:paraId="23F6BE5C" w14:textId="77777777" w:rsidTr="00194EAE">
        <w:tc>
          <w:tcPr>
            <w:tcW w:w="1129" w:type="dxa"/>
          </w:tcPr>
          <w:p w14:paraId="3BF16B96" w14:textId="77777777" w:rsidR="00147746" w:rsidRPr="00AE5973"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0160</w:t>
            </w:r>
          </w:p>
        </w:tc>
        <w:tc>
          <w:tcPr>
            <w:tcW w:w="7620" w:type="dxa"/>
          </w:tcPr>
          <w:p w14:paraId="37B92864" w14:textId="77777777" w:rsidR="00147746" w:rsidRPr="00AE5973" w:rsidRDefault="00147746" w:rsidP="005508CC">
            <w:pPr>
              <w:pStyle w:val="InstructionsText"/>
              <w:rPr>
                <w:rStyle w:val="InstructionsTabelleberschrift"/>
                <w:rFonts w:ascii="Arial MT" w:hAnsi="Arial MT"/>
                <w:szCs w:val="20"/>
              </w:rPr>
            </w:pPr>
            <w:r>
              <w:rPr>
                <w:rStyle w:val="InstructionsTabelleberschrift"/>
                <w:rFonts w:ascii="Arial MT" w:hAnsi="Arial MT"/>
                <w:szCs w:val="20"/>
              </w:rPr>
              <w:t>Pension obligations and pension plan assets (EVE)</w:t>
            </w:r>
          </w:p>
          <w:p w14:paraId="554F686E" w14:textId="77777777" w:rsidR="00147746" w:rsidRPr="00AE5973" w:rsidRDefault="00147746" w:rsidP="005508CC">
            <w:pPr>
              <w:pStyle w:val="InstructionsText"/>
              <w:rPr>
                <w:rFonts w:ascii="Arial MT" w:hAnsi="Arial MT"/>
                <w:sz w:val="20"/>
                <w:szCs w:val="20"/>
              </w:rPr>
            </w:pPr>
            <w:r>
              <w:rPr>
                <w:rFonts w:ascii="Arial MT" w:hAnsi="Arial MT"/>
                <w:sz w:val="20"/>
                <w:szCs w:val="20"/>
              </w:rPr>
              <w:t>Institutions should indicate whether pension obligations and pension plan assets are included in the methodology used to measure EVE sensitivity in the context of supervisory outlier tests.</w:t>
            </w:r>
          </w:p>
          <w:p w14:paraId="62663793" w14:textId="77777777" w:rsidR="00147746" w:rsidRPr="00AE5973" w:rsidRDefault="00147746" w:rsidP="005508CC">
            <w:pPr>
              <w:pStyle w:val="InstructionsText"/>
              <w:numPr>
                <w:ilvl w:val="0"/>
                <w:numId w:val="43"/>
              </w:numPr>
              <w:rPr>
                <w:rStyle w:val="InstructionsTabelleberschrift"/>
                <w:rFonts w:ascii="Arial MT" w:hAnsi="Arial MT"/>
                <w:b w:val="0"/>
                <w:bCs w:val="0"/>
                <w:szCs w:val="20"/>
                <w:u w:val="none"/>
              </w:rPr>
            </w:pPr>
            <w:r>
              <w:rPr>
                <w:rStyle w:val="InstructionsTabelleberschrift"/>
                <w:rFonts w:ascii="Arial MT" w:hAnsi="Arial MT"/>
                <w:b w:val="0"/>
                <w:bCs w:val="0"/>
                <w:szCs w:val="20"/>
                <w:u w:val="none"/>
              </w:rPr>
              <w:t>Included</w:t>
            </w:r>
          </w:p>
          <w:p w14:paraId="066EE6A9" w14:textId="77777777" w:rsidR="00147746" w:rsidRPr="00AE5973" w:rsidRDefault="00147746" w:rsidP="005508CC">
            <w:pPr>
              <w:pStyle w:val="InstructionsText"/>
              <w:numPr>
                <w:ilvl w:val="0"/>
                <w:numId w:val="43"/>
              </w:numPr>
              <w:rPr>
                <w:rStyle w:val="InstructionsTabelleberschrift"/>
                <w:rFonts w:ascii="Arial MT" w:hAnsi="Arial MT"/>
                <w:b w:val="0"/>
                <w:bCs w:val="0"/>
                <w:szCs w:val="20"/>
                <w:u w:val="none"/>
              </w:rPr>
            </w:pPr>
            <w:r>
              <w:rPr>
                <w:rStyle w:val="InstructionsTabelleberschrift"/>
                <w:rFonts w:ascii="Arial MT" w:hAnsi="Arial MT"/>
                <w:b w:val="0"/>
                <w:bCs w:val="0"/>
                <w:szCs w:val="20"/>
                <w:u w:val="none"/>
              </w:rPr>
              <w:t>Excluded</w:t>
            </w:r>
          </w:p>
          <w:p w14:paraId="67939638" w14:textId="77777777" w:rsidR="00147746" w:rsidRPr="00AE5973" w:rsidRDefault="00147746" w:rsidP="005508CC">
            <w:pPr>
              <w:pStyle w:val="InstructionsText"/>
              <w:numPr>
                <w:ilvl w:val="0"/>
                <w:numId w:val="43"/>
              </w:numPr>
              <w:rPr>
                <w:rStyle w:val="InstructionsTabelleberschrift"/>
                <w:rFonts w:ascii="Arial MT" w:hAnsi="Arial MT"/>
                <w:b w:val="0"/>
                <w:bCs w:val="0"/>
                <w:szCs w:val="20"/>
              </w:rPr>
            </w:pPr>
            <w:r>
              <w:rPr>
                <w:rStyle w:val="InstructionsTabelleberschrift"/>
                <w:rFonts w:ascii="Arial MT" w:hAnsi="Arial MT"/>
                <w:b w:val="0"/>
                <w:bCs w:val="0"/>
                <w:szCs w:val="20"/>
                <w:u w:val="none"/>
              </w:rPr>
              <w:t>Not applicable</w:t>
            </w:r>
          </w:p>
        </w:tc>
      </w:tr>
      <w:tr w:rsidR="00147746" w:rsidRPr="00AE5973" w14:paraId="1086B509" w14:textId="77777777" w:rsidTr="00194EAE">
        <w:tc>
          <w:tcPr>
            <w:tcW w:w="1129" w:type="dxa"/>
          </w:tcPr>
          <w:p w14:paraId="4BF184FF" w14:textId="77777777" w:rsidR="00147746" w:rsidRPr="00AE5973"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0170</w:t>
            </w:r>
          </w:p>
        </w:tc>
        <w:tc>
          <w:tcPr>
            <w:tcW w:w="7620" w:type="dxa"/>
          </w:tcPr>
          <w:p w14:paraId="0B87FF9C" w14:textId="77777777" w:rsidR="00147746" w:rsidRPr="00AE5973" w:rsidRDefault="00147746" w:rsidP="005508CC">
            <w:pPr>
              <w:pStyle w:val="InstructionsText"/>
              <w:rPr>
                <w:rStyle w:val="InstructionsTabelleberschrift"/>
                <w:rFonts w:ascii="Arial MT" w:hAnsi="Arial MT"/>
                <w:szCs w:val="20"/>
              </w:rPr>
            </w:pPr>
            <w:r>
              <w:rPr>
                <w:rStyle w:val="InstructionsTabelleberschrift"/>
                <w:rFonts w:ascii="Arial MT" w:hAnsi="Arial MT"/>
                <w:szCs w:val="20"/>
              </w:rPr>
              <w:t>Non-performing exposures (EVE)</w:t>
            </w:r>
          </w:p>
          <w:p w14:paraId="7B65B665" w14:textId="77777777" w:rsidR="00147746" w:rsidRPr="00AE5973" w:rsidRDefault="00147746" w:rsidP="005508CC">
            <w:pPr>
              <w:pStyle w:val="InstructionsText"/>
              <w:rPr>
                <w:rFonts w:ascii="Arial MT" w:hAnsi="Arial MT"/>
                <w:sz w:val="20"/>
                <w:szCs w:val="20"/>
              </w:rPr>
            </w:pPr>
            <w:r>
              <w:rPr>
                <w:rFonts w:ascii="Arial MT" w:hAnsi="Arial MT"/>
                <w:sz w:val="20"/>
                <w:szCs w:val="20"/>
              </w:rPr>
              <w:t>Institutions should indicate whether non-performing exposures are included in the methodology used to measure EVE sensitivity in the context of supervisory outlier tests.</w:t>
            </w:r>
          </w:p>
          <w:p w14:paraId="08133FC6"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Included</w:t>
            </w:r>
          </w:p>
          <w:p w14:paraId="658244CD"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Excluded</w:t>
            </w:r>
          </w:p>
          <w:p w14:paraId="51965D50" w14:textId="77777777" w:rsidR="00147746" w:rsidRPr="00AE5973" w:rsidRDefault="00147746" w:rsidP="005508CC">
            <w:pPr>
              <w:pStyle w:val="InstructionsText"/>
              <w:numPr>
                <w:ilvl w:val="0"/>
                <w:numId w:val="43"/>
              </w:numPr>
              <w:rPr>
                <w:rStyle w:val="InstructionsTabelleberschrift"/>
                <w:rFonts w:ascii="Arial MT" w:hAnsi="Arial MT"/>
                <w:b w:val="0"/>
                <w:bCs w:val="0"/>
                <w:szCs w:val="20"/>
              </w:rPr>
            </w:pPr>
            <w:r>
              <w:rPr>
                <w:rFonts w:ascii="Arial MT" w:hAnsi="Arial MT"/>
                <w:sz w:val="20"/>
                <w:szCs w:val="20"/>
              </w:rPr>
              <w:t>Not applicable</w:t>
            </w:r>
          </w:p>
        </w:tc>
      </w:tr>
      <w:tr w:rsidR="00147746" w:rsidRPr="00AE5973" w14:paraId="68B0B113" w14:textId="77777777" w:rsidTr="00194EAE">
        <w:tc>
          <w:tcPr>
            <w:tcW w:w="1129" w:type="dxa"/>
          </w:tcPr>
          <w:p w14:paraId="1ADBCE1F" w14:textId="77777777" w:rsidR="00147746" w:rsidRPr="00AE5973"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0180</w:t>
            </w:r>
          </w:p>
        </w:tc>
        <w:tc>
          <w:tcPr>
            <w:tcW w:w="7620" w:type="dxa"/>
          </w:tcPr>
          <w:p w14:paraId="7D7F4969" w14:textId="77777777" w:rsidR="00147746" w:rsidRPr="00AE5973" w:rsidRDefault="00147746" w:rsidP="005508CC">
            <w:pPr>
              <w:pStyle w:val="InstructionsText"/>
              <w:rPr>
                <w:rStyle w:val="InstructionsTabelleberschrift"/>
                <w:rFonts w:ascii="Arial MT" w:hAnsi="Arial MT"/>
                <w:szCs w:val="20"/>
              </w:rPr>
            </w:pPr>
            <w:r>
              <w:rPr>
                <w:rStyle w:val="InstructionsTabelleberschrift"/>
                <w:rFonts w:ascii="Arial MT" w:hAnsi="Arial MT"/>
                <w:szCs w:val="20"/>
              </w:rPr>
              <w:t>Fixed rate loan commitments (EVE/NII)</w:t>
            </w:r>
          </w:p>
          <w:p w14:paraId="17302C4B" w14:textId="77777777" w:rsidR="00147746" w:rsidRPr="00AE5973" w:rsidRDefault="00147746" w:rsidP="005508CC">
            <w:pPr>
              <w:pStyle w:val="InstructionsText"/>
              <w:rPr>
                <w:rFonts w:ascii="Arial MT" w:hAnsi="Arial MT"/>
                <w:sz w:val="20"/>
                <w:szCs w:val="20"/>
              </w:rPr>
            </w:pPr>
            <w:r>
              <w:rPr>
                <w:rFonts w:ascii="Arial MT" w:hAnsi="Arial MT"/>
                <w:sz w:val="20"/>
                <w:szCs w:val="20"/>
              </w:rPr>
              <w:t>Institutions should indicate whether fixed rate loan commitments are included in the methodologies used to measure EVE and NII sensitivity in the context of supervisory outlier tests.</w:t>
            </w:r>
          </w:p>
          <w:p w14:paraId="2E20097F"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Included</w:t>
            </w:r>
          </w:p>
          <w:p w14:paraId="1E191538"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Excluded</w:t>
            </w:r>
          </w:p>
          <w:p w14:paraId="434FD524" w14:textId="77777777" w:rsidR="00147746" w:rsidRPr="00AE5973" w:rsidRDefault="00147746" w:rsidP="005508CC">
            <w:pPr>
              <w:pStyle w:val="InstructionsText"/>
              <w:numPr>
                <w:ilvl w:val="0"/>
                <w:numId w:val="43"/>
              </w:numPr>
              <w:rPr>
                <w:rStyle w:val="InstructionsTabelleberschrift"/>
                <w:rFonts w:ascii="Arial MT" w:hAnsi="Arial MT"/>
                <w:b w:val="0"/>
                <w:bCs w:val="0"/>
                <w:szCs w:val="20"/>
              </w:rPr>
            </w:pPr>
            <w:r>
              <w:rPr>
                <w:rFonts w:ascii="Arial MT" w:hAnsi="Arial MT"/>
                <w:sz w:val="20"/>
                <w:szCs w:val="20"/>
              </w:rPr>
              <w:t>Not applicable</w:t>
            </w:r>
          </w:p>
        </w:tc>
      </w:tr>
      <w:tr w:rsidR="00147746" w:rsidRPr="00AE5973" w14:paraId="3298D047" w14:textId="77777777" w:rsidTr="00194EAE">
        <w:tc>
          <w:tcPr>
            <w:tcW w:w="1129" w:type="dxa"/>
          </w:tcPr>
          <w:p w14:paraId="5D860E6D" w14:textId="77777777" w:rsidR="00147746" w:rsidRPr="00AE5973"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lastRenderedPageBreak/>
              <w:t>0190</w:t>
            </w:r>
          </w:p>
        </w:tc>
        <w:tc>
          <w:tcPr>
            <w:tcW w:w="7620" w:type="dxa"/>
          </w:tcPr>
          <w:p w14:paraId="7AE45458" w14:textId="77777777" w:rsidR="00147746" w:rsidRPr="00437FA4" w:rsidRDefault="00147746" w:rsidP="005508CC">
            <w:pPr>
              <w:pStyle w:val="InstructionsText"/>
              <w:rPr>
                <w:rFonts w:ascii="Arial MT" w:hAnsi="Arial MT"/>
                <w:b/>
                <w:bCs/>
                <w:sz w:val="20"/>
                <w:szCs w:val="20"/>
                <w:u w:val="single"/>
              </w:rPr>
            </w:pPr>
            <w:r>
              <w:rPr>
                <w:rFonts w:ascii="Arial MT" w:hAnsi="Arial MT"/>
                <w:b/>
                <w:bCs/>
                <w:sz w:val="20"/>
                <w:szCs w:val="20"/>
                <w:u w:val="single"/>
              </w:rPr>
              <w:t>Risk of prepayment (EVE/NII)</w:t>
            </w:r>
          </w:p>
          <w:p w14:paraId="2484B1A0" w14:textId="77777777" w:rsidR="00147746" w:rsidRPr="00AE5973" w:rsidRDefault="00147746" w:rsidP="005508CC">
            <w:pPr>
              <w:pStyle w:val="InstructionsText"/>
              <w:rPr>
                <w:rFonts w:ascii="Arial MT" w:hAnsi="Arial MT"/>
                <w:sz w:val="20"/>
                <w:szCs w:val="20"/>
              </w:rPr>
            </w:pPr>
            <w:r>
              <w:rPr>
                <w:rFonts w:ascii="Arial MT" w:hAnsi="Arial MT"/>
                <w:sz w:val="20"/>
                <w:szCs w:val="20"/>
              </w:rPr>
              <w:t>Institutions should indicate whether the risk of retail prepayment is included in the methodologies used to measure EVE and NII sensitivity in the context of supervisory outlier tests.</w:t>
            </w:r>
          </w:p>
          <w:p w14:paraId="119F1222"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Included</w:t>
            </w:r>
          </w:p>
          <w:p w14:paraId="1E874F03"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Excluded</w:t>
            </w:r>
          </w:p>
          <w:p w14:paraId="47EEE375" w14:textId="77777777" w:rsidR="00147746" w:rsidRPr="00AE5973" w:rsidRDefault="00147746" w:rsidP="005508CC">
            <w:pPr>
              <w:pStyle w:val="InstructionsText"/>
              <w:numPr>
                <w:ilvl w:val="0"/>
                <w:numId w:val="43"/>
              </w:numPr>
              <w:rPr>
                <w:rStyle w:val="InstructionsTabelleberschrift"/>
                <w:rFonts w:ascii="Arial MT" w:hAnsi="Arial MT"/>
                <w:b w:val="0"/>
                <w:bCs w:val="0"/>
                <w:szCs w:val="20"/>
              </w:rPr>
            </w:pPr>
            <w:r>
              <w:rPr>
                <w:rFonts w:ascii="Arial MT" w:hAnsi="Arial MT"/>
                <w:sz w:val="20"/>
                <w:szCs w:val="20"/>
              </w:rPr>
              <w:t>Not applicable</w:t>
            </w:r>
          </w:p>
        </w:tc>
      </w:tr>
      <w:tr w:rsidR="00147746" w:rsidRPr="00AE5973" w14:paraId="51B041B6" w14:textId="77777777" w:rsidTr="00194EAE">
        <w:tc>
          <w:tcPr>
            <w:tcW w:w="1129" w:type="dxa"/>
          </w:tcPr>
          <w:p w14:paraId="2B7B064A" w14:textId="77777777" w:rsidR="00147746" w:rsidRPr="00AE5973"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0200</w:t>
            </w:r>
          </w:p>
        </w:tc>
        <w:tc>
          <w:tcPr>
            <w:tcW w:w="7620" w:type="dxa"/>
          </w:tcPr>
          <w:p w14:paraId="29AD1E33" w14:textId="77777777" w:rsidR="00147746" w:rsidRPr="00437FA4" w:rsidRDefault="00147746" w:rsidP="005508CC">
            <w:pPr>
              <w:pStyle w:val="InstructionsText"/>
              <w:rPr>
                <w:rFonts w:ascii="Arial MT" w:hAnsi="Arial MT"/>
                <w:b/>
                <w:bCs/>
                <w:sz w:val="20"/>
                <w:szCs w:val="20"/>
                <w:u w:val="single"/>
              </w:rPr>
            </w:pPr>
            <w:r>
              <w:rPr>
                <w:rFonts w:ascii="Arial MT" w:hAnsi="Arial MT"/>
                <w:b/>
                <w:bCs/>
                <w:sz w:val="20"/>
                <w:szCs w:val="20"/>
                <w:u w:val="single"/>
              </w:rPr>
              <w:t>Risk of early redemption (EVE/NII)</w:t>
            </w:r>
          </w:p>
          <w:p w14:paraId="716C51C8" w14:textId="77777777" w:rsidR="00147746" w:rsidRPr="00AE5973" w:rsidRDefault="00147746" w:rsidP="005508CC">
            <w:pPr>
              <w:pStyle w:val="InstructionsText"/>
              <w:rPr>
                <w:rFonts w:ascii="Arial MT" w:hAnsi="Arial MT"/>
                <w:sz w:val="20"/>
                <w:szCs w:val="20"/>
              </w:rPr>
            </w:pPr>
            <w:r>
              <w:rPr>
                <w:rFonts w:ascii="Arial MT" w:hAnsi="Arial MT"/>
                <w:sz w:val="20"/>
                <w:szCs w:val="20"/>
              </w:rPr>
              <w:t>Institutions should indicate whether the risk of retail early redemption is included in the methodologies used to measure EVE and NII sensitivity in the context of supervisory outlier tests.</w:t>
            </w:r>
          </w:p>
          <w:p w14:paraId="638A5BE4"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Included</w:t>
            </w:r>
          </w:p>
          <w:p w14:paraId="4DF42BF2"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Excluded</w:t>
            </w:r>
          </w:p>
          <w:p w14:paraId="2B46AEE5" w14:textId="77777777" w:rsidR="00147746" w:rsidRPr="00AE5973" w:rsidRDefault="00147746" w:rsidP="005508CC">
            <w:pPr>
              <w:pStyle w:val="InstructionsText"/>
              <w:numPr>
                <w:ilvl w:val="0"/>
                <w:numId w:val="43"/>
              </w:numPr>
              <w:rPr>
                <w:rStyle w:val="InstructionsTabelleberschrift"/>
                <w:rFonts w:ascii="Arial MT" w:hAnsi="Arial MT"/>
                <w:b w:val="0"/>
                <w:bCs w:val="0"/>
                <w:szCs w:val="20"/>
              </w:rPr>
            </w:pPr>
            <w:r>
              <w:rPr>
                <w:rFonts w:ascii="Arial MT" w:hAnsi="Arial MT"/>
                <w:sz w:val="20"/>
                <w:szCs w:val="20"/>
              </w:rPr>
              <w:t>Not applicable</w:t>
            </w:r>
          </w:p>
        </w:tc>
      </w:tr>
      <w:tr w:rsidR="00147746" w:rsidRPr="00AE5973" w14:paraId="680E0779" w14:textId="77777777" w:rsidTr="00194EAE">
        <w:tc>
          <w:tcPr>
            <w:tcW w:w="1129" w:type="dxa"/>
          </w:tcPr>
          <w:p w14:paraId="71D5B7A2" w14:textId="77777777" w:rsidR="00147746" w:rsidRPr="00AE5973"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0210</w:t>
            </w:r>
          </w:p>
        </w:tc>
        <w:tc>
          <w:tcPr>
            <w:tcW w:w="7620" w:type="dxa"/>
          </w:tcPr>
          <w:p w14:paraId="2EF2BDDC" w14:textId="77777777" w:rsidR="00147746" w:rsidRPr="00437FA4" w:rsidRDefault="00147746" w:rsidP="005508CC">
            <w:pPr>
              <w:pStyle w:val="InstructionsText"/>
              <w:rPr>
                <w:rFonts w:ascii="Arial MT" w:hAnsi="Arial MT"/>
                <w:b/>
                <w:bCs/>
                <w:sz w:val="20"/>
                <w:szCs w:val="20"/>
                <w:u w:val="single"/>
              </w:rPr>
            </w:pPr>
            <w:r>
              <w:rPr>
                <w:rFonts w:ascii="Arial MT" w:hAnsi="Arial MT"/>
                <w:b/>
                <w:bCs/>
                <w:sz w:val="20"/>
                <w:szCs w:val="20"/>
                <w:u w:val="single"/>
              </w:rPr>
              <w:t>Modelling of non-maturity deposits (EVE/NII)</w:t>
            </w:r>
          </w:p>
          <w:p w14:paraId="316A6C13" w14:textId="77777777" w:rsidR="00147746" w:rsidRPr="00AE5973" w:rsidRDefault="00147746" w:rsidP="005508CC">
            <w:pPr>
              <w:pStyle w:val="InstructionsText"/>
              <w:rPr>
                <w:rFonts w:ascii="Arial MT" w:hAnsi="Arial MT"/>
                <w:sz w:val="20"/>
                <w:szCs w:val="20"/>
              </w:rPr>
            </w:pPr>
            <w:r>
              <w:rPr>
                <w:rFonts w:ascii="Arial MT" w:hAnsi="Arial MT"/>
                <w:sz w:val="20"/>
                <w:szCs w:val="20"/>
              </w:rPr>
              <w:t>The institution should specify the method used to determine the behavioural repricing date of non-maturity deposits. </w:t>
            </w:r>
          </w:p>
          <w:p w14:paraId="37A4D469"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Time series model (BCBS/EBA stable/non-stable/PTR approach)</w:t>
            </w:r>
          </w:p>
          <w:p w14:paraId="497591AB"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Replication portfolio</w:t>
            </w:r>
          </w:p>
          <w:p w14:paraId="3E621893"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Economic models (modelling financial wealth allocation to non-maturity deposits or alternative investments according to different market scenarios and economic factors)</w:t>
            </w:r>
          </w:p>
          <w:p w14:paraId="545595DE"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Expert judgment</w:t>
            </w:r>
          </w:p>
          <w:p w14:paraId="72635703"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Other</w:t>
            </w:r>
          </w:p>
        </w:tc>
      </w:tr>
      <w:tr w:rsidR="00147746" w:rsidRPr="00AE5973" w14:paraId="1D3C8914" w14:textId="77777777" w:rsidTr="00194EAE">
        <w:tc>
          <w:tcPr>
            <w:tcW w:w="1129" w:type="dxa"/>
          </w:tcPr>
          <w:p w14:paraId="7D4190AF" w14:textId="77777777" w:rsidR="00147746" w:rsidRPr="00AE5973"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0220</w:t>
            </w:r>
          </w:p>
        </w:tc>
        <w:tc>
          <w:tcPr>
            <w:tcW w:w="7620" w:type="dxa"/>
          </w:tcPr>
          <w:p w14:paraId="575880B6" w14:textId="5022B04B" w:rsidR="00147746" w:rsidRPr="00133E60" w:rsidRDefault="006D5E08" w:rsidP="005508CC">
            <w:pPr>
              <w:pStyle w:val="InstructionsText"/>
              <w:rPr>
                <w:rFonts w:ascii="Arial MT" w:hAnsi="Arial MT"/>
                <w:b/>
                <w:bCs/>
                <w:sz w:val="20"/>
                <w:szCs w:val="20"/>
                <w:u w:val="single"/>
              </w:rPr>
            </w:pPr>
            <w:r>
              <w:rPr>
                <w:rFonts w:ascii="Arial MT" w:hAnsi="Arial MT"/>
                <w:b/>
                <w:bCs/>
                <w:sz w:val="20"/>
                <w:szCs w:val="20"/>
                <w:u w:val="single"/>
              </w:rPr>
              <w:t>Slotting of core balances</w:t>
            </w:r>
          </w:p>
          <w:p w14:paraId="794E98C3" w14:textId="77777777" w:rsidR="00147746" w:rsidRPr="00AE5973" w:rsidRDefault="00147746" w:rsidP="005508CC">
            <w:pPr>
              <w:pStyle w:val="InstructionsText"/>
              <w:rPr>
                <w:rFonts w:ascii="Arial MT" w:hAnsi="Arial MT"/>
                <w:sz w:val="20"/>
                <w:szCs w:val="20"/>
              </w:rPr>
            </w:pPr>
            <w:r>
              <w:rPr>
                <w:rFonts w:ascii="Arial MT" w:hAnsi="Arial MT"/>
                <w:sz w:val="20"/>
                <w:szCs w:val="20"/>
              </w:rPr>
              <w:t>Institutions should indicate how they allocate core non-maturity deposit balances.</w:t>
            </w:r>
          </w:p>
          <w:p w14:paraId="57475817" w14:textId="77777777" w:rsidR="00147746" w:rsidRPr="00AE5973" w:rsidRDefault="00147746" w:rsidP="00147746">
            <w:pPr>
              <w:pStyle w:val="ListParagraph"/>
              <w:widowControl/>
              <w:numPr>
                <w:ilvl w:val="0"/>
                <w:numId w:val="43"/>
              </w:numPr>
              <w:autoSpaceDE/>
              <w:autoSpaceDN/>
              <w:spacing w:after="120"/>
              <w:rPr>
                <w:b/>
                <w:bCs/>
                <w:sz w:val="20"/>
                <w:szCs w:val="20"/>
              </w:rPr>
            </w:pPr>
            <w:r>
              <w:rPr>
                <w:sz w:val="20"/>
                <w:szCs w:val="20"/>
              </w:rPr>
              <w:t>All core non-maturity deposit balances are allocated to the same repricing date.</w:t>
            </w:r>
          </w:p>
          <w:p w14:paraId="670B4FE2" w14:textId="77777777" w:rsidR="00147746" w:rsidRPr="00AE5973" w:rsidRDefault="00147746" w:rsidP="00147746">
            <w:pPr>
              <w:pStyle w:val="ListParagraph"/>
              <w:widowControl/>
              <w:numPr>
                <w:ilvl w:val="0"/>
                <w:numId w:val="43"/>
              </w:numPr>
              <w:autoSpaceDE/>
              <w:autoSpaceDN/>
              <w:spacing w:after="120"/>
              <w:rPr>
                <w:b/>
                <w:bCs/>
                <w:sz w:val="20"/>
                <w:szCs w:val="20"/>
              </w:rPr>
            </w:pPr>
            <w:r>
              <w:rPr>
                <w:sz w:val="20"/>
                <w:szCs w:val="20"/>
              </w:rPr>
              <w:t>Core non-maturity deposit balances are allocated to different repricing dates.</w:t>
            </w:r>
          </w:p>
          <w:p w14:paraId="38046FA9" w14:textId="77777777" w:rsidR="00147746" w:rsidRPr="00AE5973" w:rsidRDefault="00147746" w:rsidP="00147746">
            <w:pPr>
              <w:pStyle w:val="ListParagraph"/>
              <w:widowControl/>
              <w:numPr>
                <w:ilvl w:val="0"/>
                <w:numId w:val="43"/>
              </w:numPr>
              <w:autoSpaceDE/>
              <w:autoSpaceDN/>
              <w:spacing w:after="120"/>
              <w:rPr>
                <w:b/>
                <w:bCs/>
                <w:sz w:val="20"/>
                <w:szCs w:val="20"/>
              </w:rPr>
            </w:pPr>
            <w:r>
              <w:rPr>
                <w:sz w:val="20"/>
                <w:szCs w:val="20"/>
              </w:rPr>
              <w:t>Not applicable</w:t>
            </w:r>
          </w:p>
        </w:tc>
      </w:tr>
      <w:tr w:rsidR="00147746" w:rsidRPr="00AE5973" w14:paraId="59A8E054" w14:textId="77777777" w:rsidTr="00194EAE">
        <w:tc>
          <w:tcPr>
            <w:tcW w:w="1129" w:type="dxa"/>
          </w:tcPr>
          <w:p w14:paraId="36638036" w14:textId="77777777" w:rsidR="00147746" w:rsidRPr="00AE5973"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0230</w:t>
            </w:r>
          </w:p>
        </w:tc>
        <w:tc>
          <w:tcPr>
            <w:tcW w:w="7620" w:type="dxa"/>
          </w:tcPr>
          <w:p w14:paraId="223A5715" w14:textId="0CE652A9" w:rsidR="00147746" w:rsidRPr="00AE5973" w:rsidRDefault="00147746" w:rsidP="005508CC">
            <w:pPr>
              <w:pStyle w:val="InstructionsText"/>
              <w:rPr>
                <w:rFonts w:ascii="Arial MT" w:hAnsi="Arial MT"/>
                <w:b/>
                <w:bCs/>
                <w:sz w:val="20"/>
                <w:szCs w:val="20"/>
                <w:u w:val="single"/>
              </w:rPr>
            </w:pPr>
            <w:r>
              <w:rPr>
                <w:rFonts w:ascii="Arial MT" w:hAnsi="Arial MT"/>
                <w:b/>
                <w:bCs/>
                <w:sz w:val="20"/>
                <w:szCs w:val="20"/>
                <w:u w:val="single"/>
              </w:rPr>
              <w:t>Modelling of</w:t>
            </w:r>
            <w:r w:rsidR="00880F9E">
              <w:rPr>
                <w:rFonts w:ascii="Arial MT" w:hAnsi="Arial MT"/>
                <w:b/>
                <w:bCs/>
                <w:sz w:val="20"/>
                <w:szCs w:val="20"/>
                <w:u w:val="single"/>
              </w:rPr>
              <w:t xml:space="preserve"> operational</w:t>
            </w:r>
            <w:r>
              <w:rPr>
                <w:rFonts w:ascii="Arial MT" w:hAnsi="Arial MT"/>
                <w:b/>
                <w:bCs/>
                <w:sz w:val="20"/>
                <w:szCs w:val="20"/>
                <w:u w:val="single"/>
              </w:rPr>
              <w:t xml:space="preserve"> non-maturity deposits from financial customers</w:t>
            </w:r>
          </w:p>
          <w:p w14:paraId="332B94B3" w14:textId="77777777" w:rsidR="00147746" w:rsidRPr="00AE5973" w:rsidRDefault="00147746" w:rsidP="00194EAE">
            <w:pPr>
              <w:rPr>
                <w:rFonts w:ascii="Arial MT" w:hAnsi="Arial MT"/>
              </w:rPr>
            </w:pPr>
            <w:r>
              <w:rPr>
                <w:rFonts w:ascii="Arial MT" w:hAnsi="Arial MT"/>
              </w:rPr>
              <w:t xml:space="preserve">Institutions should indicate whether operational deposits from financial customers within the meaning of Article 27(1)(a) of Commission Delegated Regulation (EU) 2015/61 </w:t>
            </w:r>
            <w:proofErr w:type="gramStart"/>
            <w:r>
              <w:rPr>
                <w:rFonts w:ascii="Arial MT" w:hAnsi="Arial MT"/>
              </w:rPr>
              <w:t>with regard to</w:t>
            </w:r>
            <w:proofErr w:type="gramEnd"/>
            <w:r>
              <w:rPr>
                <w:rFonts w:ascii="Arial MT" w:hAnsi="Arial MT"/>
              </w:rPr>
              <w:t xml:space="preserve"> liquidity coverage requirement for credit institutions, are subject to behavioural modelling.</w:t>
            </w:r>
          </w:p>
          <w:p w14:paraId="29F4693A" w14:textId="77777777" w:rsidR="00147746" w:rsidRPr="00AE5973" w:rsidRDefault="00147746" w:rsidP="00147746">
            <w:pPr>
              <w:pStyle w:val="ListParagraph"/>
              <w:widowControl/>
              <w:numPr>
                <w:ilvl w:val="0"/>
                <w:numId w:val="43"/>
              </w:numPr>
              <w:autoSpaceDE/>
              <w:autoSpaceDN/>
              <w:spacing w:after="120"/>
              <w:rPr>
                <w:sz w:val="20"/>
                <w:szCs w:val="20"/>
              </w:rPr>
            </w:pPr>
            <w:r>
              <w:rPr>
                <w:sz w:val="20"/>
                <w:szCs w:val="20"/>
              </w:rPr>
              <w:t xml:space="preserve">Yes </w:t>
            </w:r>
          </w:p>
          <w:p w14:paraId="20759384" w14:textId="77777777" w:rsidR="00147746" w:rsidRPr="00AE5973" w:rsidRDefault="00147746" w:rsidP="00147746">
            <w:pPr>
              <w:pStyle w:val="ListParagraph"/>
              <w:widowControl/>
              <w:numPr>
                <w:ilvl w:val="0"/>
                <w:numId w:val="43"/>
              </w:numPr>
              <w:autoSpaceDE/>
              <w:autoSpaceDN/>
              <w:spacing w:after="120"/>
              <w:rPr>
                <w:sz w:val="20"/>
                <w:szCs w:val="20"/>
              </w:rPr>
            </w:pPr>
            <w:r>
              <w:rPr>
                <w:sz w:val="20"/>
                <w:szCs w:val="20"/>
              </w:rPr>
              <w:t xml:space="preserve">No </w:t>
            </w:r>
          </w:p>
        </w:tc>
      </w:tr>
    </w:tbl>
    <w:p w14:paraId="7811E225" w14:textId="77777777" w:rsidR="00021FFE" w:rsidRDefault="00021FFE" w:rsidP="00021FFE">
      <w:pPr>
        <w:spacing w:before="120" w:line="260" w:lineRule="auto"/>
        <w:ind w:left="851" w:right="649"/>
        <w:jc w:val="both"/>
        <w:rPr>
          <w:rFonts w:ascii="Arial MT" w:eastAsia="Arial MT" w:hAnsi="Arial MT" w:cs="Arial MT"/>
          <w:b/>
          <w:bCs/>
          <w:lang w:val="fr-BE"/>
        </w:rPr>
      </w:pPr>
    </w:p>
    <w:p w14:paraId="34C5B5BB" w14:textId="77777777" w:rsidR="00E85C6F" w:rsidRDefault="00E85C6F">
      <w:pPr>
        <w:spacing w:line="240" w:lineRule="auto"/>
        <w:rPr>
          <w:rFonts w:ascii="Arial MT" w:hAnsi="Arial MT"/>
          <w:b/>
          <w:bCs/>
        </w:rPr>
      </w:pPr>
      <w:r>
        <w:rPr>
          <w:rFonts w:ascii="Arial MT" w:hAnsi="Arial MT"/>
          <w:b/>
          <w:bCs/>
        </w:rPr>
        <w:br w:type="page"/>
      </w:r>
    </w:p>
    <w:p w14:paraId="6177DE2B" w14:textId="7CA082C5" w:rsidR="00147746" w:rsidRPr="00021FFE" w:rsidRDefault="00147746" w:rsidP="00021FFE">
      <w:pPr>
        <w:numPr>
          <w:ilvl w:val="1"/>
          <w:numId w:val="45"/>
        </w:numPr>
        <w:spacing w:before="120" w:line="260" w:lineRule="auto"/>
        <w:ind w:left="851" w:right="649" w:hanging="567"/>
        <w:jc w:val="both"/>
        <w:rPr>
          <w:rFonts w:ascii="Arial MT" w:eastAsia="Arial MT" w:hAnsi="Arial MT" w:cs="Arial MT"/>
          <w:b/>
          <w:bCs/>
        </w:rPr>
      </w:pPr>
      <w:r>
        <w:rPr>
          <w:rFonts w:ascii="Arial MT" w:hAnsi="Arial MT"/>
          <w:b/>
          <w:bCs/>
        </w:rPr>
        <w:lastRenderedPageBreak/>
        <w:t>Table 90.30.c</w:t>
      </w:r>
    </w:p>
    <w:p w14:paraId="603A3279" w14:textId="226B4E6D" w:rsidR="00147746" w:rsidRDefault="00147746" w:rsidP="00E714F2">
      <w:pPr>
        <w:spacing w:before="120" w:line="260" w:lineRule="auto"/>
        <w:ind w:left="851" w:right="649"/>
        <w:jc w:val="both"/>
        <w:rPr>
          <w:rFonts w:ascii="Arial MT" w:eastAsia="Arial MT" w:hAnsi="Arial MT" w:cs="Arial MT"/>
        </w:rPr>
      </w:pPr>
      <w:r>
        <w:rPr>
          <w:rFonts w:ascii="Arial MT" w:hAnsi="Arial MT"/>
        </w:rPr>
        <w:t>In this table, institutions should report additional information on the parameters used for the evaluation of IRRBB, such as the results of the modelling of loan prepayments and the results of the modelling of non-maturity deposits. Where appropriate, institutions should include data for the four most important currencies reported in the context of supervisory outlier tests (columns 0010, 0020, 0030 and 0040).</w:t>
      </w:r>
    </w:p>
    <w:p w14:paraId="54B02B61" w14:textId="77777777" w:rsidR="00E714F2" w:rsidRPr="00242A6D" w:rsidRDefault="00E714F2" w:rsidP="00E714F2">
      <w:pPr>
        <w:spacing w:before="120" w:line="260" w:lineRule="auto"/>
        <w:ind w:left="851" w:right="649"/>
        <w:jc w:val="both"/>
        <w:rPr>
          <w:rFonts w:ascii="Arial MT" w:eastAsia="Arial MT" w:hAnsi="Arial MT" w:cs="Arial MT"/>
          <w:lang w:val="en-US"/>
        </w:rPr>
      </w:pPr>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147746" w:rsidRPr="00E714F2" w14:paraId="0A2C02BA" w14:textId="77777777" w:rsidTr="00194EAE">
        <w:tc>
          <w:tcPr>
            <w:tcW w:w="1129" w:type="dxa"/>
            <w:shd w:val="clear" w:color="auto" w:fill="D9D9D9" w:themeFill="background1" w:themeFillShade="D9"/>
          </w:tcPr>
          <w:p w14:paraId="61D98E50" w14:textId="77777777" w:rsidR="00147746" w:rsidRPr="00E714F2" w:rsidRDefault="00147746" w:rsidP="005508CC">
            <w:pPr>
              <w:pStyle w:val="InstructionsText"/>
              <w:rPr>
                <w:rStyle w:val="InstructionsTabelleText"/>
                <w:rFonts w:ascii="Arial MT" w:eastAsia="Arial" w:hAnsi="Arial MT"/>
                <w:szCs w:val="20"/>
              </w:rPr>
            </w:pPr>
            <w:r>
              <w:rPr>
                <w:rStyle w:val="InstructionsTabelleText"/>
                <w:rFonts w:ascii="Arial MT" w:hAnsi="Arial MT"/>
                <w:szCs w:val="20"/>
              </w:rPr>
              <w:t>Line(s)</w:t>
            </w:r>
          </w:p>
        </w:tc>
        <w:tc>
          <w:tcPr>
            <w:tcW w:w="7620" w:type="dxa"/>
            <w:shd w:val="clear" w:color="auto" w:fill="D9D9D9" w:themeFill="background1" w:themeFillShade="D9"/>
          </w:tcPr>
          <w:p w14:paraId="72358493" w14:textId="77777777" w:rsidR="00147746" w:rsidRPr="00E714F2" w:rsidRDefault="00147746" w:rsidP="005508CC">
            <w:pPr>
              <w:pStyle w:val="InstructionsText"/>
              <w:rPr>
                <w:rStyle w:val="InstructionsTabelleText"/>
                <w:rFonts w:ascii="Arial MT" w:hAnsi="Arial MT"/>
                <w:bCs/>
                <w:szCs w:val="20"/>
              </w:rPr>
            </w:pPr>
            <w:r>
              <w:rPr>
                <w:rStyle w:val="InstructionsTabelleText"/>
                <w:rFonts w:ascii="Arial MT" w:hAnsi="Arial MT"/>
                <w:szCs w:val="20"/>
              </w:rPr>
              <w:t>Instructions</w:t>
            </w:r>
          </w:p>
        </w:tc>
      </w:tr>
      <w:tr w:rsidR="00147746" w:rsidRPr="00E714F2" w14:paraId="65A0A1C6" w14:textId="77777777" w:rsidTr="00194EAE">
        <w:tc>
          <w:tcPr>
            <w:tcW w:w="1129" w:type="dxa"/>
          </w:tcPr>
          <w:p w14:paraId="55714ED8" w14:textId="77777777" w:rsidR="00147746" w:rsidRPr="00E714F2"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0010</w:t>
            </w:r>
          </w:p>
        </w:tc>
        <w:tc>
          <w:tcPr>
            <w:tcW w:w="7620" w:type="dxa"/>
          </w:tcPr>
          <w:p w14:paraId="76EA93ED" w14:textId="77777777" w:rsidR="00147746" w:rsidRPr="00E714F2" w:rsidRDefault="00147746" w:rsidP="005508CC">
            <w:pPr>
              <w:pStyle w:val="InstructionsText"/>
              <w:rPr>
                <w:rStyle w:val="InstructionsTabelleberschrift"/>
                <w:rFonts w:ascii="Arial MT" w:hAnsi="Arial MT"/>
                <w:szCs w:val="20"/>
              </w:rPr>
            </w:pPr>
            <w:r>
              <w:rPr>
                <w:rStyle w:val="InstructionsTabelleberschrift"/>
                <w:rFonts w:ascii="Arial MT" w:hAnsi="Arial MT"/>
                <w:szCs w:val="20"/>
              </w:rPr>
              <w:t>Share in the banking book</w:t>
            </w:r>
          </w:p>
          <w:p w14:paraId="2039D4AD" w14:textId="77777777" w:rsidR="00147746" w:rsidRPr="00E714F2" w:rsidRDefault="00147746" w:rsidP="005508CC">
            <w:pPr>
              <w:pStyle w:val="InstructionsText"/>
              <w:rPr>
                <w:rStyle w:val="InstructionsTabelleberschrift"/>
                <w:rFonts w:ascii="Arial MT" w:hAnsi="Arial MT"/>
                <w:szCs w:val="20"/>
              </w:rPr>
            </w:pPr>
            <w:r>
              <w:rPr>
                <w:rFonts w:ascii="Arial MT" w:hAnsi="Arial MT"/>
                <w:sz w:val="20"/>
                <w:szCs w:val="20"/>
              </w:rPr>
              <w:t>Institutions should report the respective share of the four most important currencies in the banking book.</w:t>
            </w:r>
          </w:p>
        </w:tc>
      </w:tr>
      <w:tr w:rsidR="00147746" w:rsidRPr="00E714F2" w14:paraId="4863FF19" w14:textId="77777777" w:rsidTr="00194EAE">
        <w:tc>
          <w:tcPr>
            <w:tcW w:w="1129" w:type="dxa"/>
          </w:tcPr>
          <w:p w14:paraId="5E6B1A38" w14:textId="77777777" w:rsidR="00147746" w:rsidRPr="00E714F2"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0020</w:t>
            </w:r>
          </w:p>
        </w:tc>
        <w:tc>
          <w:tcPr>
            <w:tcW w:w="7620" w:type="dxa"/>
          </w:tcPr>
          <w:p w14:paraId="4DD9C8C2" w14:textId="77777777" w:rsidR="00147746" w:rsidRPr="00E714F2" w:rsidRDefault="00147746" w:rsidP="005508CC">
            <w:pPr>
              <w:pStyle w:val="InstructionsText"/>
              <w:rPr>
                <w:rStyle w:val="InstructionsTabelleberschrift"/>
                <w:rFonts w:ascii="Arial MT" w:hAnsi="Arial MT"/>
                <w:szCs w:val="20"/>
              </w:rPr>
            </w:pPr>
            <w:r>
              <w:rPr>
                <w:rStyle w:val="InstructionsTabelleberschrift"/>
                <w:rFonts w:ascii="Arial MT" w:hAnsi="Arial MT"/>
                <w:szCs w:val="20"/>
              </w:rPr>
              <w:t>Risk-free yield curve</w:t>
            </w:r>
          </w:p>
          <w:p w14:paraId="36F7A254" w14:textId="77777777" w:rsidR="00147746" w:rsidRPr="00E714F2" w:rsidRDefault="00147746" w:rsidP="005508CC">
            <w:pPr>
              <w:pStyle w:val="InstructionsText"/>
              <w:rPr>
                <w:rFonts w:ascii="Arial MT" w:hAnsi="Arial MT"/>
                <w:sz w:val="20"/>
                <w:szCs w:val="20"/>
              </w:rPr>
            </w:pPr>
            <w:r>
              <w:rPr>
                <w:rFonts w:ascii="Arial MT" w:hAnsi="Arial MT"/>
                <w:sz w:val="20"/>
                <w:szCs w:val="20"/>
              </w:rPr>
              <w:t>In accordance with the RTS on supervisory outlier tests, institutions should apply an appropriate general “risk-free” yield curve per currency. This curve should not include instrument-specific or entity-specific credit or liquidity spreads.</w:t>
            </w:r>
          </w:p>
          <w:p w14:paraId="11962707" w14:textId="77777777" w:rsidR="00147746" w:rsidRPr="00E714F2" w:rsidRDefault="00147746" w:rsidP="005508CC">
            <w:pPr>
              <w:pStyle w:val="InstructionsText"/>
              <w:rPr>
                <w:rStyle w:val="InstructionsTabelleberschrift"/>
                <w:rFonts w:ascii="Arial MT" w:hAnsi="Arial MT"/>
                <w:b w:val="0"/>
                <w:bCs w:val="0"/>
                <w:szCs w:val="20"/>
              </w:rPr>
            </w:pPr>
            <w:r>
              <w:rPr>
                <w:rFonts w:ascii="Arial MT" w:hAnsi="Arial MT"/>
                <w:sz w:val="20"/>
                <w:szCs w:val="20"/>
              </w:rPr>
              <w:t>Institutions should indicate which “risk-free” yield curves have been used for each of the important currencies reported in the context of supervisory outlier tests.</w:t>
            </w:r>
          </w:p>
        </w:tc>
      </w:tr>
      <w:tr w:rsidR="00147746" w:rsidRPr="00E714F2" w14:paraId="38F7A7AC" w14:textId="77777777" w:rsidTr="00194EAE">
        <w:tc>
          <w:tcPr>
            <w:tcW w:w="1129" w:type="dxa"/>
          </w:tcPr>
          <w:p w14:paraId="3F3E4DD4" w14:textId="77777777" w:rsidR="00147746" w:rsidRPr="00E714F2"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0030</w:t>
            </w:r>
          </w:p>
        </w:tc>
        <w:tc>
          <w:tcPr>
            <w:tcW w:w="7620" w:type="dxa"/>
          </w:tcPr>
          <w:p w14:paraId="543C9F7F" w14:textId="1FD1AD43" w:rsidR="00147746" w:rsidRPr="00E714F2" w:rsidRDefault="00147746" w:rsidP="005508CC">
            <w:pPr>
              <w:pStyle w:val="InstructionsText"/>
              <w:rPr>
                <w:rStyle w:val="InstructionsTabelleberschrift"/>
                <w:rFonts w:ascii="Arial MT" w:hAnsi="Arial MT"/>
                <w:szCs w:val="20"/>
              </w:rPr>
            </w:pPr>
            <w:r>
              <w:rPr>
                <w:rStyle w:val="InstructionsTabelleberschrift"/>
                <w:rFonts w:ascii="Arial MT" w:hAnsi="Arial MT"/>
                <w:szCs w:val="20"/>
              </w:rPr>
              <w:t>Post-shock interest rate floor (NII/EVE)</w:t>
            </w:r>
          </w:p>
          <w:p w14:paraId="34BFB10A" w14:textId="77777777" w:rsidR="00147746" w:rsidRPr="00E714F2" w:rsidRDefault="00147746" w:rsidP="005508CC">
            <w:pPr>
              <w:pStyle w:val="InstructionsText"/>
              <w:rPr>
                <w:rStyle w:val="InstructionsTabelleberschrift"/>
                <w:rFonts w:ascii="Arial MT" w:hAnsi="Arial MT"/>
                <w:b w:val="0"/>
                <w:bCs w:val="0"/>
                <w:szCs w:val="20"/>
              </w:rPr>
            </w:pPr>
            <w:r>
              <w:rPr>
                <w:rFonts w:ascii="Arial MT" w:hAnsi="Arial MT"/>
                <w:sz w:val="20"/>
                <w:szCs w:val="20"/>
              </w:rPr>
              <w:t xml:space="preserve">Institutions should indicate if the maturity-dependent post-shock interest rate floor set out in the RTS on supervisory outlier tests is binding for any of the currencies reported (Yes/No). </w:t>
            </w:r>
          </w:p>
        </w:tc>
      </w:tr>
      <w:tr w:rsidR="00147746" w:rsidRPr="00E714F2" w14:paraId="142B5C64" w14:textId="77777777" w:rsidTr="00194EAE">
        <w:tc>
          <w:tcPr>
            <w:tcW w:w="1129" w:type="dxa"/>
          </w:tcPr>
          <w:p w14:paraId="0FE83F90" w14:textId="77777777" w:rsidR="00147746" w:rsidRPr="00E714F2"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0040</w:t>
            </w:r>
          </w:p>
        </w:tc>
        <w:tc>
          <w:tcPr>
            <w:tcW w:w="7620" w:type="dxa"/>
          </w:tcPr>
          <w:p w14:paraId="5BDB3521" w14:textId="77777777" w:rsidR="00147746" w:rsidRPr="00E714F2" w:rsidRDefault="00147746" w:rsidP="005508CC">
            <w:pPr>
              <w:pStyle w:val="InstructionsText"/>
              <w:rPr>
                <w:rStyle w:val="InstructionsTabelleberschrift"/>
                <w:rFonts w:ascii="Arial MT" w:hAnsi="Arial MT"/>
                <w:szCs w:val="20"/>
              </w:rPr>
            </w:pPr>
            <w:r>
              <w:rPr>
                <w:rStyle w:val="InstructionsTabelleberschrift"/>
                <w:rFonts w:ascii="Arial MT" w:hAnsi="Arial MT"/>
                <w:szCs w:val="20"/>
              </w:rPr>
              <w:t>Loans subject to prepayment modelling</w:t>
            </w:r>
          </w:p>
          <w:p w14:paraId="03920736" w14:textId="77777777" w:rsidR="00147746" w:rsidRPr="00E714F2" w:rsidRDefault="00147746" w:rsidP="005508CC">
            <w:pPr>
              <w:pStyle w:val="InstructionsText"/>
              <w:rPr>
                <w:rFonts w:ascii="Arial MT" w:hAnsi="Arial MT"/>
                <w:b/>
                <w:bCs/>
                <w:sz w:val="20"/>
                <w:szCs w:val="20"/>
              </w:rPr>
            </w:pPr>
            <w:r>
              <w:rPr>
                <w:rFonts w:ascii="Arial MT" w:hAnsi="Arial MT"/>
                <w:sz w:val="20"/>
                <w:szCs w:val="20"/>
              </w:rPr>
              <w:t>Institutions should report the total amount of loans subject to prepayment modelling, considering the current interest rate environment.</w:t>
            </w:r>
          </w:p>
        </w:tc>
      </w:tr>
      <w:tr w:rsidR="00147746" w:rsidRPr="00E714F2" w14:paraId="431FEB4A" w14:textId="77777777" w:rsidTr="00194EAE">
        <w:tc>
          <w:tcPr>
            <w:tcW w:w="1129" w:type="dxa"/>
          </w:tcPr>
          <w:p w14:paraId="5E841D87" w14:textId="77777777" w:rsidR="00147746" w:rsidRPr="00E714F2"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0050</w:t>
            </w:r>
          </w:p>
        </w:tc>
        <w:tc>
          <w:tcPr>
            <w:tcW w:w="7620" w:type="dxa"/>
          </w:tcPr>
          <w:p w14:paraId="0D6D9C89" w14:textId="77777777" w:rsidR="00147746" w:rsidRPr="00E714F2" w:rsidRDefault="00147746" w:rsidP="005508CC">
            <w:pPr>
              <w:pStyle w:val="InstructionsText"/>
              <w:rPr>
                <w:rStyle w:val="InstructionsTabelleberschrift"/>
                <w:rFonts w:ascii="Arial MT" w:hAnsi="Arial MT"/>
                <w:szCs w:val="20"/>
              </w:rPr>
            </w:pPr>
            <w:r>
              <w:rPr>
                <w:rStyle w:val="InstructionsTabelleberschrift"/>
                <w:rFonts w:ascii="Arial MT" w:hAnsi="Arial MT"/>
                <w:szCs w:val="20"/>
              </w:rPr>
              <w:t>Average maturity before prepayment modelling</w:t>
            </w:r>
          </w:p>
          <w:p w14:paraId="411AFB1A" w14:textId="77777777" w:rsidR="00147746" w:rsidRPr="00E714F2" w:rsidRDefault="00147746" w:rsidP="005508CC">
            <w:pPr>
              <w:pStyle w:val="InstructionsText"/>
              <w:rPr>
                <w:rFonts w:ascii="Arial MT" w:hAnsi="Arial MT"/>
                <w:b/>
                <w:bCs/>
                <w:sz w:val="20"/>
                <w:szCs w:val="20"/>
              </w:rPr>
            </w:pPr>
            <w:r>
              <w:rPr>
                <w:rFonts w:ascii="Arial MT" w:hAnsi="Arial MT"/>
                <w:sz w:val="20"/>
                <w:szCs w:val="20"/>
              </w:rPr>
              <w:t xml:space="preserve">Institutions should report the average maturity of loans subject to prepayment </w:t>
            </w:r>
            <w:proofErr w:type="gramStart"/>
            <w:r>
              <w:rPr>
                <w:rFonts w:ascii="Arial MT" w:hAnsi="Arial MT"/>
                <w:sz w:val="20"/>
                <w:szCs w:val="20"/>
              </w:rPr>
              <w:t>modelling, before</w:t>
            </w:r>
            <w:proofErr w:type="gramEnd"/>
            <w:r>
              <w:rPr>
                <w:rFonts w:ascii="Arial MT" w:hAnsi="Arial MT"/>
                <w:sz w:val="20"/>
                <w:szCs w:val="20"/>
              </w:rPr>
              <w:t xml:space="preserve"> application of the repayment assumption and considering the current interest rate environment.</w:t>
            </w:r>
          </w:p>
        </w:tc>
      </w:tr>
      <w:tr w:rsidR="00147746" w:rsidRPr="00E714F2" w14:paraId="02C3908A" w14:textId="77777777" w:rsidTr="00194EAE">
        <w:tc>
          <w:tcPr>
            <w:tcW w:w="1129" w:type="dxa"/>
          </w:tcPr>
          <w:p w14:paraId="3A923D5D" w14:textId="77777777" w:rsidR="00147746" w:rsidRPr="00E714F2"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0060</w:t>
            </w:r>
          </w:p>
        </w:tc>
        <w:tc>
          <w:tcPr>
            <w:tcW w:w="7620" w:type="dxa"/>
          </w:tcPr>
          <w:p w14:paraId="1748FD91" w14:textId="77777777" w:rsidR="00147746" w:rsidRPr="00E714F2" w:rsidRDefault="00147746" w:rsidP="005508CC">
            <w:pPr>
              <w:pStyle w:val="InstructionsText"/>
              <w:rPr>
                <w:rStyle w:val="InstructionsTabelleberschrift"/>
                <w:rFonts w:ascii="Arial MT" w:hAnsi="Arial MT"/>
                <w:szCs w:val="20"/>
              </w:rPr>
            </w:pPr>
            <w:r>
              <w:rPr>
                <w:rStyle w:val="InstructionsTabelleberschrift"/>
                <w:rFonts w:ascii="Arial MT" w:hAnsi="Arial MT"/>
                <w:szCs w:val="20"/>
              </w:rPr>
              <w:t>Average prepayment rate</w:t>
            </w:r>
          </w:p>
          <w:p w14:paraId="663462EA" w14:textId="77777777" w:rsidR="00147746" w:rsidRPr="00E714F2" w:rsidRDefault="00147746" w:rsidP="005508CC">
            <w:pPr>
              <w:pStyle w:val="InstructionsText"/>
              <w:rPr>
                <w:rFonts w:ascii="Arial MT" w:hAnsi="Arial MT"/>
                <w:b/>
                <w:bCs/>
                <w:sz w:val="20"/>
                <w:szCs w:val="20"/>
              </w:rPr>
            </w:pPr>
            <w:r>
              <w:rPr>
                <w:rFonts w:ascii="Arial MT" w:hAnsi="Arial MT"/>
                <w:sz w:val="20"/>
                <w:szCs w:val="20"/>
              </w:rPr>
              <w:t>Institutions should report the average prepayment rate applied to loans subject to prepayment modelling, considering the current interest rate environment.</w:t>
            </w:r>
          </w:p>
        </w:tc>
      </w:tr>
      <w:tr w:rsidR="00147746" w:rsidRPr="00E714F2" w14:paraId="32C197DC" w14:textId="77777777" w:rsidTr="00194EAE">
        <w:tc>
          <w:tcPr>
            <w:tcW w:w="1129" w:type="dxa"/>
          </w:tcPr>
          <w:p w14:paraId="238CB655" w14:textId="77777777" w:rsidR="00147746" w:rsidRPr="00E714F2"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0070</w:t>
            </w:r>
          </w:p>
          <w:p w14:paraId="683B9732" w14:textId="77777777" w:rsidR="00147746" w:rsidRPr="00E714F2"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0080</w:t>
            </w:r>
          </w:p>
          <w:p w14:paraId="51245279" w14:textId="77777777" w:rsidR="00147746" w:rsidRPr="00E714F2"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0090</w:t>
            </w:r>
          </w:p>
        </w:tc>
        <w:tc>
          <w:tcPr>
            <w:tcW w:w="7620" w:type="dxa"/>
          </w:tcPr>
          <w:p w14:paraId="797CC8B7" w14:textId="77777777" w:rsidR="00147746" w:rsidRPr="00E714F2" w:rsidRDefault="00147746" w:rsidP="005508CC">
            <w:pPr>
              <w:pStyle w:val="InstructionsText"/>
              <w:rPr>
                <w:rStyle w:val="InstructionsTabelleberschrift"/>
                <w:rFonts w:ascii="Arial MT" w:hAnsi="Arial MT"/>
                <w:szCs w:val="20"/>
              </w:rPr>
            </w:pPr>
            <w:r>
              <w:rPr>
                <w:rStyle w:val="InstructionsTabelleberschrift"/>
                <w:rFonts w:ascii="Arial MT" w:hAnsi="Arial MT"/>
                <w:szCs w:val="20"/>
              </w:rPr>
              <w:t>Average repricing date applied to non-maturity deposits</w:t>
            </w:r>
          </w:p>
          <w:p w14:paraId="432D0FBD" w14:textId="10361BB4" w:rsidR="00147746" w:rsidRPr="00E714F2" w:rsidRDefault="00147746" w:rsidP="005508CC">
            <w:pPr>
              <w:pStyle w:val="InstructionsText"/>
              <w:rPr>
                <w:rStyle w:val="InstructionsTabelleberschrift"/>
                <w:rFonts w:ascii="Arial MT" w:hAnsi="Arial MT"/>
                <w:szCs w:val="20"/>
              </w:rPr>
            </w:pPr>
            <w:r>
              <w:rPr>
                <w:rFonts w:ascii="Arial MT" w:hAnsi="Arial MT"/>
                <w:sz w:val="20"/>
                <w:szCs w:val="20"/>
              </w:rPr>
              <w:t>Institutions should report the average repricing date applied to retail transactional deposits, retail non-transactional deposits and wholesale deposits from non-financial customers, for each currency reported, considering the current interest rate environment.</w:t>
            </w:r>
          </w:p>
        </w:tc>
      </w:tr>
      <w:tr w:rsidR="00147746" w:rsidRPr="00E714F2" w14:paraId="458F0BFE" w14:textId="77777777" w:rsidTr="00194EAE">
        <w:tc>
          <w:tcPr>
            <w:tcW w:w="1129" w:type="dxa"/>
          </w:tcPr>
          <w:p w14:paraId="47EB905D" w14:textId="77777777" w:rsidR="00147746" w:rsidRPr="00E714F2"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0100</w:t>
            </w:r>
          </w:p>
          <w:p w14:paraId="330E1787" w14:textId="77777777" w:rsidR="00147746" w:rsidRPr="00E714F2"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0110</w:t>
            </w:r>
          </w:p>
          <w:p w14:paraId="3EA9646B" w14:textId="77777777" w:rsidR="00147746" w:rsidRPr="00E714F2"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0120</w:t>
            </w:r>
          </w:p>
        </w:tc>
        <w:tc>
          <w:tcPr>
            <w:tcW w:w="7620" w:type="dxa"/>
          </w:tcPr>
          <w:p w14:paraId="037E3690" w14:textId="3D0FDFD7" w:rsidR="00147746" w:rsidRPr="00E714F2" w:rsidRDefault="00147746" w:rsidP="005508CC">
            <w:pPr>
              <w:pStyle w:val="InstructionsText"/>
              <w:rPr>
                <w:rStyle w:val="InstructionsTabelleberschrift"/>
                <w:rFonts w:ascii="Arial MT" w:hAnsi="Arial MT"/>
                <w:szCs w:val="20"/>
              </w:rPr>
            </w:pPr>
            <w:r>
              <w:rPr>
                <w:rStyle w:val="InstructionsTabelleberschrift"/>
                <w:rFonts w:ascii="Arial MT" w:hAnsi="Arial MT"/>
                <w:szCs w:val="20"/>
              </w:rPr>
              <w:t xml:space="preserve">Total stock of core non-maturity deposits </w:t>
            </w:r>
          </w:p>
          <w:p w14:paraId="1BFFF60D" w14:textId="51011857" w:rsidR="00147746" w:rsidRPr="00E714F2" w:rsidRDefault="00147746" w:rsidP="005508CC">
            <w:pPr>
              <w:pStyle w:val="InstructionsText"/>
              <w:rPr>
                <w:rFonts w:ascii="Arial MT" w:hAnsi="Arial MT"/>
                <w:b/>
                <w:bCs/>
                <w:sz w:val="20"/>
                <w:szCs w:val="20"/>
              </w:rPr>
            </w:pPr>
            <w:r>
              <w:rPr>
                <w:rFonts w:ascii="Arial MT" w:hAnsi="Arial MT"/>
                <w:sz w:val="20"/>
                <w:szCs w:val="20"/>
              </w:rPr>
              <w:t>Institutions should report the total stock of core retail transactional deposits, the total stock of core retail non-transactional deposits and the total stock of core wholesale deposits from non-financial customers, for each currency reported, considering the current interest rate environment.</w:t>
            </w:r>
          </w:p>
        </w:tc>
      </w:tr>
      <w:tr w:rsidR="00147746" w:rsidRPr="00E714F2" w14:paraId="7D20F149" w14:textId="77777777" w:rsidTr="00194EAE">
        <w:tc>
          <w:tcPr>
            <w:tcW w:w="1129" w:type="dxa"/>
          </w:tcPr>
          <w:p w14:paraId="1BCBDCC0" w14:textId="77777777" w:rsidR="00147746" w:rsidRPr="00E714F2"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0130</w:t>
            </w:r>
          </w:p>
          <w:p w14:paraId="76E0848B" w14:textId="77777777" w:rsidR="00147746" w:rsidRPr="00E714F2"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0140</w:t>
            </w:r>
          </w:p>
          <w:p w14:paraId="1E49BDB0" w14:textId="77777777" w:rsidR="00147746" w:rsidRPr="00E714F2"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0150</w:t>
            </w:r>
          </w:p>
        </w:tc>
        <w:tc>
          <w:tcPr>
            <w:tcW w:w="7620" w:type="dxa"/>
          </w:tcPr>
          <w:p w14:paraId="0DFEBFB7" w14:textId="2BB8C7CC" w:rsidR="00147746" w:rsidRPr="00E714F2" w:rsidRDefault="00147746" w:rsidP="005508CC">
            <w:pPr>
              <w:pStyle w:val="InstructionsText"/>
              <w:rPr>
                <w:rStyle w:val="InstructionsTabelleberschrift"/>
                <w:rFonts w:ascii="Arial MT" w:hAnsi="Arial MT"/>
                <w:szCs w:val="20"/>
              </w:rPr>
            </w:pPr>
            <w:r>
              <w:rPr>
                <w:rStyle w:val="InstructionsTabelleberschrift"/>
                <w:rFonts w:ascii="Arial MT" w:hAnsi="Arial MT"/>
                <w:szCs w:val="20"/>
              </w:rPr>
              <w:t>Share of core deposits in the total stock of non-maturity deposits</w:t>
            </w:r>
          </w:p>
          <w:p w14:paraId="010D7A7E" w14:textId="734E0A67" w:rsidR="00147746" w:rsidRPr="00E714F2" w:rsidRDefault="00147746" w:rsidP="005508CC">
            <w:pPr>
              <w:pStyle w:val="InstructionsText"/>
              <w:rPr>
                <w:rFonts w:ascii="Arial MT" w:hAnsi="Arial MT"/>
                <w:b/>
                <w:bCs/>
                <w:sz w:val="20"/>
                <w:szCs w:val="20"/>
              </w:rPr>
            </w:pPr>
            <w:r>
              <w:rPr>
                <w:rFonts w:ascii="Arial MT" w:hAnsi="Arial MT"/>
                <w:sz w:val="20"/>
                <w:szCs w:val="20"/>
              </w:rPr>
              <w:t>Institutions should report the share of core retail transactional deposits, core retail non-transactional deposits and core wholesale deposits from non-financial customers in the total stock of non-maturity deposits, for each currency reported, considering the current interest rate environment.</w:t>
            </w:r>
          </w:p>
        </w:tc>
      </w:tr>
    </w:tbl>
    <w:p w14:paraId="73D58297" w14:textId="77777777" w:rsidR="00147746" w:rsidRPr="00242A6D" w:rsidRDefault="00147746" w:rsidP="00147746">
      <w:pPr>
        <w:pStyle w:val="BodyText"/>
        <w:rPr>
          <w:lang w:val="en-US"/>
        </w:rPr>
      </w:pPr>
    </w:p>
    <w:p w14:paraId="60FFD703" w14:textId="77777777" w:rsidR="00147746" w:rsidRPr="00242A6D" w:rsidRDefault="00147746" w:rsidP="00147746">
      <w:pPr>
        <w:pStyle w:val="BodyText"/>
        <w:rPr>
          <w:lang w:val="en-US"/>
        </w:rPr>
      </w:pPr>
    </w:p>
    <w:p w14:paraId="348A3B68" w14:textId="77777777" w:rsidR="00147746" w:rsidRDefault="00147746" w:rsidP="00815A99">
      <w:pPr>
        <w:spacing w:line="240" w:lineRule="auto"/>
        <w:rPr>
          <w:lang w:val="en-US"/>
        </w:rPr>
      </w:pPr>
    </w:p>
    <w:p w14:paraId="14E63D0B" w14:textId="5FC08637" w:rsidR="003D651E" w:rsidRPr="003D651E" w:rsidRDefault="003D651E" w:rsidP="003D651E">
      <w:pPr>
        <w:tabs>
          <w:tab w:val="left" w:pos="6349"/>
        </w:tabs>
        <w:rPr>
          <w:lang w:val="en-US"/>
        </w:rPr>
      </w:pPr>
      <w:r>
        <w:rPr>
          <w:lang w:val="en-US"/>
        </w:rPr>
        <w:tab/>
      </w:r>
    </w:p>
    <w:sectPr w:rsidR="003D651E" w:rsidRPr="003D651E" w:rsidSect="00ED7EDE">
      <w:headerReference w:type="even" r:id="rId13"/>
      <w:headerReference w:type="default" r:id="rId14"/>
      <w:footerReference w:type="even" r:id="rId15"/>
      <w:footerReference w:type="default" r:id="rId16"/>
      <w:footerReference w:type="first" r:id="rId17"/>
      <w:footnotePr>
        <w:numRestart w:val="eachSect"/>
      </w:footnotePr>
      <w:pgSz w:w="11907" w:h="16840" w:code="9"/>
      <w:pgMar w:top="510" w:right="425" w:bottom="1361" w:left="993" w:header="397" w:footer="119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2737B" w14:textId="77777777" w:rsidR="002E7BDA" w:rsidRDefault="002E7BDA">
      <w:r>
        <w:separator/>
      </w:r>
    </w:p>
  </w:endnote>
  <w:endnote w:type="continuationSeparator" w:id="0">
    <w:p w14:paraId="6D902AAE" w14:textId="77777777" w:rsidR="002E7BDA" w:rsidRDefault="002E7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4F984" w14:textId="2F32B9C2" w:rsidR="00ED7EDE" w:rsidRPr="00ED7EDE" w:rsidRDefault="00ED7EDE" w:rsidP="00ED7EDE">
    <w:pPr>
      <w:pStyle w:val="Footer"/>
      <w:pBdr>
        <w:top w:val="single" w:sz="4" w:space="1" w:color="auto"/>
      </w:pBdr>
      <w:rPr>
        <w:b/>
        <w:sz w:val="16"/>
        <w:szCs w:val="16"/>
      </w:rPr>
    </w:pPr>
    <w:r>
      <w:rPr>
        <w:b/>
        <w:sz w:val="16"/>
        <w:szCs w:val="16"/>
      </w:rPr>
      <w:t>Public</w:t>
    </w:r>
    <w:r>
      <w:rPr>
        <w:b/>
        <w:sz w:val="16"/>
        <w:szCs w:val="16"/>
      </w:rPr>
      <w:tab/>
    </w:r>
    <w:r>
      <w:rPr>
        <w:sz w:val="14"/>
        <w:szCs w:val="16"/>
      </w:rPr>
      <w:t>NBB_2023</w:t>
    </w:r>
    <w:r w:rsidR="006F41F3">
      <w:rPr>
        <w:sz w:val="14"/>
        <w:szCs w:val="16"/>
      </w:rPr>
      <w:t>_</w:t>
    </w:r>
    <w:r w:rsidR="00D7034A">
      <w:rPr>
        <w:sz w:val="14"/>
        <w:szCs w:val="16"/>
      </w:rPr>
      <w:t>07</w:t>
    </w:r>
    <w:r>
      <w:rPr>
        <w:sz w:val="14"/>
        <w:szCs w:val="16"/>
      </w:rPr>
      <w:t> – </w:t>
    </w:r>
    <w:r w:rsidR="00D7034A">
      <w:rPr>
        <w:sz w:val="14"/>
        <w:szCs w:val="16"/>
      </w:rPr>
      <w:t>27 June</w:t>
    </w:r>
    <w:r>
      <w:rPr>
        <w:sz w:val="14"/>
        <w:szCs w:val="16"/>
      </w:rPr>
      <w:t xml:space="preserve"> 2023</w:t>
    </w:r>
    <w:r>
      <w:rPr>
        <w:b/>
        <w:sz w:val="16"/>
        <w:szCs w:val="16"/>
      </w:rPr>
      <w:tab/>
      <w:t xml:space="preserve">Annex 3 – Page </w:t>
    </w:r>
    <w:r>
      <w:rPr>
        <w:b/>
        <w:sz w:val="16"/>
        <w:szCs w:val="16"/>
      </w:rPr>
      <w:fldChar w:fldCharType="begin"/>
    </w:r>
    <w:r>
      <w:rPr>
        <w:b/>
        <w:sz w:val="16"/>
        <w:szCs w:val="16"/>
      </w:rPr>
      <w:instrText xml:space="preserve"> PAGE   </w:instrText>
    </w:r>
    <w:r>
      <w:rPr>
        <w:b/>
        <w:sz w:val="16"/>
        <w:szCs w:val="16"/>
      </w:rPr>
      <w:fldChar w:fldCharType="separate"/>
    </w:r>
    <w:r>
      <w:rPr>
        <w:b/>
        <w:sz w:val="16"/>
        <w:szCs w:val="16"/>
      </w:rPr>
      <w:t>1</w:t>
    </w:r>
    <w:r>
      <w:rPr>
        <w:b/>
        <w:sz w:val="16"/>
        <w:szCs w:val="16"/>
      </w:rPr>
      <w:fldChar w:fldCharType="end"/>
    </w:r>
    <w:r>
      <w:rPr>
        <w:b/>
        <w:sz w:val="16"/>
        <w:szCs w:val="16"/>
      </w:rPr>
      <w:t>/</w:t>
    </w:r>
    <w:r>
      <w:rPr>
        <w:b/>
        <w:sz w:val="16"/>
        <w:szCs w:val="16"/>
      </w:rPr>
      <w:fldChar w:fldCharType="begin"/>
    </w:r>
    <w:r>
      <w:rPr>
        <w:b/>
        <w:sz w:val="16"/>
        <w:szCs w:val="16"/>
      </w:rPr>
      <w:instrText xml:space="preserve"> NUMPAGES  </w:instrText>
    </w:r>
    <w:r>
      <w:rPr>
        <w:b/>
        <w:sz w:val="16"/>
        <w:szCs w:val="16"/>
      </w:rPr>
      <w:fldChar w:fldCharType="separate"/>
    </w:r>
    <w:r>
      <w:rPr>
        <w:b/>
        <w:noProof/>
        <w:sz w:val="16"/>
        <w:szCs w:val="16"/>
      </w:rPr>
      <w:t>6</w:t>
    </w:r>
    <w:r>
      <w:rPr>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6EE74" w14:textId="77777777" w:rsidR="00E87276" w:rsidRPr="00202B0B" w:rsidRDefault="00E87276" w:rsidP="00E87276">
    <w:pPr>
      <w:pStyle w:val="Footer"/>
      <w:pBdr>
        <w:top w:val="single" w:sz="4" w:space="1" w:color="auto"/>
      </w:pBdr>
      <w:rPr>
        <w:b/>
        <w:sz w:val="16"/>
        <w:szCs w:val="16"/>
        <w:lang w:val="nl-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ADCDA" w14:textId="4186604C" w:rsidR="00450949" w:rsidRPr="00815A99" w:rsidRDefault="00815A99" w:rsidP="00F64E38">
    <w:pPr>
      <w:pStyle w:val="Footer"/>
      <w:pBdr>
        <w:top w:val="single" w:sz="4" w:space="1" w:color="auto"/>
      </w:pBdr>
      <w:rPr>
        <w:b/>
        <w:sz w:val="16"/>
        <w:szCs w:val="14"/>
      </w:rPr>
    </w:pPr>
    <w:r>
      <w:rPr>
        <w:b/>
        <w:sz w:val="16"/>
        <w:szCs w:val="14"/>
      </w:rPr>
      <w:t>Public</w:t>
    </w:r>
    <w:r>
      <w:rPr>
        <w:b/>
        <w:sz w:val="16"/>
        <w:szCs w:val="14"/>
      </w:rPr>
      <w:tab/>
    </w:r>
    <w:r>
      <w:rPr>
        <w:sz w:val="14"/>
        <w:szCs w:val="14"/>
      </w:rPr>
      <w:t>NBB_2023</w:t>
    </w:r>
    <w:r w:rsidR="006F41F3">
      <w:rPr>
        <w:sz w:val="14"/>
        <w:szCs w:val="14"/>
      </w:rPr>
      <w:t>_</w:t>
    </w:r>
    <w:r w:rsidR="00D7034A">
      <w:rPr>
        <w:sz w:val="14"/>
        <w:szCs w:val="14"/>
      </w:rPr>
      <w:t>07</w:t>
    </w:r>
    <w:r>
      <w:rPr>
        <w:sz w:val="14"/>
        <w:szCs w:val="14"/>
      </w:rPr>
      <w:t> – </w:t>
    </w:r>
    <w:r w:rsidR="00D7034A">
      <w:rPr>
        <w:sz w:val="14"/>
        <w:szCs w:val="14"/>
      </w:rPr>
      <w:t>27 June</w:t>
    </w:r>
    <w:r w:rsidR="006F41F3">
      <w:rPr>
        <w:sz w:val="14"/>
        <w:szCs w:val="14"/>
      </w:rPr>
      <w:t xml:space="preserve"> </w:t>
    </w:r>
    <w:r>
      <w:rPr>
        <w:sz w:val="14"/>
        <w:szCs w:val="14"/>
      </w:rPr>
      <w:t>2023</w:t>
    </w:r>
    <w:r>
      <w:rPr>
        <w:b/>
        <w:sz w:val="16"/>
        <w:szCs w:val="14"/>
      </w:rPr>
      <w:tab/>
      <w:t xml:space="preserve">Annex 3 – Page </w:t>
    </w:r>
    <w:r>
      <w:rPr>
        <w:b/>
        <w:sz w:val="16"/>
        <w:szCs w:val="14"/>
      </w:rPr>
      <w:fldChar w:fldCharType="begin"/>
    </w:r>
    <w:r>
      <w:rPr>
        <w:b/>
        <w:sz w:val="16"/>
        <w:szCs w:val="14"/>
      </w:rPr>
      <w:instrText xml:space="preserve"> PAGE   </w:instrText>
    </w:r>
    <w:r>
      <w:rPr>
        <w:b/>
        <w:sz w:val="16"/>
        <w:szCs w:val="14"/>
      </w:rPr>
      <w:fldChar w:fldCharType="separate"/>
    </w:r>
    <w:r>
      <w:rPr>
        <w:b/>
        <w:sz w:val="16"/>
        <w:szCs w:val="14"/>
      </w:rPr>
      <w:t>2</w:t>
    </w:r>
    <w:r>
      <w:rPr>
        <w:b/>
        <w:sz w:val="16"/>
        <w:szCs w:val="14"/>
      </w:rPr>
      <w:fldChar w:fldCharType="end"/>
    </w:r>
    <w:r>
      <w:rPr>
        <w:b/>
        <w:sz w:val="16"/>
        <w:szCs w:val="14"/>
      </w:rPr>
      <w:t>/</w:t>
    </w:r>
    <w:r w:rsidR="00EB1179">
      <w:rPr>
        <w:b/>
        <w:sz w:val="16"/>
        <w:szCs w:val="14"/>
      </w:rPr>
      <w:fldChar w:fldCharType="begin"/>
    </w:r>
    <w:r w:rsidR="00EB1179">
      <w:rPr>
        <w:b/>
        <w:sz w:val="16"/>
        <w:szCs w:val="14"/>
      </w:rPr>
      <w:instrText xml:space="preserve"> NUMPAGES  \* Arabic </w:instrText>
    </w:r>
    <w:r w:rsidR="00EB1179">
      <w:rPr>
        <w:b/>
        <w:sz w:val="16"/>
        <w:szCs w:val="14"/>
      </w:rPr>
      <w:fldChar w:fldCharType="separate"/>
    </w:r>
    <w:r w:rsidR="00EB1179">
      <w:rPr>
        <w:b/>
        <w:noProof/>
        <w:sz w:val="16"/>
        <w:szCs w:val="14"/>
      </w:rPr>
      <w:t>6</w:t>
    </w:r>
    <w:r w:rsidR="00EB1179">
      <w:rPr>
        <w:b/>
        <w:sz w:val="16"/>
        <w:szCs w:val="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8D56D" w14:textId="5E93B6AB" w:rsidR="00450949" w:rsidRPr="00815A99" w:rsidRDefault="00815A99" w:rsidP="00CB2202">
    <w:pPr>
      <w:pStyle w:val="Footer"/>
      <w:pBdr>
        <w:top w:val="single" w:sz="4" w:space="1" w:color="auto"/>
      </w:pBdr>
      <w:rPr>
        <w:b/>
        <w:sz w:val="16"/>
        <w:szCs w:val="16"/>
      </w:rPr>
    </w:pPr>
    <w:r>
      <w:rPr>
        <w:b/>
        <w:sz w:val="16"/>
        <w:szCs w:val="16"/>
      </w:rPr>
      <w:t>Public</w:t>
    </w:r>
    <w:r>
      <w:rPr>
        <w:b/>
        <w:sz w:val="16"/>
        <w:szCs w:val="16"/>
      </w:rPr>
      <w:tab/>
    </w:r>
    <w:r>
      <w:rPr>
        <w:sz w:val="14"/>
        <w:szCs w:val="16"/>
      </w:rPr>
      <w:t>NBB_2023</w:t>
    </w:r>
    <w:r w:rsidR="006F41F3">
      <w:rPr>
        <w:sz w:val="14"/>
        <w:szCs w:val="16"/>
      </w:rPr>
      <w:t>_</w:t>
    </w:r>
    <w:r w:rsidR="00D7034A">
      <w:rPr>
        <w:sz w:val="14"/>
        <w:szCs w:val="16"/>
      </w:rPr>
      <w:t>07</w:t>
    </w:r>
    <w:r>
      <w:rPr>
        <w:sz w:val="14"/>
        <w:szCs w:val="16"/>
      </w:rPr>
      <w:t> – </w:t>
    </w:r>
    <w:r w:rsidR="00D7034A">
      <w:rPr>
        <w:sz w:val="14"/>
        <w:szCs w:val="16"/>
      </w:rPr>
      <w:t xml:space="preserve">27 June </w:t>
    </w:r>
    <w:r>
      <w:rPr>
        <w:sz w:val="14"/>
        <w:szCs w:val="16"/>
      </w:rPr>
      <w:t>2023</w:t>
    </w:r>
    <w:r>
      <w:rPr>
        <w:b/>
        <w:sz w:val="16"/>
        <w:szCs w:val="16"/>
      </w:rPr>
      <w:tab/>
      <w:t xml:space="preserve">Annex 3 – Page </w:t>
    </w:r>
    <w:r>
      <w:rPr>
        <w:b/>
        <w:sz w:val="16"/>
        <w:szCs w:val="16"/>
      </w:rPr>
      <w:fldChar w:fldCharType="begin"/>
    </w:r>
    <w:r>
      <w:rPr>
        <w:b/>
        <w:sz w:val="16"/>
        <w:szCs w:val="16"/>
      </w:rPr>
      <w:instrText xml:space="preserve"> PAGE   </w:instrText>
    </w:r>
    <w:r>
      <w:rPr>
        <w:b/>
        <w:sz w:val="16"/>
        <w:szCs w:val="16"/>
      </w:rPr>
      <w:fldChar w:fldCharType="separate"/>
    </w:r>
    <w:r>
      <w:rPr>
        <w:b/>
        <w:sz w:val="16"/>
        <w:szCs w:val="16"/>
      </w:rPr>
      <w:t>1</w:t>
    </w:r>
    <w:r>
      <w:rPr>
        <w:b/>
        <w:sz w:val="16"/>
        <w:szCs w:val="16"/>
      </w:rPr>
      <w:fldChar w:fldCharType="end"/>
    </w:r>
    <w:r>
      <w:rPr>
        <w:b/>
        <w:sz w:val="16"/>
        <w:szCs w:val="16"/>
      </w:rPr>
      <w:t>/</w:t>
    </w:r>
    <w:r w:rsidR="00ED7EDE">
      <w:rPr>
        <w:b/>
        <w:sz w:val="16"/>
        <w:szCs w:val="16"/>
      </w:rPr>
      <w:fldChar w:fldCharType="begin"/>
    </w:r>
    <w:r w:rsidR="00ED7EDE">
      <w:rPr>
        <w:b/>
        <w:sz w:val="16"/>
        <w:szCs w:val="16"/>
      </w:rPr>
      <w:instrText xml:space="preserve"> NUMPAGES  \* Arabic </w:instrText>
    </w:r>
    <w:r w:rsidR="00ED7EDE">
      <w:rPr>
        <w:b/>
        <w:sz w:val="16"/>
        <w:szCs w:val="16"/>
      </w:rPr>
      <w:fldChar w:fldCharType="separate"/>
    </w:r>
    <w:r w:rsidR="00ED7EDE">
      <w:rPr>
        <w:b/>
        <w:noProof/>
        <w:sz w:val="16"/>
        <w:szCs w:val="16"/>
      </w:rPr>
      <w:t>6</w:t>
    </w:r>
    <w:r w:rsidR="00ED7EDE">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01D5D" w14:textId="77777777" w:rsidR="002E7BDA" w:rsidRPr="00117F31" w:rsidRDefault="002E7BDA" w:rsidP="00117F31">
      <w:pPr>
        <w:pStyle w:val="Footer"/>
      </w:pPr>
    </w:p>
  </w:footnote>
  <w:footnote w:type="continuationSeparator" w:id="0">
    <w:p w14:paraId="4F7A26DE" w14:textId="77777777" w:rsidR="002E7BDA" w:rsidRPr="00117F31" w:rsidRDefault="002E7BDA" w:rsidP="00117F31">
      <w:pPr>
        <w:pStyle w:val="Footer"/>
      </w:pPr>
    </w:p>
  </w:footnote>
  <w:footnote w:type="continuationNotice" w:id="1">
    <w:p w14:paraId="43417DF6" w14:textId="77777777" w:rsidR="002E7BDA" w:rsidRDefault="002E7BDA"/>
  </w:footnote>
  <w:footnote w:id="2">
    <w:p w14:paraId="1BDAB9D6" w14:textId="69B9C6D9" w:rsidR="00147746" w:rsidRDefault="00147746" w:rsidP="006F41F3">
      <w:pPr>
        <w:pStyle w:val="FootnoteText"/>
        <w:spacing w:line="240" w:lineRule="auto"/>
        <w:ind w:right="1072"/>
        <w:rPr>
          <w:i/>
          <w:szCs w:val="22"/>
        </w:rPr>
      </w:pPr>
      <w:r>
        <w:rPr>
          <w:rStyle w:val="FootnoteReference"/>
        </w:rPr>
        <w:footnoteRef/>
      </w:r>
      <w:r>
        <w:t xml:space="preserve"> </w:t>
      </w:r>
      <w:r w:rsidR="006F41F3">
        <w:tab/>
      </w:r>
      <w:r>
        <w:t xml:space="preserve">EBA/RTS/2022/10. </w:t>
      </w:r>
      <w:r>
        <w:rPr>
          <w:i/>
          <w:szCs w:val="22"/>
        </w:rPr>
        <w:t xml:space="preserve">Draft Regulatory Technical Standards specifying supervisory shock scenarios, common </w:t>
      </w:r>
      <w:proofErr w:type="gramStart"/>
      <w:r>
        <w:rPr>
          <w:i/>
          <w:szCs w:val="22"/>
        </w:rPr>
        <w:t>modelling</w:t>
      </w:r>
      <w:proofErr w:type="gramEnd"/>
      <w:r>
        <w:rPr>
          <w:i/>
          <w:szCs w:val="22"/>
        </w:rPr>
        <w:t xml:space="preserve"> and parametric assumptions and what constitutes a large decline for the calculation of the economic value of equity and of the net interest income in accordance with Article 98(5a) of Directive 2013/36/EU.</w:t>
      </w:r>
    </w:p>
    <w:p w14:paraId="206EE931" w14:textId="77777777" w:rsidR="00ED7EDE" w:rsidRPr="0011229E" w:rsidRDefault="00ED7EDE" w:rsidP="006534D1">
      <w:pPr>
        <w:pStyle w:val="FootnoteText"/>
        <w:ind w:right="1074" w:hanging="142"/>
      </w:pPr>
    </w:p>
  </w:footnote>
  <w:footnote w:id="3">
    <w:p w14:paraId="31181139" w14:textId="4994BA20" w:rsidR="00147746" w:rsidRDefault="00147746" w:rsidP="006F41F3">
      <w:pPr>
        <w:pStyle w:val="FootnoteText"/>
        <w:spacing w:line="240" w:lineRule="auto"/>
        <w:ind w:right="1134"/>
        <w:rPr>
          <w:i/>
          <w:szCs w:val="22"/>
        </w:rPr>
      </w:pPr>
      <w:r>
        <w:rPr>
          <w:rStyle w:val="FootnoteReference"/>
        </w:rPr>
        <w:footnoteRef/>
      </w:r>
      <w:r w:rsidR="006F41F3">
        <w:tab/>
      </w:r>
      <w:r>
        <w:t xml:space="preserve">EBA/RTS/2022/09. </w:t>
      </w:r>
      <w:r>
        <w:rPr>
          <w:i/>
          <w:szCs w:val="22"/>
        </w:rPr>
        <w:t>Draft Regulatory Technical Standards specifying standardised and simplified standardised methodologies to evaluate the risks arising from potential changes in interest rates that affect both the economic value of equity and the net interest income of an institution’s non-trading book activities in accordance with 84(5) of Directive 2013/36/EU.</w:t>
      </w:r>
    </w:p>
    <w:p w14:paraId="459B44E5" w14:textId="77777777" w:rsidR="00ED7EDE" w:rsidRPr="004C7871" w:rsidRDefault="00ED7EDE" w:rsidP="00A66E07">
      <w:pPr>
        <w:pStyle w:val="FootnoteText"/>
        <w:ind w:right="1133"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7029D" w14:textId="77777777" w:rsidR="00450949" w:rsidRDefault="00450949" w:rsidP="00E829D6">
    <w:pPr>
      <w:pStyle w:val="Header"/>
      <w:tabs>
        <w:tab w:val="clear" w:pos="4394"/>
        <w:tab w:val="center" w:pos="4395"/>
      </w:tabs>
      <w:rPr>
        <w:lang w:val="nl-BE"/>
      </w:rPr>
    </w:pPr>
  </w:p>
  <w:p w14:paraId="496C0465" w14:textId="77777777" w:rsidR="00450949" w:rsidRPr="00BF29ED" w:rsidRDefault="00450949" w:rsidP="00E829D6">
    <w:pPr>
      <w:pStyle w:val="Header"/>
      <w:tabs>
        <w:tab w:val="clear" w:pos="4394"/>
        <w:tab w:val="center" w:pos="4395"/>
      </w:tabs>
      <w:rPr>
        <w:lang w:val="nl-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8EF8C" w14:textId="77777777" w:rsidR="00450949" w:rsidRDefault="00450949" w:rsidP="00D850C8">
    <w:pPr>
      <w:pStyle w:val="Header"/>
      <w:rPr>
        <w:lang w:val="nl-BE"/>
      </w:rPr>
    </w:pPr>
  </w:p>
  <w:p w14:paraId="037AC526" w14:textId="77777777" w:rsidR="00450949" w:rsidRPr="00D850C8" w:rsidRDefault="00450949" w:rsidP="00D850C8">
    <w:pPr>
      <w:pStyle w:val="Header"/>
      <w:rPr>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C4C5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56B8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E8E166"/>
    <w:lvl w:ilvl="0">
      <w:start w:val="1"/>
      <w:numFmt w:val="lowerRoman"/>
      <w:pStyle w:val="ListNumber3"/>
      <w:lvlText w:val="%1."/>
      <w:lvlJc w:val="left"/>
      <w:pPr>
        <w:ind w:left="851" w:hanging="285"/>
      </w:pPr>
      <w:rPr>
        <w:rFonts w:ascii="Arial" w:hAnsi="Arial" w:hint="default"/>
        <w:b w:val="0"/>
        <w:i w:val="0"/>
        <w:sz w:val="20"/>
      </w:rPr>
    </w:lvl>
  </w:abstractNum>
  <w:abstractNum w:abstractNumId="3" w15:restartNumberingAfterBreak="0">
    <w:nsid w:val="FFFFFF7F"/>
    <w:multiLevelType w:val="singleLevel"/>
    <w:tmpl w:val="E7D8E07C"/>
    <w:lvl w:ilvl="0">
      <w:start w:val="1"/>
      <w:numFmt w:val="lowerLetter"/>
      <w:pStyle w:val="ListNumber2"/>
      <w:lvlText w:val="%1."/>
      <w:lvlJc w:val="left"/>
      <w:pPr>
        <w:ind w:left="567" w:hanging="284"/>
      </w:pPr>
      <w:rPr>
        <w:rFonts w:ascii="Arial" w:hAnsi="Arial" w:hint="default"/>
        <w:b w:val="0"/>
        <w:i w:val="0"/>
        <w:sz w:val="20"/>
      </w:rPr>
    </w:lvl>
  </w:abstractNum>
  <w:abstractNum w:abstractNumId="4" w15:restartNumberingAfterBreak="0">
    <w:nsid w:val="FFFFFF80"/>
    <w:multiLevelType w:val="singleLevel"/>
    <w:tmpl w:val="FED0124A"/>
    <w:lvl w:ilvl="0">
      <w:start w:val="1"/>
      <w:numFmt w:val="bullet"/>
      <w:pStyle w:val="ListBullet5"/>
      <w:lvlText w:val=""/>
      <w:lvlJc w:val="left"/>
      <w:pPr>
        <w:ind w:left="1418" w:hanging="286"/>
      </w:pPr>
      <w:rPr>
        <w:rFonts w:ascii="Symbol" w:hAnsi="Symbol" w:hint="default"/>
        <w:b w:val="0"/>
        <w:i w:val="0"/>
        <w:sz w:val="20"/>
      </w:rPr>
    </w:lvl>
  </w:abstractNum>
  <w:abstractNum w:abstractNumId="5" w15:restartNumberingAfterBreak="0">
    <w:nsid w:val="FFFFFF81"/>
    <w:multiLevelType w:val="singleLevel"/>
    <w:tmpl w:val="ED881D6E"/>
    <w:lvl w:ilvl="0">
      <w:start w:val="1"/>
      <w:numFmt w:val="bullet"/>
      <w:pStyle w:val="ListBullet4"/>
      <w:lvlText w:val="○"/>
      <w:lvlJc w:val="left"/>
      <w:pPr>
        <w:ind w:left="1134" w:hanging="285"/>
      </w:pPr>
      <w:rPr>
        <w:rFonts w:ascii="Arial" w:hAnsi="Arial" w:hint="default"/>
        <w:b w:val="0"/>
        <w:i w:val="0"/>
        <w:sz w:val="20"/>
      </w:rPr>
    </w:lvl>
  </w:abstractNum>
  <w:abstractNum w:abstractNumId="6" w15:restartNumberingAfterBreak="0">
    <w:nsid w:val="FFFFFF82"/>
    <w:multiLevelType w:val="singleLevel"/>
    <w:tmpl w:val="D4D0E4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F40C1E"/>
    <w:lvl w:ilvl="0">
      <w:start w:val="1"/>
      <w:numFmt w:val="bullet"/>
      <w:pStyle w:val="ListBullet2"/>
      <w:lvlText w:val="□"/>
      <w:lvlJc w:val="left"/>
      <w:pPr>
        <w:ind w:left="567" w:hanging="284"/>
      </w:pPr>
      <w:rPr>
        <w:rFonts w:ascii="Arial" w:hAnsi="Arial" w:hint="default"/>
        <w:b w:val="0"/>
        <w:i w:val="0"/>
        <w:sz w:val="20"/>
      </w:rPr>
    </w:lvl>
  </w:abstractNum>
  <w:abstractNum w:abstractNumId="8" w15:restartNumberingAfterBreak="0">
    <w:nsid w:val="FFFFFF88"/>
    <w:multiLevelType w:val="singleLevel"/>
    <w:tmpl w:val="074A0542"/>
    <w:lvl w:ilvl="0">
      <w:start w:val="1"/>
      <w:numFmt w:val="decimal"/>
      <w:pStyle w:val="ListNumber"/>
      <w:lvlText w:val="%1."/>
      <w:lvlJc w:val="left"/>
      <w:pPr>
        <w:ind w:left="284" w:hanging="284"/>
      </w:pPr>
      <w:rPr>
        <w:rFonts w:ascii="Arial" w:hAnsi="Arial" w:hint="default"/>
        <w:b w:val="0"/>
        <w:i w:val="0"/>
        <w:sz w:val="20"/>
      </w:rPr>
    </w:lvl>
  </w:abstractNum>
  <w:abstractNum w:abstractNumId="9" w15:restartNumberingAfterBreak="0">
    <w:nsid w:val="FFFFFF89"/>
    <w:multiLevelType w:val="singleLevel"/>
    <w:tmpl w:val="D474FA8C"/>
    <w:lvl w:ilvl="0">
      <w:start w:val="1"/>
      <w:numFmt w:val="bullet"/>
      <w:pStyle w:val="ListBullet"/>
      <w:lvlText w:val="■"/>
      <w:lvlJc w:val="left"/>
      <w:pPr>
        <w:ind w:left="284" w:hanging="284"/>
      </w:pPr>
      <w:rPr>
        <w:rFonts w:ascii="Arial" w:hAnsi="Arial" w:hint="default"/>
        <w:b w:val="0"/>
        <w:i w:val="0"/>
        <w:sz w:val="20"/>
      </w:rPr>
    </w:lvl>
  </w:abstractNum>
  <w:abstractNum w:abstractNumId="10" w15:restartNumberingAfterBreak="0">
    <w:nsid w:val="014901FB"/>
    <w:multiLevelType w:val="hybridMultilevel"/>
    <w:tmpl w:val="CDA0F682"/>
    <w:lvl w:ilvl="0" w:tplc="7070E264">
      <w:start w:val="1"/>
      <w:numFmt w:val="bullet"/>
      <w:pStyle w:val="ListBullet3"/>
      <w:lvlText w:val="●"/>
      <w:lvlJc w:val="left"/>
      <w:pPr>
        <w:ind w:left="851" w:hanging="284"/>
      </w:pPr>
      <w:rPr>
        <w:rFonts w:ascii="Arial" w:hAnsi="Arial" w:hint="default"/>
        <w:b w:val="0"/>
        <w:i w:val="0"/>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01B34E60"/>
    <w:multiLevelType w:val="hybridMultilevel"/>
    <w:tmpl w:val="46488A56"/>
    <w:lvl w:ilvl="0" w:tplc="FFB0B2B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6E42DC"/>
    <w:multiLevelType w:val="multilevel"/>
    <w:tmpl w:val="6D967668"/>
    <w:lvl w:ilvl="0">
      <w:start w:val="1"/>
      <w:numFmt w:val="none"/>
      <w:lvlText w:val="%1"/>
      <w:lvlJc w:val="left"/>
      <w:pPr>
        <w:tabs>
          <w:tab w:val="num" w:pos="0"/>
        </w:tabs>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abstractNum w:abstractNumId="13" w15:restartNumberingAfterBreak="0">
    <w:nsid w:val="15F22421"/>
    <w:multiLevelType w:val="multilevel"/>
    <w:tmpl w:val="083AFA2E"/>
    <w:lvl w:ilvl="0">
      <w:start w:val="1"/>
      <w:numFmt w:val="none"/>
      <w:lvlText w:val="%1"/>
      <w:lvlJc w:val="left"/>
      <w:pPr>
        <w:tabs>
          <w:tab w:val="num" w:pos="0"/>
        </w:tabs>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abstractNum w:abstractNumId="14" w15:restartNumberingAfterBreak="0">
    <w:nsid w:val="162C51DB"/>
    <w:multiLevelType w:val="multilevel"/>
    <w:tmpl w:val="DDE64F1C"/>
    <w:lvl w:ilvl="0">
      <w:start w:val="1"/>
      <w:numFmt w:val="none"/>
      <w:suff w:val="nothing"/>
      <w:lvlText w:val="%1"/>
      <w:lvlJc w:val="left"/>
      <w:pPr>
        <w:ind w:left="0" w:firstLine="0"/>
      </w:pPr>
      <w:rPr>
        <w:rFonts w:hint="default"/>
        <w:u w:val="none"/>
      </w:rPr>
    </w:lvl>
    <w:lvl w:ilvl="1">
      <w:start w:val="1"/>
      <w:numFmt w:val="decimal"/>
      <w:lvlText w:val="%1%2."/>
      <w:lvlJc w:val="left"/>
      <w:pPr>
        <w:tabs>
          <w:tab w:val="num" w:pos="284"/>
        </w:tabs>
        <w:ind w:left="284" w:hanging="284"/>
      </w:pPr>
      <w:rPr>
        <w:rFonts w:hint="default"/>
        <w:u w:val="none"/>
      </w:rPr>
    </w:lvl>
    <w:lvl w:ilvl="2">
      <w:start w:val="1"/>
      <w:numFmt w:val="decimal"/>
      <w:lvlText w:val="%1%2.%3"/>
      <w:lvlJc w:val="left"/>
      <w:pPr>
        <w:tabs>
          <w:tab w:val="num" w:pos="397"/>
        </w:tabs>
        <w:ind w:left="397" w:hanging="397"/>
      </w:pPr>
      <w:rPr>
        <w:rFonts w:hint="default"/>
        <w:u w:val="none"/>
      </w:rPr>
    </w:lvl>
    <w:lvl w:ilvl="3">
      <w:start w:val="1"/>
      <w:numFmt w:val="decimal"/>
      <w:lvlText w:val="%1%2.%3.%4"/>
      <w:lvlJc w:val="left"/>
      <w:pPr>
        <w:tabs>
          <w:tab w:val="num" w:pos="510"/>
        </w:tabs>
        <w:ind w:left="510" w:hanging="510"/>
      </w:pPr>
      <w:rPr>
        <w:rFonts w:hint="default"/>
        <w:u w:val="none"/>
      </w:rPr>
    </w:lvl>
    <w:lvl w:ilvl="4">
      <w:start w:val="1"/>
      <w:numFmt w:val="none"/>
      <w:suff w:val="nothing"/>
      <w:lvlText w:val="%1"/>
      <w:lvlJc w:val="left"/>
      <w:pPr>
        <w:ind w:left="0" w:firstLine="0"/>
      </w:pPr>
      <w:rPr>
        <w:rFonts w:hint="default"/>
        <w:u w:val="none"/>
      </w:rPr>
    </w:lvl>
    <w:lvl w:ilvl="5">
      <w:start w:val="1"/>
      <w:numFmt w:val="none"/>
      <w:suff w:val="nothing"/>
      <w:lvlText w:val="%1"/>
      <w:lvlJc w:val="left"/>
      <w:pPr>
        <w:ind w:left="0" w:firstLine="0"/>
      </w:pPr>
      <w:rPr>
        <w:rFonts w:hint="default"/>
        <w:u w:val="none"/>
      </w:rPr>
    </w:lvl>
    <w:lvl w:ilvl="6">
      <w:start w:val="1"/>
      <w:numFmt w:val="none"/>
      <w:suff w:val="nothing"/>
      <w:lvlText w:val="%1"/>
      <w:lvlJc w:val="left"/>
      <w:pPr>
        <w:ind w:left="0" w:firstLine="0"/>
      </w:pPr>
      <w:rPr>
        <w:rFonts w:hint="default"/>
        <w:u w:val="none"/>
      </w:rPr>
    </w:lvl>
    <w:lvl w:ilvl="7">
      <w:start w:val="1"/>
      <w:numFmt w:val="none"/>
      <w:suff w:val="nothing"/>
      <w:lvlText w:val=""/>
      <w:lvlJc w:val="left"/>
      <w:pPr>
        <w:ind w:left="0" w:firstLine="0"/>
      </w:pPr>
      <w:rPr>
        <w:rFonts w:hint="default"/>
        <w:u w:val="none"/>
      </w:rPr>
    </w:lvl>
    <w:lvl w:ilvl="8">
      <w:start w:val="1"/>
      <w:numFmt w:val="none"/>
      <w:suff w:val="nothing"/>
      <w:lvlText w:val="%1"/>
      <w:lvlJc w:val="left"/>
      <w:pPr>
        <w:ind w:left="0" w:firstLine="0"/>
      </w:pPr>
      <w:rPr>
        <w:rFonts w:hint="default"/>
        <w:u w:val="none"/>
      </w:rPr>
    </w:lvl>
  </w:abstractNum>
  <w:abstractNum w:abstractNumId="15" w15:restartNumberingAfterBreak="0">
    <w:nsid w:val="1BF37AC0"/>
    <w:multiLevelType w:val="multilevel"/>
    <w:tmpl w:val="20E0AEF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15D1D43"/>
    <w:multiLevelType w:val="multilevel"/>
    <w:tmpl w:val="20303294"/>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369"/>
        </w:tabs>
        <w:ind w:left="369" w:hanging="36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56D4BB1"/>
    <w:multiLevelType w:val="multilevel"/>
    <w:tmpl w:val="42A63D7C"/>
    <w:lvl w:ilvl="0">
      <w:start w:val="1"/>
      <w:numFmt w:val="none"/>
      <w:suff w:val="space"/>
      <w:lvlText w:val="%1."/>
      <w:lvlJc w:val="left"/>
      <w:pPr>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abstractNum w:abstractNumId="18" w15:restartNumberingAfterBreak="0">
    <w:nsid w:val="361B5BC9"/>
    <w:multiLevelType w:val="multilevel"/>
    <w:tmpl w:val="4CBC15FC"/>
    <w:lvl w:ilvl="0">
      <w:start w:val="1"/>
      <w:numFmt w:val="none"/>
      <w:lvlText w:val=""/>
      <w:lvlJc w:val="left"/>
      <w:pPr>
        <w:tabs>
          <w:tab w:val="num" w:pos="0"/>
        </w:tabs>
        <w:ind w:left="0" w:firstLine="0"/>
      </w:pPr>
      <w:rPr>
        <w:rFonts w:hint="default"/>
      </w:rPr>
    </w:lvl>
    <w:lvl w:ilvl="1">
      <w:start w:val="1"/>
      <w:numFmt w:val="decimal"/>
      <w:lvlText w:val="%2."/>
      <w:lvlJc w:val="left"/>
      <w:pPr>
        <w:tabs>
          <w:tab w:val="num" w:pos="227"/>
        </w:tabs>
        <w:ind w:left="227" w:hanging="227"/>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454"/>
        </w:tabs>
        <w:ind w:left="454" w:hanging="454"/>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19" w15:restartNumberingAfterBreak="0">
    <w:nsid w:val="361F0C47"/>
    <w:multiLevelType w:val="multilevel"/>
    <w:tmpl w:val="9F8C365E"/>
    <w:lvl w:ilvl="0">
      <w:start w:val="1"/>
      <w:numFmt w:val="none"/>
      <w:lvlText w:val=""/>
      <w:lvlJc w:val="left"/>
      <w:pPr>
        <w:tabs>
          <w:tab w:val="num" w:pos="0"/>
        </w:tabs>
        <w:ind w:left="0" w:firstLine="0"/>
      </w:pPr>
      <w:rPr>
        <w:rFonts w:hint="default"/>
      </w:rPr>
    </w:lvl>
    <w:lvl w:ilvl="1">
      <w:start w:val="1"/>
      <w:numFmt w:val="decimal"/>
      <w:lvlText w:val="%2."/>
      <w:lvlJc w:val="left"/>
      <w:pPr>
        <w:tabs>
          <w:tab w:val="num" w:pos="227"/>
        </w:tabs>
        <w:ind w:left="227" w:hanging="227"/>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454"/>
        </w:tabs>
        <w:ind w:left="454" w:hanging="454"/>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20" w15:restartNumberingAfterBreak="0">
    <w:nsid w:val="373F18B8"/>
    <w:multiLevelType w:val="multilevel"/>
    <w:tmpl w:val="462A3074"/>
    <w:lvl w:ilvl="0">
      <w:start w:val="1"/>
      <w:numFmt w:val="none"/>
      <w:lvlText w:val="%1"/>
      <w:lvlJc w:val="left"/>
      <w:pPr>
        <w:tabs>
          <w:tab w:val="num" w:pos="0"/>
        </w:tabs>
        <w:ind w:left="0" w:firstLine="0"/>
      </w:pPr>
      <w:rPr>
        <w:rFonts w:hint="default"/>
        <w:u w:val="none"/>
      </w:rPr>
    </w:lvl>
    <w:lvl w:ilvl="1">
      <w:start w:val="1"/>
      <w:numFmt w:val="decimal"/>
      <w:lvlText w:val="%1%2."/>
      <w:lvlJc w:val="left"/>
      <w:pPr>
        <w:tabs>
          <w:tab w:val="num" w:pos="284"/>
        </w:tabs>
        <w:ind w:left="284" w:hanging="284"/>
      </w:pPr>
      <w:rPr>
        <w:rFonts w:hint="default"/>
        <w:u w:val="none"/>
      </w:rPr>
    </w:lvl>
    <w:lvl w:ilvl="2">
      <w:start w:val="1"/>
      <w:numFmt w:val="decimal"/>
      <w:lvlText w:val="%1%2.%3"/>
      <w:lvlJc w:val="left"/>
      <w:pPr>
        <w:tabs>
          <w:tab w:val="num" w:pos="397"/>
        </w:tabs>
        <w:ind w:left="397" w:hanging="397"/>
      </w:pPr>
      <w:rPr>
        <w:rFonts w:hint="default"/>
        <w:u w:val="none"/>
      </w:rPr>
    </w:lvl>
    <w:lvl w:ilvl="3">
      <w:start w:val="1"/>
      <w:numFmt w:val="decimal"/>
      <w:lvlText w:val="%1%2.%3.%4"/>
      <w:lvlJc w:val="left"/>
      <w:pPr>
        <w:tabs>
          <w:tab w:val="num" w:pos="510"/>
        </w:tabs>
        <w:ind w:left="510" w:hanging="510"/>
      </w:pPr>
      <w:rPr>
        <w:rFonts w:hint="default"/>
        <w:u w:val="none"/>
      </w:rPr>
    </w:lvl>
    <w:lvl w:ilvl="4">
      <w:start w:val="1"/>
      <w:numFmt w:val="none"/>
      <w:suff w:val="nothing"/>
      <w:lvlText w:val="%1"/>
      <w:lvlJc w:val="left"/>
      <w:pPr>
        <w:ind w:left="0" w:firstLine="0"/>
      </w:pPr>
      <w:rPr>
        <w:rFonts w:hint="default"/>
        <w:u w:val="none"/>
      </w:rPr>
    </w:lvl>
    <w:lvl w:ilvl="5">
      <w:start w:val="1"/>
      <w:numFmt w:val="none"/>
      <w:suff w:val="nothing"/>
      <w:lvlText w:val="%1"/>
      <w:lvlJc w:val="left"/>
      <w:pPr>
        <w:ind w:left="0" w:firstLine="0"/>
      </w:pPr>
      <w:rPr>
        <w:rFonts w:hint="default"/>
        <w:u w:val="none"/>
      </w:rPr>
    </w:lvl>
    <w:lvl w:ilvl="6">
      <w:start w:val="1"/>
      <w:numFmt w:val="none"/>
      <w:suff w:val="nothing"/>
      <w:lvlText w:val="%1"/>
      <w:lvlJc w:val="left"/>
      <w:pPr>
        <w:ind w:left="0" w:firstLine="0"/>
      </w:pPr>
      <w:rPr>
        <w:rFonts w:hint="default"/>
        <w:u w:val="none"/>
      </w:rPr>
    </w:lvl>
    <w:lvl w:ilvl="7">
      <w:start w:val="1"/>
      <w:numFmt w:val="none"/>
      <w:suff w:val="nothing"/>
      <w:lvlText w:val=""/>
      <w:lvlJc w:val="left"/>
      <w:pPr>
        <w:ind w:left="0" w:firstLine="0"/>
      </w:pPr>
      <w:rPr>
        <w:rFonts w:hint="default"/>
        <w:u w:val="none"/>
      </w:rPr>
    </w:lvl>
    <w:lvl w:ilvl="8">
      <w:start w:val="1"/>
      <w:numFmt w:val="none"/>
      <w:suff w:val="nothing"/>
      <w:lvlText w:val="%1"/>
      <w:lvlJc w:val="left"/>
      <w:pPr>
        <w:ind w:left="0" w:firstLine="0"/>
      </w:pPr>
      <w:rPr>
        <w:rFonts w:hint="default"/>
        <w:u w:val="none"/>
      </w:rPr>
    </w:lvl>
  </w:abstractNum>
  <w:abstractNum w:abstractNumId="21" w15:restartNumberingAfterBreak="0">
    <w:nsid w:val="3D3A0A8E"/>
    <w:multiLevelType w:val="multilevel"/>
    <w:tmpl w:val="46C2EAEA"/>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1575B30"/>
    <w:multiLevelType w:val="multilevel"/>
    <w:tmpl w:val="1E3660A2"/>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23F3443"/>
    <w:multiLevelType w:val="multilevel"/>
    <w:tmpl w:val="A6687038"/>
    <w:lvl w:ilvl="0">
      <w:start w:val="1"/>
      <w:numFmt w:val="decimal"/>
      <w:lvlText w:val="%1."/>
      <w:lvlJc w:val="left"/>
      <w:pPr>
        <w:ind w:left="357" w:hanging="357"/>
      </w:pPr>
      <w:rPr>
        <w:rFonts w:hint="default"/>
      </w:rPr>
    </w:lvl>
    <w:lvl w:ilvl="1">
      <w:start w:val="1"/>
      <w:numFmt w:val="upperLetter"/>
      <w:lvlText w:val="%1.%2."/>
      <w:lvlJc w:val="left"/>
      <w:pPr>
        <w:ind w:left="567" w:hanging="567"/>
      </w:pPr>
      <w:rPr>
        <w:rFonts w:hint="default"/>
      </w:rPr>
    </w:lvl>
    <w:lvl w:ilvl="2">
      <w:numFmt w:val="decimal"/>
      <w:lvlText w:val="%1.%2.%3."/>
      <w:lvlJc w:val="left"/>
      <w:pPr>
        <w:ind w:left="709" w:hanging="709"/>
      </w:pPr>
      <w:rPr>
        <w:rFonts w:hint="default"/>
      </w:rPr>
    </w:lvl>
    <w:lvl w:ilvl="3">
      <w:start w:val="1"/>
      <w:numFmt w:val="lowerLetter"/>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5847C49"/>
    <w:multiLevelType w:val="multilevel"/>
    <w:tmpl w:val="44F4C87A"/>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369"/>
        </w:tabs>
        <w:ind w:left="369" w:hanging="36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9A13841"/>
    <w:multiLevelType w:val="multilevel"/>
    <w:tmpl w:val="D22678D4"/>
    <w:lvl w:ilvl="0">
      <w:start w:val="1"/>
      <w:numFmt w:val="decimal"/>
      <w:lvlText w:val="%1."/>
      <w:lvlJc w:val="left"/>
      <w:pPr>
        <w:ind w:left="660" w:hanging="226"/>
      </w:pPr>
      <w:rPr>
        <w:rFonts w:ascii="Arial" w:eastAsia="Arial" w:hAnsi="Arial" w:cs="Arial" w:hint="default"/>
        <w:b/>
        <w:bCs/>
        <w:spacing w:val="-2"/>
        <w:w w:val="100"/>
        <w:sz w:val="20"/>
        <w:szCs w:val="20"/>
        <w:lang w:val="fr-FR" w:eastAsia="en-US" w:bidi="ar-SA"/>
      </w:rPr>
    </w:lvl>
    <w:lvl w:ilvl="1">
      <w:start w:val="1"/>
      <w:numFmt w:val="decimal"/>
      <w:lvlText w:val="%1.%2."/>
      <w:lvlJc w:val="left"/>
      <w:pPr>
        <w:ind w:left="982" w:hanging="566"/>
      </w:pPr>
      <w:rPr>
        <w:rFonts w:ascii="Arial MT" w:eastAsia="Arial MT" w:hAnsi="Arial MT" w:cs="Arial MT" w:hint="default"/>
        <w:spacing w:val="-2"/>
        <w:w w:val="100"/>
        <w:sz w:val="20"/>
        <w:szCs w:val="20"/>
        <w:lang w:val="fr-FR" w:eastAsia="en-US" w:bidi="ar-SA"/>
      </w:rPr>
    </w:lvl>
    <w:lvl w:ilvl="2">
      <w:start w:val="1"/>
      <w:numFmt w:val="decimal"/>
      <w:lvlText w:val="%1.%2.%3."/>
      <w:lvlJc w:val="left"/>
      <w:pPr>
        <w:ind w:left="1548" w:hanging="566"/>
        <w:jc w:val="right"/>
      </w:pPr>
      <w:rPr>
        <w:rFonts w:ascii="Arial MT" w:eastAsia="Arial MT" w:hAnsi="Arial MT" w:cs="Arial MT" w:hint="default"/>
        <w:spacing w:val="-2"/>
        <w:w w:val="100"/>
        <w:sz w:val="20"/>
        <w:szCs w:val="20"/>
        <w:lang w:val="fr-FR" w:eastAsia="en-US" w:bidi="ar-SA"/>
      </w:rPr>
    </w:lvl>
    <w:lvl w:ilvl="3">
      <w:numFmt w:val="bullet"/>
      <w:lvlText w:val="•"/>
      <w:lvlJc w:val="left"/>
      <w:pPr>
        <w:ind w:left="1540" w:hanging="566"/>
      </w:pPr>
      <w:rPr>
        <w:rFonts w:hint="default"/>
        <w:lang w:val="fr-FR" w:eastAsia="en-US" w:bidi="ar-SA"/>
      </w:rPr>
    </w:lvl>
    <w:lvl w:ilvl="4">
      <w:numFmt w:val="bullet"/>
      <w:lvlText w:val="•"/>
      <w:lvlJc w:val="left"/>
      <w:pPr>
        <w:ind w:left="2809" w:hanging="566"/>
      </w:pPr>
      <w:rPr>
        <w:rFonts w:hint="default"/>
        <w:lang w:val="fr-FR" w:eastAsia="en-US" w:bidi="ar-SA"/>
      </w:rPr>
    </w:lvl>
    <w:lvl w:ilvl="5">
      <w:numFmt w:val="bullet"/>
      <w:lvlText w:val="•"/>
      <w:lvlJc w:val="left"/>
      <w:pPr>
        <w:ind w:left="4078" w:hanging="566"/>
      </w:pPr>
      <w:rPr>
        <w:rFonts w:hint="default"/>
        <w:lang w:val="fr-FR" w:eastAsia="en-US" w:bidi="ar-SA"/>
      </w:rPr>
    </w:lvl>
    <w:lvl w:ilvl="6">
      <w:numFmt w:val="bullet"/>
      <w:lvlText w:val="•"/>
      <w:lvlJc w:val="left"/>
      <w:pPr>
        <w:ind w:left="5347" w:hanging="566"/>
      </w:pPr>
      <w:rPr>
        <w:rFonts w:hint="default"/>
        <w:lang w:val="fr-FR" w:eastAsia="en-US" w:bidi="ar-SA"/>
      </w:rPr>
    </w:lvl>
    <w:lvl w:ilvl="7">
      <w:numFmt w:val="bullet"/>
      <w:lvlText w:val="•"/>
      <w:lvlJc w:val="left"/>
      <w:pPr>
        <w:ind w:left="6616" w:hanging="566"/>
      </w:pPr>
      <w:rPr>
        <w:rFonts w:hint="default"/>
        <w:lang w:val="fr-FR" w:eastAsia="en-US" w:bidi="ar-SA"/>
      </w:rPr>
    </w:lvl>
    <w:lvl w:ilvl="8">
      <w:numFmt w:val="bullet"/>
      <w:lvlText w:val="•"/>
      <w:lvlJc w:val="left"/>
      <w:pPr>
        <w:ind w:left="7885" w:hanging="566"/>
      </w:pPr>
      <w:rPr>
        <w:rFonts w:hint="default"/>
        <w:lang w:val="fr-FR" w:eastAsia="en-US" w:bidi="ar-SA"/>
      </w:rPr>
    </w:lvl>
  </w:abstractNum>
  <w:abstractNum w:abstractNumId="26" w15:restartNumberingAfterBreak="0">
    <w:nsid w:val="5A9E3A8C"/>
    <w:multiLevelType w:val="multilevel"/>
    <w:tmpl w:val="8200A2C0"/>
    <w:lvl w:ilvl="0">
      <w:start w:val="1"/>
      <w:numFmt w:val="decimal"/>
      <w:lvlText w:val="%1."/>
      <w:lvlJc w:val="left"/>
      <w:pPr>
        <w:tabs>
          <w:tab w:val="num" w:pos="255"/>
        </w:tabs>
        <w:ind w:left="255" w:hanging="255"/>
      </w:pPr>
      <w:rPr>
        <w:rFonts w:hint="default"/>
      </w:rPr>
    </w:lvl>
    <w:lvl w:ilvl="1">
      <w:start w:val="1"/>
      <w:numFmt w:val="decimal"/>
      <w:lvlText w:val="%2"/>
      <w:lvlJc w:val="left"/>
      <w:pPr>
        <w:tabs>
          <w:tab w:val="num" w:pos="0"/>
        </w:tabs>
        <w:ind w:left="0" w:firstLine="0"/>
      </w:pPr>
      <w:rPr>
        <w:rFonts w:hint="default"/>
      </w:rPr>
    </w:lvl>
    <w:lvl w:ilvl="2">
      <w:start w:val="1"/>
      <w:numFmt w:val="decimal"/>
      <w:lvlText w:val="%1.%2.%3."/>
      <w:lvlJc w:val="left"/>
      <w:pPr>
        <w:tabs>
          <w:tab w:val="num" w:pos="369"/>
        </w:tabs>
        <w:ind w:left="369" w:hanging="36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5CCA7F7E"/>
    <w:multiLevelType w:val="multilevel"/>
    <w:tmpl w:val="0936A182"/>
    <w:lvl w:ilvl="0">
      <w:start w:val="1"/>
      <w:numFmt w:val="none"/>
      <w:lvlText w:val=""/>
      <w:lvlJc w:val="left"/>
      <w:pPr>
        <w:tabs>
          <w:tab w:val="num" w:pos="0"/>
        </w:tabs>
        <w:ind w:left="0" w:firstLine="0"/>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510"/>
        </w:tabs>
        <w:ind w:left="510" w:hanging="51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28" w15:restartNumberingAfterBreak="0">
    <w:nsid w:val="5EE832AE"/>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B95EA5"/>
    <w:multiLevelType w:val="multilevel"/>
    <w:tmpl w:val="A86CA668"/>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95A7236"/>
    <w:multiLevelType w:val="multilevel"/>
    <w:tmpl w:val="84DEC9D6"/>
    <w:lvl w:ilvl="0">
      <w:start w:val="1"/>
      <w:numFmt w:val="none"/>
      <w:lvlText w:val=""/>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5%1"/>
      <w:lvlJc w:val="left"/>
      <w:pPr>
        <w:tabs>
          <w:tab w:val="num" w:pos="0"/>
        </w:tabs>
        <w:ind w:left="0" w:firstLine="0"/>
      </w:pPr>
      <w:rPr>
        <w:rFonts w:hint="default"/>
      </w:rPr>
    </w:lvl>
    <w:lvl w:ilvl="5">
      <w:start w:val="1"/>
      <w:numFmt w:val="decimal"/>
      <w:lvlText w:val="%6%1"/>
      <w:lvlJc w:val="left"/>
      <w:pPr>
        <w:tabs>
          <w:tab w:val="num" w:pos="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D911FC9"/>
    <w:multiLevelType w:val="multilevel"/>
    <w:tmpl w:val="12D85406"/>
    <w:lvl w:ilvl="0">
      <w:start w:val="1"/>
      <w:numFmt w:val="none"/>
      <w:lvlText w:val="%1"/>
      <w:lvlJc w:val="left"/>
      <w:pPr>
        <w:tabs>
          <w:tab w:val="num" w:pos="284"/>
        </w:tabs>
        <w:ind w:left="0" w:firstLine="0"/>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2.%3"/>
      <w:lvlJc w:val="left"/>
      <w:pPr>
        <w:tabs>
          <w:tab w:val="num" w:pos="284"/>
        </w:tabs>
        <w:ind w:left="284" w:hanging="284"/>
      </w:pPr>
      <w:rPr>
        <w:rFonts w:hint="default"/>
      </w:rPr>
    </w:lvl>
    <w:lvl w:ilvl="3">
      <w:start w:val="1"/>
      <w:numFmt w:val="decimal"/>
      <w:lvlText w:val="%2.%3.%4"/>
      <w:lvlJc w:val="left"/>
      <w:pPr>
        <w:tabs>
          <w:tab w:val="num" w:pos="397"/>
        </w:tabs>
        <w:ind w:left="397" w:hanging="397"/>
      </w:pPr>
      <w:rPr>
        <w:rFonts w:hint="default"/>
      </w:rPr>
    </w:lvl>
    <w:lvl w:ilvl="4">
      <w:start w:val="1"/>
      <w:numFmt w:val="none"/>
      <w:lvlText w:val=""/>
      <w:lvlJc w:val="left"/>
      <w:pPr>
        <w:tabs>
          <w:tab w:val="num" w:pos="510"/>
        </w:tabs>
        <w:ind w:left="510" w:hanging="510"/>
      </w:pPr>
      <w:rPr>
        <w:rFonts w:hint="default"/>
      </w:rPr>
    </w:lvl>
    <w:lvl w:ilvl="5">
      <w:start w:val="1"/>
      <w:numFmt w:val="none"/>
      <w:lvlText w:val=""/>
      <w:lvlJc w:val="left"/>
      <w:pPr>
        <w:tabs>
          <w:tab w:val="num" w:pos="0"/>
        </w:tabs>
        <w:ind w:left="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15:restartNumberingAfterBreak="0">
    <w:nsid w:val="70FE10F4"/>
    <w:multiLevelType w:val="multilevel"/>
    <w:tmpl w:val="192C0D2A"/>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4757776"/>
    <w:multiLevelType w:val="hybridMultilevel"/>
    <w:tmpl w:val="66A05E62"/>
    <w:lvl w:ilvl="0" w:tplc="C6204E7E">
      <w:start w:val="1"/>
      <w:numFmt w:val="bullet"/>
      <w:lvlText w:val="-"/>
      <w:lvlJc w:val="left"/>
      <w:pPr>
        <w:ind w:left="720" w:hanging="360"/>
      </w:pPr>
      <w:rPr>
        <w:rFonts w:ascii="Segoe UI" w:hAnsi="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756E43D2"/>
    <w:multiLevelType w:val="multilevel"/>
    <w:tmpl w:val="64685F3A"/>
    <w:lvl w:ilvl="0">
      <w:start w:val="1"/>
      <w:numFmt w:val="none"/>
      <w:lvlText w:val=""/>
      <w:lvlJc w:val="left"/>
      <w:pPr>
        <w:tabs>
          <w:tab w:val="num" w:pos="0"/>
        </w:tabs>
        <w:ind w:left="0" w:firstLine="0"/>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510"/>
        </w:tabs>
        <w:ind w:left="510" w:hanging="51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35" w15:restartNumberingAfterBreak="0">
    <w:nsid w:val="77D45783"/>
    <w:multiLevelType w:val="multilevel"/>
    <w:tmpl w:val="0BDE938A"/>
    <w:lvl w:ilvl="0">
      <w:start w:val="1"/>
      <w:numFmt w:val="none"/>
      <w:suff w:val="space"/>
      <w:lvlText w:val="%1"/>
      <w:lvlJc w:val="left"/>
      <w:pPr>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num w:numId="1" w16cid:durableId="1314262909">
    <w:abstractNumId w:val="0"/>
  </w:num>
  <w:num w:numId="2" w16cid:durableId="1145269808">
    <w:abstractNumId w:val="1"/>
  </w:num>
  <w:num w:numId="3" w16cid:durableId="1534344990">
    <w:abstractNumId w:val="2"/>
  </w:num>
  <w:num w:numId="4" w16cid:durableId="897280323">
    <w:abstractNumId w:val="3"/>
  </w:num>
  <w:num w:numId="5" w16cid:durableId="1805853868">
    <w:abstractNumId w:val="8"/>
  </w:num>
  <w:num w:numId="6" w16cid:durableId="314533496">
    <w:abstractNumId w:val="4"/>
  </w:num>
  <w:num w:numId="7" w16cid:durableId="1883980376">
    <w:abstractNumId w:val="5"/>
  </w:num>
  <w:num w:numId="8" w16cid:durableId="1034813803">
    <w:abstractNumId w:val="6"/>
  </w:num>
  <w:num w:numId="9" w16cid:durableId="817959922">
    <w:abstractNumId w:val="7"/>
  </w:num>
  <w:num w:numId="10" w16cid:durableId="322053551">
    <w:abstractNumId w:val="9"/>
  </w:num>
  <w:num w:numId="11" w16cid:durableId="103304311">
    <w:abstractNumId w:val="29"/>
  </w:num>
  <w:num w:numId="12" w16cid:durableId="1721704050">
    <w:abstractNumId w:val="22"/>
  </w:num>
  <w:num w:numId="13" w16cid:durableId="1008600263">
    <w:abstractNumId w:val="32"/>
  </w:num>
  <w:num w:numId="14" w16cid:durableId="1106123196">
    <w:abstractNumId w:val="24"/>
  </w:num>
  <w:num w:numId="15" w16cid:durableId="1940261584">
    <w:abstractNumId w:val="21"/>
  </w:num>
  <w:num w:numId="16" w16cid:durableId="222833232">
    <w:abstractNumId w:val="16"/>
  </w:num>
  <w:num w:numId="17" w16cid:durableId="1032918479">
    <w:abstractNumId w:val="34"/>
  </w:num>
  <w:num w:numId="18" w16cid:durableId="1193803839">
    <w:abstractNumId w:val="14"/>
  </w:num>
  <w:num w:numId="19" w16cid:durableId="1135947083">
    <w:abstractNumId w:val="17"/>
  </w:num>
  <w:num w:numId="20" w16cid:durableId="1375084818">
    <w:abstractNumId w:val="35"/>
  </w:num>
  <w:num w:numId="21" w16cid:durableId="513035372">
    <w:abstractNumId w:val="13"/>
  </w:num>
  <w:num w:numId="22" w16cid:durableId="1499149493">
    <w:abstractNumId w:val="26"/>
  </w:num>
  <w:num w:numId="23" w16cid:durableId="1955135786">
    <w:abstractNumId w:val="30"/>
  </w:num>
  <w:num w:numId="24" w16cid:durableId="2090688659">
    <w:abstractNumId w:val="19"/>
  </w:num>
  <w:num w:numId="25" w16cid:durableId="1853716206">
    <w:abstractNumId w:val="18"/>
  </w:num>
  <w:num w:numId="26" w16cid:durableId="968049407">
    <w:abstractNumId w:val="27"/>
  </w:num>
  <w:num w:numId="27" w16cid:durableId="1995910365">
    <w:abstractNumId w:val="12"/>
  </w:num>
  <w:num w:numId="28" w16cid:durableId="64766511">
    <w:abstractNumId w:val="20"/>
  </w:num>
  <w:num w:numId="29" w16cid:durableId="605844765">
    <w:abstractNumId w:val="31"/>
  </w:num>
  <w:num w:numId="30" w16cid:durableId="1014456786">
    <w:abstractNumId w:val="23"/>
  </w:num>
  <w:num w:numId="31" w16cid:durableId="1436824033">
    <w:abstractNumId w:val="9"/>
  </w:num>
  <w:num w:numId="32" w16cid:durableId="455300463">
    <w:abstractNumId w:val="7"/>
  </w:num>
  <w:num w:numId="33" w16cid:durableId="653264899">
    <w:abstractNumId w:val="10"/>
  </w:num>
  <w:num w:numId="34" w16cid:durableId="198396544">
    <w:abstractNumId w:val="5"/>
  </w:num>
  <w:num w:numId="35" w16cid:durableId="343438956">
    <w:abstractNumId w:val="4"/>
  </w:num>
  <w:num w:numId="36" w16cid:durableId="524443907">
    <w:abstractNumId w:val="8"/>
  </w:num>
  <w:num w:numId="37" w16cid:durableId="1022584723">
    <w:abstractNumId w:val="3"/>
  </w:num>
  <w:num w:numId="38" w16cid:durableId="605191238">
    <w:abstractNumId w:val="2"/>
  </w:num>
  <w:num w:numId="39" w16cid:durableId="1629388117">
    <w:abstractNumId w:val="8"/>
  </w:num>
  <w:num w:numId="40" w16cid:durableId="140267269">
    <w:abstractNumId w:val="3"/>
  </w:num>
  <w:num w:numId="41" w16cid:durableId="714701159">
    <w:abstractNumId w:val="2"/>
  </w:num>
  <w:num w:numId="42" w16cid:durableId="1295939189">
    <w:abstractNumId w:val="25"/>
  </w:num>
  <w:num w:numId="43" w16cid:durableId="943271769">
    <w:abstractNumId w:val="11"/>
  </w:num>
  <w:num w:numId="44" w16cid:durableId="2028631316">
    <w:abstractNumId w:val="28"/>
  </w:num>
  <w:num w:numId="45" w16cid:durableId="680159003">
    <w:abstractNumId w:val="15"/>
  </w:num>
  <w:num w:numId="46" w16cid:durableId="15777435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hideSpellingErrors/>
  <w:hideGrammaticalErrors/>
  <w:activeWritingStyle w:appName="MSWord" w:lang="en-GB" w:vendorID="8" w:dllVersion="513" w:checkStyle="1"/>
  <w:activeWritingStyle w:appName="MSWord" w:lang="nl-BE" w:vendorID="9" w:dllVersion="512" w:checkStyle="1"/>
  <w:activeWritingStyle w:appName="MSWord" w:lang="nl-NL" w:vendorID="9" w:dllVersion="512" w:checkStyle="1"/>
  <w:activeWritingStyle w:appName="MSWord" w:lang="fr-BE" w:vendorID="9" w:dllVersion="512" w:checkStyle="1"/>
  <w:activeWritingStyle w:appName="MSWord" w:lang="en-US" w:vendorID="8" w:dllVersion="513" w:checkStyle="1"/>
  <w:activeWritingStyle w:appName="MSWord" w:lang="nl-NL" w:vendorID="1" w:dllVersion="512" w:checkStyle="1"/>
  <w:activeWritingStyle w:appName="MSWord" w:lang="nl-BE" w:vendorID="1" w:dllVersion="512" w:checkStyle="1"/>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drawingGridHorizontalSpacing w:val="28"/>
  <w:drawingGridVerticalSpacing w:val="28"/>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A99"/>
    <w:rsid w:val="00021FFE"/>
    <w:rsid w:val="00024A9E"/>
    <w:rsid w:val="000327D2"/>
    <w:rsid w:val="0003333C"/>
    <w:rsid w:val="00036E81"/>
    <w:rsid w:val="0004319E"/>
    <w:rsid w:val="000433B6"/>
    <w:rsid w:val="000454A8"/>
    <w:rsid w:val="0004570B"/>
    <w:rsid w:val="00046F25"/>
    <w:rsid w:val="00051E31"/>
    <w:rsid w:val="00051F2C"/>
    <w:rsid w:val="00053EEF"/>
    <w:rsid w:val="00054153"/>
    <w:rsid w:val="00062C1B"/>
    <w:rsid w:val="00064AC6"/>
    <w:rsid w:val="00082FA7"/>
    <w:rsid w:val="000869C2"/>
    <w:rsid w:val="000875B3"/>
    <w:rsid w:val="00090275"/>
    <w:rsid w:val="00097598"/>
    <w:rsid w:val="000A1DA9"/>
    <w:rsid w:val="000A3128"/>
    <w:rsid w:val="000A667A"/>
    <w:rsid w:val="000A6C3F"/>
    <w:rsid w:val="000B2D72"/>
    <w:rsid w:val="000B4DEB"/>
    <w:rsid w:val="000B6441"/>
    <w:rsid w:val="000C35AA"/>
    <w:rsid w:val="000C37AB"/>
    <w:rsid w:val="000D10C0"/>
    <w:rsid w:val="000D405E"/>
    <w:rsid w:val="000E0090"/>
    <w:rsid w:val="000E2A68"/>
    <w:rsid w:val="000F1EB6"/>
    <w:rsid w:val="000F7268"/>
    <w:rsid w:val="000F7C34"/>
    <w:rsid w:val="001126F5"/>
    <w:rsid w:val="00114821"/>
    <w:rsid w:val="00117F31"/>
    <w:rsid w:val="00124312"/>
    <w:rsid w:val="00124AA8"/>
    <w:rsid w:val="00125CC4"/>
    <w:rsid w:val="0013374A"/>
    <w:rsid w:val="00133D4B"/>
    <w:rsid w:val="00133E60"/>
    <w:rsid w:val="00145EF1"/>
    <w:rsid w:val="00147746"/>
    <w:rsid w:val="00147933"/>
    <w:rsid w:val="0015124C"/>
    <w:rsid w:val="001516F5"/>
    <w:rsid w:val="0015337A"/>
    <w:rsid w:val="00154310"/>
    <w:rsid w:val="001548A9"/>
    <w:rsid w:val="00155349"/>
    <w:rsid w:val="0015659A"/>
    <w:rsid w:val="00160D31"/>
    <w:rsid w:val="00167ACD"/>
    <w:rsid w:val="00172DAF"/>
    <w:rsid w:val="00175ADE"/>
    <w:rsid w:val="001763C2"/>
    <w:rsid w:val="001767CB"/>
    <w:rsid w:val="00176A46"/>
    <w:rsid w:val="00177A87"/>
    <w:rsid w:val="00184653"/>
    <w:rsid w:val="0018615D"/>
    <w:rsid w:val="00186EC7"/>
    <w:rsid w:val="0019158E"/>
    <w:rsid w:val="001927DA"/>
    <w:rsid w:val="00197FEB"/>
    <w:rsid w:val="001A1D68"/>
    <w:rsid w:val="001A7DC7"/>
    <w:rsid w:val="001B4EEE"/>
    <w:rsid w:val="001B7F21"/>
    <w:rsid w:val="001C21B7"/>
    <w:rsid w:val="001D503F"/>
    <w:rsid w:val="001E24D6"/>
    <w:rsid w:val="001F1805"/>
    <w:rsid w:val="001F1DFF"/>
    <w:rsid w:val="001F711D"/>
    <w:rsid w:val="00200D79"/>
    <w:rsid w:val="00202B0B"/>
    <w:rsid w:val="00204BE8"/>
    <w:rsid w:val="00215E02"/>
    <w:rsid w:val="00221231"/>
    <w:rsid w:val="00223911"/>
    <w:rsid w:val="002307B0"/>
    <w:rsid w:val="00231694"/>
    <w:rsid w:val="00232CEE"/>
    <w:rsid w:val="002333AF"/>
    <w:rsid w:val="00233828"/>
    <w:rsid w:val="002406B2"/>
    <w:rsid w:val="00242A6D"/>
    <w:rsid w:val="00244E69"/>
    <w:rsid w:val="002477FA"/>
    <w:rsid w:val="00253038"/>
    <w:rsid w:val="002554D2"/>
    <w:rsid w:val="002612BF"/>
    <w:rsid w:val="00261D63"/>
    <w:rsid w:val="002754A4"/>
    <w:rsid w:val="00275C1C"/>
    <w:rsid w:val="00276804"/>
    <w:rsid w:val="00277EDB"/>
    <w:rsid w:val="002859A3"/>
    <w:rsid w:val="00287538"/>
    <w:rsid w:val="0028790D"/>
    <w:rsid w:val="002A09D0"/>
    <w:rsid w:val="002A4B21"/>
    <w:rsid w:val="002B5743"/>
    <w:rsid w:val="002C0CC4"/>
    <w:rsid w:val="002C7492"/>
    <w:rsid w:val="002D5723"/>
    <w:rsid w:val="002D75B3"/>
    <w:rsid w:val="002E10A2"/>
    <w:rsid w:val="002E15B9"/>
    <w:rsid w:val="002E409B"/>
    <w:rsid w:val="002E4D69"/>
    <w:rsid w:val="002E5144"/>
    <w:rsid w:val="002E52DF"/>
    <w:rsid w:val="002E7BDA"/>
    <w:rsid w:val="002F1611"/>
    <w:rsid w:val="002F792A"/>
    <w:rsid w:val="003116AA"/>
    <w:rsid w:val="003135E6"/>
    <w:rsid w:val="003364D4"/>
    <w:rsid w:val="00336912"/>
    <w:rsid w:val="0034123C"/>
    <w:rsid w:val="003419C5"/>
    <w:rsid w:val="00352B22"/>
    <w:rsid w:val="00353178"/>
    <w:rsid w:val="00353E3D"/>
    <w:rsid w:val="00353FEF"/>
    <w:rsid w:val="00354956"/>
    <w:rsid w:val="00357D44"/>
    <w:rsid w:val="00362513"/>
    <w:rsid w:val="00365065"/>
    <w:rsid w:val="00365FFE"/>
    <w:rsid w:val="0037530A"/>
    <w:rsid w:val="00377371"/>
    <w:rsid w:val="003802EE"/>
    <w:rsid w:val="0038095A"/>
    <w:rsid w:val="00381F4A"/>
    <w:rsid w:val="00383392"/>
    <w:rsid w:val="0038758B"/>
    <w:rsid w:val="00387716"/>
    <w:rsid w:val="00395A49"/>
    <w:rsid w:val="00397DDA"/>
    <w:rsid w:val="003B1662"/>
    <w:rsid w:val="003B755D"/>
    <w:rsid w:val="003B7866"/>
    <w:rsid w:val="003D651E"/>
    <w:rsid w:val="003D7096"/>
    <w:rsid w:val="003E4928"/>
    <w:rsid w:val="003F2836"/>
    <w:rsid w:val="003F792F"/>
    <w:rsid w:val="003F7C4E"/>
    <w:rsid w:val="004003CC"/>
    <w:rsid w:val="00401C3E"/>
    <w:rsid w:val="00406A44"/>
    <w:rsid w:val="00407822"/>
    <w:rsid w:val="00412C56"/>
    <w:rsid w:val="00420141"/>
    <w:rsid w:val="0042595A"/>
    <w:rsid w:val="004275C8"/>
    <w:rsid w:val="004314A4"/>
    <w:rsid w:val="00432231"/>
    <w:rsid w:val="00437FA4"/>
    <w:rsid w:val="004449B7"/>
    <w:rsid w:val="00450949"/>
    <w:rsid w:val="004540E1"/>
    <w:rsid w:val="00454C65"/>
    <w:rsid w:val="00456DEB"/>
    <w:rsid w:val="004619EE"/>
    <w:rsid w:val="00461B36"/>
    <w:rsid w:val="00464101"/>
    <w:rsid w:val="004679FA"/>
    <w:rsid w:val="0047056E"/>
    <w:rsid w:val="00477F18"/>
    <w:rsid w:val="00485F3C"/>
    <w:rsid w:val="004A477F"/>
    <w:rsid w:val="004A4C5C"/>
    <w:rsid w:val="004B400F"/>
    <w:rsid w:val="004C14FA"/>
    <w:rsid w:val="004C2424"/>
    <w:rsid w:val="004D12DD"/>
    <w:rsid w:val="004E136D"/>
    <w:rsid w:val="004F04DA"/>
    <w:rsid w:val="004F0F6B"/>
    <w:rsid w:val="004F41BA"/>
    <w:rsid w:val="00501DA5"/>
    <w:rsid w:val="005033DA"/>
    <w:rsid w:val="0050792E"/>
    <w:rsid w:val="0051268A"/>
    <w:rsid w:val="00517977"/>
    <w:rsid w:val="0052784F"/>
    <w:rsid w:val="00531EDA"/>
    <w:rsid w:val="00532BA6"/>
    <w:rsid w:val="005433B6"/>
    <w:rsid w:val="005502A8"/>
    <w:rsid w:val="005508CC"/>
    <w:rsid w:val="00552963"/>
    <w:rsid w:val="0055492B"/>
    <w:rsid w:val="00557A3F"/>
    <w:rsid w:val="0056043D"/>
    <w:rsid w:val="005616A3"/>
    <w:rsid w:val="00561A9A"/>
    <w:rsid w:val="00564429"/>
    <w:rsid w:val="00567693"/>
    <w:rsid w:val="0057142F"/>
    <w:rsid w:val="00571A24"/>
    <w:rsid w:val="00582D56"/>
    <w:rsid w:val="00590433"/>
    <w:rsid w:val="00592469"/>
    <w:rsid w:val="00592957"/>
    <w:rsid w:val="005932C7"/>
    <w:rsid w:val="0059396D"/>
    <w:rsid w:val="005A3DA7"/>
    <w:rsid w:val="005B17DE"/>
    <w:rsid w:val="005B3CCF"/>
    <w:rsid w:val="005B4C1C"/>
    <w:rsid w:val="005B7910"/>
    <w:rsid w:val="005C1B25"/>
    <w:rsid w:val="005C3450"/>
    <w:rsid w:val="005C3F84"/>
    <w:rsid w:val="005C6F2A"/>
    <w:rsid w:val="005E33F6"/>
    <w:rsid w:val="006107D5"/>
    <w:rsid w:val="00610B4E"/>
    <w:rsid w:val="00611E02"/>
    <w:rsid w:val="00621429"/>
    <w:rsid w:val="00627AF2"/>
    <w:rsid w:val="0063089E"/>
    <w:rsid w:val="006316A4"/>
    <w:rsid w:val="00631E3C"/>
    <w:rsid w:val="00632B6F"/>
    <w:rsid w:val="00634558"/>
    <w:rsid w:val="00635AD7"/>
    <w:rsid w:val="00635DCE"/>
    <w:rsid w:val="00637160"/>
    <w:rsid w:val="006372C7"/>
    <w:rsid w:val="006376E3"/>
    <w:rsid w:val="00645085"/>
    <w:rsid w:val="006506E6"/>
    <w:rsid w:val="00651843"/>
    <w:rsid w:val="006534D1"/>
    <w:rsid w:val="00653A88"/>
    <w:rsid w:val="006545B0"/>
    <w:rsid w:val="006602F1"/>
    <w:rsid w:val="006626A0"/>
    <w:rsid w:val="00667481"/>
    <w:rsid w:val="006703F5"/>
    <w:rsid w:val="0067198D"/>
    <w:rsid w:val="0068065A"/>
    <w:rsid w:val="00683802"/>
    <w:rsid w:val="00683AEF"/>
    <w:rsid w:val="0068679D"/>
    <w:rsid w:val="0069769C"/>
    <w:rsid w:val="00697F48"/>
    <w:rsid w:val="006A3829"/>
    <w:rsid w:val="006A3F65"/>
    <w:rsid w:val="006B164C"/>
    <w:rsid w:val="006B6BFC"/>
    <w:rsid w:val="006D5E08"/>
    <w:rsid w:val="006E7B69"/>
    <w:rsid w:val="006E7D13"/>
    <w:rsid w:val="006F41F3"/>
    <w:rsid w:val="00702DA6"/>
    <w:rsid w:val="00703965"/>
    <w:rsid w:val="00706B32"/>
    <w:rsid w:val="0071004E"/>
    <w:rsid w:val="00714070"/>
    <w:rsid w:val="007148AA"/>
    <w:rsid w:val="00730DDA"/>
    <w:rsid w:val="007333F9"/>
    <w:rsid w:val="00733829"/>
    <w:rsid w:val="00733DE9"/>
    <w:rsid w:val="00741E9C"/>
    <w:rsid w:val="007459B1"/>
    <w:rsid w:val="00750B57"/>
    <w:rsid w:val="00752FC4"/>
    <w:rsid w:val="007654E7"/>
    <w:rsid w:val="00766F4D"/>
    <w:rsid w:val="0077019B"/>
    <w:rsid w:val="00773E81"/>
    <w:rsid w:val="00776A5D"/>
    <w:rsid w:val="00785B6F"/>
    <w:rsid w:val="00787601"/>
    <w:rsid w:val="00796920"/>
    <w:rsid w:val="00797BED"/>
    <w:rsid w:val="007A1C59"/>
    <w:rsid w:val="007A1F21"/>
    <w:rsid w:val="007A3EF3"/>
    <w:rsid w:val="007A552B"/>
    <w:rsid w:val="007A6D1E"/>
    <w:rsid w:val="007B25F7"/>
    <w:rsid w:val="007B793B"/>
    <w:rsid w:val="007C6D45"/>
    <w:rsid w:val="007C7818"/>
    <w:rsid w:val="007E0494"/>
    <w:rsid w:val="007E0667"/>
    <w:rsid w:val="007E4E14"/>
    <w:rsid w:val="007E71C9"/>
    <w:rsid w:val="007F0A8C"/>
    <w:rsid w:val="007F2F04"/>
    <w:rsid w:val="007F462A"/>
    <w:rsid w:val="007F5AF5"/>
    <w:rsid w:val="007F78DB"/>
    <w:rsid w:val="00804480"/>
    <w:rsid w:val="00805AFA"/>
    <w:rsid w:val="008068B6"/>
    <w:rsid w:val="0081015C"/>
    <w:rsid w:val="00814FBE"/>
    <w:rsid w:val="00815A99"/>
    <w:rsid w:val="00821F74"/>
    <w:rsid w:val="00822375"/>
    <w:rsid w:val="00824A23"/>
    <w:rsid w:val="00836C05"/>
    <w:rsid w:val="008437C4"/>
    <w:rsid w:val="00843F67"/>
    <w:rsid w:val="00847145"/>
    <w:rsid w:val="008503E8"/>
    <w:rsid w:val="008806C5"/>
    <w:rsid w:val="00880F9E"/>
    <w:rsid w:val="00881BC1"/>
    <w:rsid w:val="008837CF"/>
    <w:rsid w:val="00896CFE"/>
    <w:rsid w:val="008977A1"/>
    <w:rsid w:val="008A38D9"/>
    <w:rsid w:val="008A6900"/>
    <w:rsid w:val="008B11AD"/>
    <w:rsid w:val="008C4032"/>
    <w:rsid w:val="008D4115"/>
    <w:rsid w:val="008E2429"/>
    <w:rsid w:val="008E266D"/>
    <w:rsid w:val="008E5948"/>
    <w:rsid w:val="008E6931"/>
    <w:rsid w:val="008E76BE"/>
    <w:rsid w:val="008F6C4D"/>
    <w:rsid w:val="0090354E"/>
    <w:rsid w:val="0090398E"/>
    <w:rsid w:val="00905D03"/>
    <w:rsid w:val="00914031"/>
    <w:rsid w:val="0092601C"/>
    <w:rsid w:val="00926F54"/>
    <w:rsid w:val="00932175"/>
    <w:rsid w:val="00935B26"/>
    <w:rsid w:val="00937808"/>
    <w:rsid w:val="00940C81"/>
    <w:rsid w:val="00942B19"/>
    <w:rsid w:val="00942EE2"/>
    <w:rsid w:val="009466D6"/>
    <w:rsid w:val="00950C45"/>
    <w:rsid w:val="00954143"/>
    <w:rsid w:val="009600D3"/>
    <w:rsid w:val="009604AE"/>
    <w:rsid w:val="00974952"/>
    <w:rsid w:val="00980D15"/>
    <w:rsid w:val="00980F5C"/>
    <w:rsid w:val="00983714"/>
    <w:rsid w:val="00985229"/>
    <w:rsid w:val="0098545D"/>
    <w:rsid w:val="00987DEA"/>
    <w:rsid w:val="00990C28"/>
    <w:rsid w:val="00991E7A"/>
    <w:rsid w:val="009939BE"/>
    <w:rsid w:val="0099418F"/>
    <w:rsid w:val="00994BF4"/>
    <w:rsid w:val="009A0346"/>
    <w:rsid w:val="009A140C"/>
    <w:rsid w:val="009B132A"/>
    <w:rsid w:val="009B6CCF"/>
    <w:rsid w:val="009B6FA0"/>
    <w:rsid w:val="009C0BC7"/>
    <w:rsid w:val="009D10D0"/>
    <w:rsid w:val="009D1225"/>
    <w:rsid w:val="009D15BD"/>
    <w:rsid w:val="009D277D"/>
    <w:rsid w:val="009D3040"/>
    <w:rsid w:val="009D3082"/>
    <w:rsid w:val="009D48F2"/>
    <w:rsid w:val="009D784B"/>
    <w:rsid w:val="009E2A0A"/>
    <w:rsid w:val="009E56DB"/>
    <w:rsid w:val="00A01013"/>
    <w:rsid w:val="00A06B19"/>
    <w:rsid w:val="00A10895"/>
    <w:rsid w:val="00A11F91"/>
    <w:rsid w:val="00A122B7"/>
    <w:rsid w:val="00A141C9"/>
    <w:rsid w:val="00A147E1"/>
    <w:rsid w:val="00A16F91"/>
    <w:rsid w:val="00A17571"/>
    <w:rsid w:val="00A22C52"/>
    <w:rsid w:val="00A2514A"/>
    <w:rsid w:val="00A25A33"/>
    <w:rsid w:val="00A267AD"/>
    <w:rsid w:val="00A32B2C"/>
    <w:rsid w:val="00A351FF"/>
    <w:rsid w:val="00A355E9"/>
    <w:rsid w:val="00A51FAA"/>
    <w:rsid w:val="00A52B3E"/>
    <w:rsid w:val="00A55A96"/>
    <w:rsid w:val="00A56340"/>
    <w:rsid w:val="00A605D0"/>
    <w:rsid w:val="00A621A5"/>
    <w:rsid w:val="00A62501"/>
    <w:rsid w:val="00A66E07"/>
    <w:rsid w:val="00A679F2"/>
    <w:rsid w:val="00A709E5"/>
    <w:rsid w:val="00A7250C"/>
    <w:rsid w:val="00A73D60"/>
    <w:rsid w:val="00A745C2"/>
    <w:rsid w:val="00A81448"/>
    <w:rsid w:val="00A849CC"/>
    <w:rsid w:val="00A876D8"/>
    <w:rsid w:val="00A912F7"/>
    <w:rsid w:val="00A925BE"/>
    <w:rsid w:val="00A973C8"/>
    <w:rsid w:val="00AA074E"/>
    <w:rsid w:val="00AA657C"/>
    <w:rsid w:val="00AB4D11"/>
    <w:rsid w:val="00AB5B67"/>
    <w:rsid w:val="00AB5F38"/>
    <w:rsid w:val="00AB66CA"/>
    <w:rsid w:val="00AB6BD9"/>
    <w:rsid w:val="00AC619F"/>
    <w:rsid w:val="00AD7BAB"/>
    <w:rsid w:val="00AE028E"/>
    <w:rsid w:val="00AE0FA5"/>
    <w:rsid w:val="00AE5973"/>
    <w:rsid w:val="00AF77D2"/>
    <w:rsid w:val="00B04933"/>
    <w:rsid w:val="00B052E8"/>
    <w:rsid w:val="00B11BB2"/>
    <w:rsid w:val="00B144C0"/>
    <w:rsid w:val="00B338D7"/>
    <w:rsid w:val="00B34FEF"/>
    <w:rsid w:val="00B352D4"/>
    <w:rsid w:val="00B402AF"/>
    <w:rsid w:val="00B404A0"/>
    <w:rsid w:val="00B41942"/>
    <w:rsid w:val="00B41EC4"/>
    <w:rsid w:val="00B44C6F"/>
    <w:rsid w:val="00B44D45"/>
    <w:rsid w:val="00B46BAE"/>
    <w:rsid w:val="00B52F2E"/>
    <w:rsid w:val="00B614D1"/>
    <w:rsid w:val="00B63B89"/>
    <w:rsid w:val="00B661C8"/>
    <w:rsid w:val="00B80CFD"/>
    <w:rsid w:val="00B908B1"/>
    <w:rsid w:val="00B92424"/>
    <w:rsid w:val="00B97B40"/>
    <w:rsid w:val="00BC351F"/>
    <w:rsid w:val="00BD69DE"/>
    <w:rsid w:val="00BD7A38"/>
    <w:rsid w:val="00BE0CD8"/>
    <w:rsid w:val="00BF29ED"/>
    <w:rsid w:val="00BF5C8A"/>
    <w:rsid w:val="00C0402A"/>
    <w:rsid w:val="00C0490F"/>
    <w:rsid w:val="00C079B3"/>
    <w:rsid w:val="00C24707"/>
    <w:rsid w:val="00C319B4"/>
    <w:rsid w:val="00C33CD7"/>
    <w:rsid w:val="00C34E1C"/>
    <w:rsid w:val="00C365AB"/>
    <w:rsid w:val="00C37D91"/>
    <w:rsid w:val="00C416DC"/>
    <w:rsid w:val="00C474DC"/>
    <w:rsid w:val="00C47857"/>
    <w:rsid w:val="00C5387A"/>
    <w:rsid w:val="00C563FE"/>
    <w:rsid w:val="00C61050"/>
    <w:rsid w:val="00C62DCA"/>
    <w:rsid w:val="00C634C5"/>
    <w:rsid w:val="00C641E4"/>
    <w:rsid w:val="00C66480"/>
    <w:rsid w:val="00C737AF"/>
    <w:rsid w:val="00C753E9"/>
    <w:rsid w:val="00C81B69"/>
    <w:rsid w:val="00C84EA1"/>
    <w:rsid w:val="00C90176"/>
    <w:rsid w:val="00C9043A"/>
    <w:rsid w:val="00C94B35"/>
    <w:rsid w:val="00C961A9"/>
    <w:rsid w:val="00CA0014"/>
    <w:rsid w:val="00CA417D"/>
    <w:rsid w:val="00CA5A74"/>
    <w:rsid w:val="00CB2202"/>
    <w:rsid w:val="00CB30C8"/>
    <w:rsid w:val="00CB4A52"/>
    <w:rsid w:val="00CC0365"/>
    <w:rsid w:val="00CC4296"/>
    <w:rsid w:val="00CC78A5"/>
    <w:rsid w:val="00CE5D84"/>
    <w:rsid w:val="00CF6318"/>
    <w:rsid w:val="00CF63B4"/>
    <w:rsid w:val="00D00492"/>
    <w:rsid w:val="00D05113"/>
    <w:rsid w:val="00D0540B"/>
    <w:rsid w:val="00D06A39"/>
    <w:rsid w:val="00D231CE"/>
    <w:rsid w:val="00D25CC0"/>
    <w:rsid w:val="00D2603A"/>
    <w:rsid w:val="00D2703D"/>
    <w:rsid w:val="00D32B1A"/>
    <w:rsid w:val="00D346B5"/>
    <w:rsid w:val="00D36C5D"/>
    <w:rsid w:val="00D423C7"/>
    <w:rsid w:val="00D45996"/>
    <w:rsid w:val="00D527DE"/>
    <w:rsid w:val="00D556C0"/>
    <w:rsid w:val="00D62D9B"/>
    <w:rsid w:val="00D63DA6"/>
    <w:rsid w:val="00D650B1"/>
    <w:rsid w:val="00D7034A"/>
    <w:rsid w:val="00D718C9"/>
    <w:rsid w:val="00D71A22"/>
    <w:rsid w:val="00D75B6C"/>
    <w:rsid w:val="00D82C98"/>
    <w:rsid w:val="00D850C8"/>
    <w:rsid w:val="00D9239E"/>
    <w:rsid w:val="00D93C38"/>
    <w:rsid w:val="00DB31C8"/>
    <w:rsid w:val="00DC0B0F"/>
    <w:rsid w:val="00DC1B28"/>
    <w:rsid w:val="00DC224C"/>
    <w:rsid w:val="00DC727C"/>
    <w:rsid w:val="00DD1A1D"/>
    <w:rsid w:val="00DD1D39"/>
    <w:rsid w:val="00DD2826"/>
    <w:rsid w:val="00DE2338"/>
    <w:rsid w:val="00DF3B32"/>
    <w:rsid w:val="00DF758C"/>
    <w:rsid w:val="00DF7D48"/>
    <w:rsid w:val="00E04E63"/>
    <w:rsid w:val="00E07CCE"/>
    <w:rsid w:val="00E13E2F"/>
    <w:rsid w:val="00E13E61"/>
    <w:rsid w:val="00E162FC"/>
    <w:rsid w:val="00E16B13"/>
    <w:rsid w:val="00E22E1D"/>
    <w:rsid w:val="00E23612"/>
    <w:rsid w:val="00E26476"/>
    <w:rsid w:val="00E26ABD"/>
    <w:rsid w:val="00E348BA"/>
    <w:rsid w:val="00E34A80"/>
    <w:rsid w:val="00E36A25"/>
    <w:rsid w:val="00E36D9F"/>
    <w:rsid w:val="00E47099"/>
    <w:rsid w:val="00E471A8"/>
    <w:rsid w:val="00E57A1E"/>
    <w:rsid w:val="00E65C86"/>
    <w:rsid w:val="00E66CEF"/>
    <w:rsid w:val="00E714F2"/>
    <w:rsid w:val="00E73749"/>
    <w:rsid w:val="00E759E4"/>
    <w:rsid w:val="00E77B8A"/>
    <w:rsid w:val="00E829D6"/>
    <w:rsid w:val="00E85C6F"/>
    <w:rsid w:val="00E87276"/>
    <w:rsid w:val="00E9511F"/>
    <w:rsid w:val="00E966D1"/>
    <w:rsid w:val="00EA2226"/>
    <w:rsid w:val="00EA33BE"/>
    <w:rsid w:val="00EB1179"/>
    <w:rsid w:val="00EB13F8"/>
    <w:rsid w:val="00EB28A5"/>
    <w:rsid w:val="00EB3741"/>
    <w:rsid w:val="00EB3F3D"/>
    <w:rsid w:val="00EB6483"/>
    <w:rsid w:val="00EB6DE0"/>
    <w:rsid w:val="00EC4B88"/>
    <w:rsid w:val="00EC5D1F"/>
    <w:rsid w:val="00ED10C8"/>
    <w:rsid w:val="00ED1B50"/>
    <w:rsid w:val="00ED445E"/>
    <w:rsid w:val="00ED687C"/>
    <w:rsid w:val="00ED6928"/>
    <w:rsid w:val="00ED7EDE"/>
    <w:rsid w:val="00EE3C1C"/>
    <w:rsid w:val="00EE5676"/>
    <w:rsid w:val="00F01DE1"/>
    <w:rsid w:val="00F063BF"/>
    <w:rsid w:val="00F120C3"/>
    <w:rsid w:val="00F17F5E"/>
    <w:rsid w:val="00F21513"/>
    <w:rsid w:val="00F24DB0"/>
    <w:rsid w:val="00F31133"/>
    <w:rsid w:val="00F32E26"/>
    <w:rsid w:val="00F35F9D"/>
    <w:rsid w:val="00F427B1"/>
    <w:rsid w:val="00F4604C"/>
    <w:rsid w:val="00F55AC8"/>
    <w:rsid w:val="00F57B63"/>
    <w:rsid w:val="00F62B97"/>
    <w:rsid w:val="00F63335"/>
    <w:rsid w:val="00F64E38"/>
    <w:rsid w:val="00F65486"/>
    <w:rsid w:val="00F675A7"/>
    <w:rsid w:val="00F747FC"/>
    <w:rsid w:val="00F76523"/>
    <w:rsid w:val="00F835DA"/>
    <w:rsid w:val="00F83D25"/>
    <w:rsid w:val="00F8549F"/>
    <w:rsid w:val="00F917ED"/>
    <w:rsid w:val="00F97595"/>
    <w:rsid w:val="00FA14B8"/>
    <w:rsid w:val="00FA56DE"/>
    <w:rsid w:val="00FA7F8D"/>
    <w:rsid w:val="00FE222C"/>
    <w:rsid w:val="00FE24A6"/>
    <w:rsid w:val="00FF53D1"/>
    <w:rsid w:val="00FF674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C9FBE"/>
  <w15:docId w15:val="{B258C63C-F78D-441F-8093-A967D18A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nl-B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1EC4"/>
    <w:pPr>
      <w:spacing w:line="260" w:lineRule="atLeast"/>
    </w:pPr>
    <w:rPr>
      <w:rFonts w:ascii="Arial" w:hAnsi="Arial"/>
      <w:lang w:eastAsia="en-US"/>
    </w:rPr>
  </w:style>
  <w:style w:type="paragraph" w:styleId="Heading1">
    <w:name w:val="heading 1"/>
    <w:basedOn w:val="Normal"/>
    <w:next w:val="Normal"/>
    <w:uiPriority w:val="9"/>
    <w:qFormat/>
    <w:rsid w:val="00B41EC4"/>
    <w:pPr>
      <w:keepNext/>
      <w:keepLines/>
      <w:spacing w:before="480" w:after="240"/>
      <w:outlineLvl w:val="0"/>
    </w:pPr>
    <w:rPr>
      <w:b/>
      <w:caps/>
      <w:u w:val="single"/>
    </w:rPr>
  </w:style>
  <w:style w:type="paragraph" w:styleId="Heading2">
    <w:name w:val="heading 2"/>
    <w:basedOn w:val="Normal"/>
    <w:next w:val="Normal"/>
    <w:qFormat/>
    <w:rsid w:val="00B41EC4"/>
    <w:pPr>
      <w:keepNext/>
      <w:keepLines/>
      <w:spacing w:before="240" w:after="240"/>
      <w:outlineLvl w:val="1"/>
    </w:pPr>
    <w:rPr>
      <w:caps/>
      <w:u w:val="single"/>
    </w:rPr>
  </w:style>
  <w:style w:type="paragraph" w:styleId="Heading3">
    <w:name w:val="heading 3"/>
    <w:basedOn w:val="Normal"/>
    <w:next w:val="Normal"/>
    <w:qFormat/>
    <w:rsid w:val="00B41EC4"/>
    <w:pPr>
      <w:keepNext/>
      <w:keepLines/>
      <w:spacing w:before="240" w:after="120"/>
      <w:outlineLvl w:val="2"/>
    </w:pPr>
    <w:rPr>
      <w:u w:val="single"/>
    </w:rPr>
  </w:style>
  <w:style w:type="paragraph" w:styleId="Heading4">
    <w:name w:val="heading 4"/>
    <w:basedOn w:val="Normal"/>
    <w:next w:val="Normal"/>
    <w:qFormat/>
    <w:rsid w:val="00B41EC4"/>
    <w:pPr>
      <w:keepNext/>
      <w:keepLines/>
      <w:spacing w:before="120" w:after="120"/>
      <w:outlineLvl w:val="3"/>
    </w:pPr>
    <w:rPr>
      <w:u w:val="single"/>
    </w:rPr>
  </w:style>
  <w:style w:type="paragraph" w:styleId="Heading5">
    <w:name w:val="heading 5"/>
    <w:basedOn w:val="Normal"/>
    <w:next w:val="Normal"/>
    <w:qFormat/>
    <w:rsid w:val="00B41EC4"/>
    <w:pPr>
      <w:keepNext/>
      <w:keepLines/>
      <w:spacing w:before="120" w:after="120"/>
      <w:outlineLvl w:val="4"/>
    </w:pPr>
    <w:rPr>
      <w:u w:val="single"/>
    </w:rPr>
  </w:style>
  <w:style w:type="paragraph" w:styleId="Heading6">
    <w:name w:val="heading 6"/>
    <w:basedOn w:val="Normal"/>
    <w:next w:val="Normal"/>
    <w:qFormat/>
    <w:rsid w:val="00B41EC4"/>
    <w:pPr>
      <w:keepNext/>
      <w:keepLines/>
      <w:spacing w:before="120" w:after="120"/>
      <w:outlineLvl w:val="5"/>
    </w:pPr>
    <w:rPr>
      <w:u w:val="single"/>
    </w:rPr>
  </w:style>
  <w:style w:type="paragraph" w:styleId="Heading7">
    <w:name w:val="heading 7"/>
    <w:basedOn w:val="Normal"/>
    <w:next w:val="Normal"/>
    <w:qFormat/>
    <w:rsid w:val="00B41EC4"/>
    <w:pPr>
      <w:keepNext/>
      <w:keepLines/>
      <w:spacing w:before="120" w:after="120"/>
      <w:outlineLvl w:val="6"/>
    </w:pPr>
    <w:rPr>
      <w:u w:val="single"/>
    </w:rPr>
  </w:style>
  <w:style w:type="paragraph" w:styleId="Heading8">
    <w:name w:val="heading 8"/>
    <w:basedOn w:val="Normal"/>
    <w:next w:val="Normal"/>
    <w:qFormat/>
    <w:rsid w:val="00B41EC4"/>
    <w:pPr>
      <w:keepNext/>
      <w:keepLines/>
      <w:spacing w:before="120" w:after="120"/>
      <w:outlineLvl w:val="7"/>
    </w:pPr>
    <w:rPr>
      <w:u w:val="single"/>
    </w:rPr>
  </w:style>
  <w:style w:type="paragraph" w:styleId="Heading9">
    <w:name w:val="heading 9"/>
    <w:basedOn w:val="Normal"/>
    <w:next w:val="Normal"/>
    <w:qFormat/>
    <w:rsid w:val="00B41EC4"/>
    <w:pPr>
      <w:keepNext/>
      <w:keepLines/>
      <w:spacing w:before="120" w:after="120"/>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jetOnderwerp">
    <w:name w:val="Sujet/Onderwerp"/>
    <w:uiPriority w:val="2"/>
    <w:rsid w:val="006372C7"/>
    <w:pPr>
      <w:spacing w:line="264" w:lineRule="atLeast"/>
    </w:pPr>
    <w:rPr>
      <w:rFonts w:ascii="Arial" w:hAnsi="Arial"/>
      <w:b/>
      <w:noProof/>
      <w:szCs w:val="16"/>
      <w:lang w:eastAsia="en-US"/>
    </w:rPr>
  </w:style>
  <w:style w:type="paragraph" w:styleId="TOC5">
    <w:name w:val="toc 5"/>
    <w:basedOn w:val="Normal"/>
    <w:next w:val="Normal"/>
    <w:autoRedefine/>
    <w:semiHidden/>
    <w:rsid w:val="00C33CD7"/>
    <w:pPr>
      <w:keepLines/>
      <w:tabs>
        <w:tab w:val="right" w:leader="dot" w:pos="9639"/>
      </w:tabs>
      <w:ind w:right="567"/>
    </w:pPr>
  </w:style>
  <w:style w:type="paragraph" w:styleId="TOC4">
    <w:name w:val="toc 4"/>
    <w:basedOn w:val="Normal"/>
    <w:next w:val="Normal"/>
    <w:autoRedefine/>
    <w:semiHidden/>
    <w:rsid w:val="00C33CD7"/>
    <w:pPr>
      <w:keepLines/>
      <w:tabs>
        <w:tab w:val="right" w:leader="dot" w:pos="9639"/>
      </w:tabs>
      <w:ind w:left="714" w:right="567" w:hanging="714"/>
    </w:pPr>
  </w:style>
  <w:style w:type="paragraph" w:styleId="TOC3">
    <w:name w:val="toc 3"/>
    <w:basedOn w:val="Normal"/>
    <w:next w:val="Normal"/>
    <w:autoRedefine/>
    <w:semiHidden/>
    <w:rsid w:val="00C33CD7"/>
    <w:pPr>
      <w:keepLines/>
      <w:tabs>
        <w:tab w:val="right" w:leader="dot" w:pos="9639"/>
      </w:tabs>
      <w:ind w:left="556" w:right="567" w:hanging="556"/>
    </w:pPr>
  </w:style>
  <w:style w:type="paragraph" w:styleId="TOC2">
    <w:name w:val="toc 2"/>
    <w:basedOn w:val="Normal"/>
    <w:next w:val="Normal"/>
    <w:autoRedefine/>
    <w:semiHidden/>
    <w:rsid w:val="00C33CD7"/>
    <w:pPr>
      <w:keepLines/>
      <w:tabs>
        <w:tab w:val="right" w:leader="dot" w:pos="9639"/>
      </w:tabs>
      <w:ind w:left="397" w:right="567" w:hanging="397"/>
    </w:pPr>
  </w:style>
  <w:style w:type="paragraph" w:styleId="TOC1">
    <w:name w:val="toc 1"/>
    <w:basedOn w:val="Normal"/>
    <w:next w:val="Normal"/>
    <w:autoRedefine/>
    <w:semiHidden/>
    <w:rsid w:val="00C33CD7"/>
    <w:pPr>
      <w:keepLines/>
      <w:tabs>
        <w:tab w:val="right" w:leader="dot" w:pos="9639"/>
      </w:tabs>
      <w:ind w:left="227" w:right="567" w:hanging="227"/>
    </w:pPr>
  </w:style>
  <w:style w:type="paragraph" w:styleId="Footer">
    <w:name w:val="footer"/>
    <w:basedOn w:val="Normal"/>
    <w:semiHidden/>
    <w:rsid w:val="00147933"/>
    <w:pPr>
      <w:tabs>
        <w:tab w:val="center" w:pos="4678"/>
        <w:tab w:val="right" w:pos="9356"/>
      </w:tabs>
      <w:spacing w:line="240" w:lineRule="auto"/>
    </w:pPr>
    <w:rPr>
      <w:sz w:val="18"/>
    </w:rPr>
  </w:style>
  <w:style w:type="paragraph" w:styleId="Header">
    <w:name w:val="header"/>
    <w:basedOn w:val="Normal"/>
    <w:semiHidden/>
    <w:rsid w:val="00DC727C"/>
    <w:pPr>
      <w:tabs>
        <w:tab w:val="center" w:pos="4394"/>
        <w:tab w:val="right" w:pos="8789"/>
      </w:tabs>
      <w:spacing w:line="240" w:lineRule="auto"/>
    </w:pPr>
  </w:style>
  <w:style w:type="character" w:styleId="FootnoteReference">
    <w:name w:val="footnote reference"/>
    <w:basedOn w:val="DefaultParagraphFont"/>
    <w:uiPriority w:val="99"/>
    <w:semiHidden/>
    <w:rsid w:val="00D556C0"/>
    <w:rPr>
      <w:rFonts w:ascii="Arial" w:hAnsi="Arial"/>
      <w:spacing w:val="0"/>
      <w:position w:val="6"/>
      <w:sz w:val="16"/>
      <w:szCs w:val="16"/>
    </w:rPr>
  </w:style>
  <w:style w:type="paragraph" w:styleId="FootnoteText">
    <w:name w:val="footnote text"/>
    <w:basedOn w:val="Normal"/>
    <w:link w:val="FootnoteTextChar"/>
    <w:uiPriority w:val="99"/>
    <w:semiHidden/>
    <w:rsid w:val="00B41EC4"/>
    <w:pPr>
      <w:spacing w:line="240" w:lineRule="atLeast"/>
      <w:ind w:left="284" w:hanging="284"/>
    </w:pPr>
    <w:rPr>
      <w:sz w:val="18"/>
    </w:rPr>
  </w:style>
  <w:style w:type="paragraph" w:styleId="MacroText">
    <w:name w:val="macro"/>
    <w:semiHidden/>
    <w:rsid w:val="00DC727C"/>
    <w:pPr>
      <w:tabs>
        <w:tab w:val="left" w:pos="567"/>
        <w:tab w:val="left" w:pos="1134"/>
        <w:tab w:val="left" w:pos="1701"/>
        <w:tab w:val="left" w:pos="2268"/>
        <w:tab w:val="left" w:pos="2835"/>
      </w:tabs>
      <w:spacing w:line="240" w:lineRule="atLeast"/>
    </w:pPr>
    <w:rPr>
      <w:lang w:eastAsia="en-US"/>
    </w:rPr>
  </w:style>
  <w:style w:type="paragraph" w:styleId="TOC6">
    <w:name w:val="toc 6"/>
    <w:basedOn w:val="Normal"/>
    <w:next w:val="Normal"/>
    <w:autoRedefine/>
    <w:semiHidden/>
    <w:rsid w:val="00C33CD7"/>
    <w:pPr>
      <w:keepLines/>
      <w:tabs>
        <w:tab w:val="right" w:leader="dot" w:pos="9639"/>
      </w:tabs>
      <w:ind w:right="567"/>
    </w:pPr>
  </w:style>
  <w:style w:type="paragraph" w:styleId="TOC7">
    <w:name w:val="toc 7"/>
    <w:basedOn w:val="Normal"/>
    <w:next w:val="Normal"/>
    <w:semiHidden/>
    <w:rsid w:val="00DC727C"/>
    <w:pPr>
      <w:keepLines/>
      <w:tabs>
        <w:tab w:val="right" w:leader="dot" w:pos="8789"/>
      </w:tabs>
      <w:ind w:left="1219" w:right="567" w:hanging="1219"/>
    </w:pPr>
  </w:style>
  <w:style w:type="paragraph" w:styleId="TOC8">
    <w:name w:val="toc 8"/>
    <w:basedOn w:val="Normal"/>
    <w:next w:val="Normal"/>
    <w:semiHidden/>
    <w:rsid w:val="00DC727C"/>
    <w:pPr>
      <w:keepLines/>
      <w:tabs>
        <w:tab w:val="right" w:leader="dot" w:pos="8789"/>
      </w:tabs>
      <w:ind w:left="1378" w:right="567" w:hanging="1378"/>
    </w:pPr>
  </w:style>
  <w:style w:type="paragraph" w:styleId="TOC9">
    <w:name w:val="toc 9"/>
    <w:basedOn w:val="Normal"/>
    <w:next w:val="Normal"/>
    <w:semiHidden/>
    <w:rsid w:val="00DC727C"/>
    <w:pPr>
      <w:keepLines/>
      <w:tabs>
        <w:tab w:val="right" w:leader="dot" w:pos="8789"/>
      </w:tabs>
      <w:ind w:left="1548" w:right="567" w:hanging="1548"/>
    </w:pPr>
  </w:style>
  <w:style w:type="character" w:styleId="PageNumber">
    <w:name w:val="page number"/>
    <w:basedOn w:val="DefaultParagraphFont"/>
    <w:semiHidden/>
    <w:rsid w:val="008E6931"/>
  </w:style>
  <w:style w:type="table" w:styleId="TableGrid">
    <w:name w:val="Table Grid"/>
    <w:basedOn w:val="TableNormal"/>
    <w:rsid w:val="005B4C1C"/>
    <w:pPr>
      <w:spacing w:line="240" w:lineRule="atLeast"/>
    </w:pPr>
    <w:rPr>
      <w:rFonts w:ascii="Arial" w:hAnsi="Arial"/>
    </w:rPr>
    <w:tblPr/>
  </w:style>
  <w:style w:type="character" w:styleId="Hyperlink">
    <w:name w:val="Hyperlink"/>
    <w:basedOn w:val="DefaultParagraphFont"/>
    <w:semiHidden/>
    <w:rsid w:val="00571A24"/>
    <w:rPr>
      <w:color w:val="0000FF"/>
      <w:u w:val="single"/>
    </w:rPr>
  </w:style>
  <w:style w:type="paragraph" w:customStyle="1" w:styleId="DpartementDepartement">
    <w:name w:val="Département/Departement"/>
    <w:next w:val="Normal"/>
    <w:rsid w:val="00E04E63"/>
    <w:pPr>
      <w:spacing w:line="240" w:lineRule="exact"/>
    </w:pPr>
    <w:rPr>
      <w:rFonts w:ascii="Arial" w:hAnsi="Arial"/>
      <w:b/>
      <w:noProof/>
      <w:sz w:val="18"/>
      <w:szCs w:val="16"/>
      <w:lang w:eastAsia="en-US"/>
    </w:rPr>
  </w:style>
  <w:style w:type="paragraph" w:customStyle="1" w:styleId="ServiceDienst">
    <w:name w:val="Service/Dienst"/>
    <w:next w:val="Normal"/>
    <w:rsid w:val="00E04E63"/>
    <w:pPr>
      <w:spacing w:line="240" w:lineRule="exact"/>
    </w:pPr>
    <w:rPr>
      <w:rFonts w:ascii="Arial" w:hAnsi="Arial"/>
      <w:noProof/>
      <w:sz w:val="17"/>
      <w:szCs w:val="16"/>
      <w:lang w:eastAsia="en-US"/>
    </w:rPr>
  </w:style>
  <w:style w:type="paragraph" w:customStyle="1" w:styleId="SectionSectie">
    <w:name w:val="Section/Sectie"/>
    <w:next w:val="Normal"/>
    <w:semiHidden/>
    <w:rsid w:val="0081015C"/>
    <w:pPr>
      <w:spacing w:line="220" w:lineRule="exact"/>
    </w:pPr>
    <w:rPr>
      <w:rFonts w:ascii="Arial" w:hAnsi="Arial"/>
      <w:noProof/>
      <w:sz w:val="14"/>
      <w:szCs w:val="16"/>
      <w:lang w:eastAsia="en-US"/>
    </w:rPr>
  </w:style>
  <w:style w:type="paragraph" w:customStyle="1" w:styleId="TitreTitel">
    <w:name w:val="Titre/Titel"/>
    <w:rsid w:val="00EB3741"/>
    <w:pPr>
      <w:spacing w:line="260" w:lineRule="atLeast"/>
    </w:pPr>
    <w:rPr>
      <w:rFonts w:ascii="Arial" w:hAnsi="Arial"/>
      <w:b/>
      <w:noProof/>
      <w:sz w:val="28"/>
      <w:szCs w:val="16"/>
      <w:lang w:eastAsia="en-US"/>
    </w:rPr>
  </w:style>
  <w:style w:type="paragraph" w:customStyle="1" w:styleId="AdresseAdres">
    <w:name w:val="Adresse/Adres"/>
    <w:rsid w:val="00A605D0"/>
    <w:pPr>
      <w:spacing w:line="160" w:lineRule="exact"/>
    </w:pPr>
    <w:rPr>
      <w:rFonts w:ascii="Arial" w:hAnsi="Arial"/>
      <w:noProof/>
      <w:sz w:val="13"/>
      <w:szCs w:val="16"/>
      <w:lang w:eastAsia="en-US"/>
    </w:rPr>
  </w:style>
  <w:style w:type="paragraph" w:customStyle="1" w:styleId="BNBNBB">
    <w:name w:val="BNB/NBB"/>
    <w:next w:val="AdresseAdres"/>
    <w:semiHidden/>
    <w:rsid w:val="00A605D0"/>
    <w:pPr>
      <w:spacing w:line="160" w:lineRule="exact"/>
    </w:pPr>
    <w:rPr>
      <w:rFonts w:ascii="Arial" w:hAnsi="Arial"/>
      <w:b/>
      <w:noProof/>
      <w:sz w:val="13"/>
      <w:szCs w:val="16"/>
      <w:lang w:eastAsia="en-US"/>
    </w:rPr>
  </w:style>
  <w:style w:type="paragraph" w:customStyle="1" w:styleId="IntroductionInleiding">
    <w:name w:val="Introduction/Inleiding"/>
    <w:basedOn w:val="Normal"/>
    <w:uiPriority w:val="4"/>
    <w:qFormat/>
    <w:rsid w:val="00276804"/>
    <w:pPr>
      <w:spacing w:after="260"/>
    </w:pPr>
    <w:rPr>
      <w:i/>
      <w:sz w:val="22"/>
    </w:rPr>
  </w:style>
  <w:style w:type="paragraph" w:customStyle="1" w:styleId="Sous-titreOndertitel">
    <w:name w:val="Sous-titre/Ondertitel"/>
    <w:basedOn w:val="Normal"/>
    <w:uiPriority w:val="3"/>
    <w:qFormat/>
    <w:rsid w:val="001E24D6"/>
    <w:pPr>
      <w:spacing w:before="240" w:after="120"/>
    </w:pPr>
    <w:rPr>
      <w:szCs w:val="22"/>
      <w:u w:val="single"/>
    </w:rPr>
  </w:style>
  <w:style w:type="paragraph" w:styleId="BalloonText">
    <w:name w:val="Balloon Text"/>
    <w:basedOn w:val="Normal"/>
    <w:link w:val="BalloonTextChar"/>
    <w:semiHidden/>
    <w:rsid w:val="00FE24A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65065"/>
    <w:rPr>
      <w:rFonts w:ascii="Tahoma" w:hAnsi="Tahoma" w:cs="Tahoma"/>
      <w:sz w:val="16"/>
      <w:szCs w:val="16"/>
      <w:lang w:val="en-GB" w:eastAsia="en-US"/>
    </w:rPr>
  </w:style>
  <w:style w:type="paragraph" w:customStyle="1" w:styleId="BoiteVakje">
    <w:name w:val="Boite/Vakje"/>
    <w:qFormat/>
    <w:rsid w:val="00FE24A6"/>
    <w:pPr>
      <w:spacing w:line="200" w:lineRule="atLeast"/>
    </w:pPr>
    <w:rPr>
      <w:rFonts w:ascii="Arial" w:hAnsi="Arial"/>
      <w:sz w:val="14"/>
      <w:szCs w:val="14"/>
      <w:lang w:eastAsia="en-US"/>
    </w:rPr>
  </w:style>
  <w:style w:type="paragraph" w:customStyle="1" w:styleId="BoitetexteVakjetekst">
    <w:name w:val="Boite_texte/Vakje_tekst"/>
    <w:basedOn w:val="BoiteVakje"/>
    <w:qFormat/>
    <w:rsid w:val="00FE24A6"/>
    <w:rPr>
      <w:sz w:val="16"/>
      <w:szCs w:val="16"/>
    </w:rPr>
  </w:style>
  <w:style w:type="paragraph" w:customStyle="1" w:styleId="Heading4Continue">
    <w:name w:val="Heading 4 Continue"/>
    <w:basedOn w:val="Normal"/>
    <w:qFormat/>
    <w:rsid w:val="007A552B"/>
    <w:pPr>
      <w:ind w:left="993"/>
    </w:pPr>
  </w:style>
  <w:style w:type="paragraph" w:customStyle="1" w:styleId="SignaturesHandtekeningen">
    <w:name w:val="Signatures/Handtekeningen"/>
    <w:basedOn w:val="Normal"/>
    <w:qFormat/>
    <w:rsid w:val="00E348BA"/>
    <w:pPr>
      <w:tabs>
        <w:tab w:val="left" w:pos="3402"/>
      </w:tabs>
    </w:pPr>
  </w:style>
  <w:style w:type="paragraph" w:customStyle="1" w:styleId="TextBox">
    <w:name w:val="TextBox"/>
    <w:uiPriority w:val="5"/>
    <w:qFormat/>
    <w:rsid w:val="00C34E1C"/>
    <w:pPr>
      <w:pBdr>
        <w:top w:val="single" w:sz="6" w:space="12" w:color="auto"/>
        <w:left w:val="single" w:sz="6" w:space="10" w:color="auto"/>
        <w:bottom w:val="single" w:sz="6" w:space="12" w:color="auto"/>
        <w:right w:val="single" w:sz="6" w:space="10" w:color="auto"/>
      </w:pBdr>
      <w:spacing w:after="120"/>
      <w:ind w:left="227" w:right="227"/>
    </w:pPr>
    <w:rPr>
      <w:rFonts w:ascii="Arial" w:hAnsi="Arial"/>
      <w:lang w:eastAsia="en-US"/>
    </w:rPr>
  </w:style>
  <w:style w:type="paragraph" w:styleId="ListBullet">
    <w:name w:val="List Bullet"/>
    <w:basedOn w:val="Normal"/>
    <w:unhideWhenUsed/>
    <w:qFormat/>
    <w:rsid w:val="00B41EC4"/>
    <w:pPr>
      <w:numPr>
        <w:numId w:val="31"/>
      </w:numPr>
      <w:contextualSpacing/>
    </w:pPr>
  </w:style>
  <w:style w:type="paragraph" w:styleId="ListBullet2">
    <w:name w:val="List Bullet 2"/>
    <w:basedOn w:val="Normal"/>
    <w:unhideWhenUsed/>
    <w:qFormat/>
    <w:rsid w:val="00B41EC4"/>
    <w:pPr>
      <w:numPr>
        <w:numId w:val="32"/>
      </w:numPr>
      <w:contextualSpacing/>
    </w:pPr>
  </w:style>
  <w:style w:type="paragraph" w:styleId="ListBullet3">
    <w:name w:val="List Bullet 3"/>
    <w:basedOn w:val="Normal"/>
    <w:unhideWhenUsed/>
    <w:qFormat/>
    <w:rsid w:val="00B41EC4"/>
    <w:pPr>
      <w:numPr>
        <w:numId w:val="33"/>
      </w:numPr>
      <w:contextualSpacing/>
    </w:pPr>
  </w:style>
  <w:style w:type="paragraph" w:styleId="ListBullet4">
    <w:name w:val="List Bullet 4"/>
    <w:basedOn w:val="Normal"/>
    <w:unhideWhenUsed/>
    <w:qFormat/>
    <w:rsid w:val="00B41EC4"/>
    <w:pPr>
      <w:numPr>
        <w:numId w:val="34"/>
      </w:numPr>
      <w:contextualSpacing/>
    </w:pPr>
  </w:style>
  <w:style w:type="paragraph" w:styleId="ListBullet5">
    <w:name w:val="List Bullet 5"/>
    <w:basedOn w:val="Normal"/>
    <w:unhideWhenUsed/>
    <w:qFormat/>
    <w:rsid w:val="00B41EC4"/>
    <w:pPr>
      <w:numPr>
        <w:numId w:val="35"/>
      </w:numPr>
      <w:contextualSpacing/>
    </w:pPr>
  </w:style>
  <w:style w:type="paragraph" w:styleId="ListNumber">
    <w:name w:val="List Number"/>
    <w:basedOn w:val="Normal"/>
    <w:unhideWhenUsed/>
    <w:qFormat/>
    <w:rsid w:val="00B41EC4"/>
    <w:pPr>
      <w:numPr>
        <w:numId w:val="39"/>
      </w:numPr>
      <w:contextualSpacing/>
    </w:pPr>
  </w:style>
  <w:style w:type="paragraph" w:styleId="ListNumber2">
    <w:name w:val="List Number 2"/>
    <w:basedOn w:val="Normal"/>
    <w:unhideWhenUsed/>
    <w:qFormat/>
    <w:rsid w:val="00B41EC4"/>
    <w:pPr>
      <w:numPr>
        <w:numId w:val="40"/>
      </w:numPr>
      <w:contextualSpacing/>
    </w:pPr>
  </w:style>
  <w:style w:type="paragraph" w:styleId="ListNumber3">
    <w:name w:val="List Number 3"/>
    <w:basedOn w:val="Normal"/>
    <w:unhideWhenUsed/>
    <w:qFormat/>
    <w:rsid w:val="00B41EC4"/>
    <w:pPr>
      <w:numPr>
        <w:numId w:val="41"/>
      </w:numPr>
      <w:contextualSpacing/>
    </w:pPr>
  </w:style>
  <w:style w:type="character" w:styleId="UnresolvedMention">
    <w:name w:val="Unresolved Mention"/>
    <w:basedOn w:val="DefaultParagraphFont"/>
    <w:uiPriority w:val="99"/>
    <w:semiHidden/>
    <w:unhideWhenUsed/>
    <w:rsid w:val="00703965"/>
    <w:rPr>
      <w:color w:val="605E5C"/>
      <w:shd w:val="clear" w:color="auto" w:fill="E1DFDD"/>
    </w:rPr>
  </w:style>
  <w:style w:type="paragraph" w:customStyle="1" w:styleId="AnnexeBijlage">
    <w:name w:val="Annexe/Bijlage"/>
    <w:uiPriority w:val="1"/>
    <w:rsid w:val="00926F54"/>
    <w:pPr>
      <w:spacing w:line="260" w:lineRule="atLeast"/>
    </w:pPr>
    <w:rPr>
      <w:rFonts w:ascii="Arial" w:hAnsi="Arial"/>
      <w:b/>
      <w:noProof/>
      <w:sz w:val="24"/>
      <w:szCs w:val="16"/>
      <w:lang w:eastAsia="en-US"/>
    </w:rPr>
  </w:style>
  <w:style w:type="paragraph" w:styleId="BodyText">
    <w:name w:val="Body Text"/>
    <w:basedOn w:val="Normal"/>
    <w:link w:val="BodyTextChar"/>
    <w:uiPriority w:val="1"/>
    <w:qFormat/>
    <w:rsid w:val="00147746"/>
    <w:pPr>
      <w:widowControl w:val="0"/>
      <w:autoSpaceDE w:val="0"/>
      <w:autoSpaceDN w:val="0"/>
      <w:spacing w:line="240" w:lineRule="auto"/>
    </w:pPr>
    <w:rPr>
      <w:rFonts w:ascii="Arial MT" w:eastAsia="Arial MT" w:hAnsi="Arial MT" w:cs="Arial MT"/>
    </w:rPr>
  </w:style>
  <w:style w:type="character" w:customStyle="1" w:styleId="BodyTextChar">
    <w:name w:val="Body Text Char"/>
    <w:basedOn w:val="DefaultParagraphFont"/>
    <w:link w:val="BodyText"/>
    <w:uiPriority w:val="1"/>
    <w:rsid w:val="00147746"/>
    <w:rPr>
      <w:rFonts w:ascii="Arial MT" w:eastAsia="Arial MT" w:hAnsi="Arial MT" w:cs="Arial MT"/>
      <w:lang w:val="en-GB" w:eastAsia="en-US"/>
    </w:rPr>
  </w:style>
  <w:style w:type="paragraph" w:styleId="ListParagraph">
    <w:name w:val="List Paragraph"/>
    <w:basedOn w:val="Normal"/>
    <w:uiPriority w:val="34"/>
    <w:qFormat/>
    <w:rsid w:val="00147746"/>
    <w:pPr>
      <w:widowControl w:val="0"/>
      <w:autoSpaceDE w:val="0"/>
      <w:autoSpaceDN w:val="0"/>
      <w:spacing w:line="240" w:lineRule="auto"/>
      <w:ind w:left="1265" w:hanging="567"/>
      <w:jc w:val="both"/>
    </w:pPr>
    <w:rPr>
      <w:rFonts w:ascii="Arial MT" w:eastAsia="Arial MT" w:hAnsi="Arial MT" w:cs="Arial MT"/>
      <w:sz w:val="22"/>
      <w:szCs w:val="22"/>
    </w:rPr>
  </w:style>
  <w:style w:type="paragraph" w:customStyle="1" w:styleId="InstructionsText">
    <w:name w:val="Instructions Text"/>
    <w:basedOn w:val="Normal"/>
    <w:link w:val="InstructionsTextChar"/>
    <w:autoRedefine/>
    <w:rsid w:val="005508CC"/>
    <w:pPr>
      <w:spacing w:after="120" w:line="240" w:lineRule="auto"/>
      <w:jc w:val="both"/>
    </w:pPr>
    <w:rPr>
      <w:rFonts w:ascii="Times New Roman" w:hAnsi="Times New Roman"/>
      <w:sz w:val="24"/>
      <w:szCs w:val="24"/>
      <w:lang w:eastAsia="de-DE"/>
    </w:rPr>
  </w:style>
  <w:style w:type="character" w:customStyle="1" w:styleId="InstructionsTabelleberschrift">
    <w:name w:val="Instructions Tabelle Überschrift"/>
    <w:qFormat/>
    <w:rsid w:val="00147746"/>
    <w:rPr>
      <w:rFonts w:ascii="Verdana" w:hAnsi="Verdana" w:cs="Times New Roman"/>
      <w:b/>
      <w:bCs/>
      <w:sz w:val="20"/>
      <w:u w:val="single"/>
    </w:rPr>
  </w:style>
  <w:style w:type="character" w:customStyle="1" w:styleId="InstructionsTabelleText">
    <w:name w:val="Instructions Tabelle Text"/>
    <w:rsid w:val="00147746"/>
    <w:rPr>
      <w:rFonts w:ascii="Verdana" w:hAnsi="Verdana" w:cs="Times New Roman"/>
      <w:sz w:val="20"/>
    </w:rPr>
  </w:style>
  <w:style w:type="character" w:customStyle="1" w:styleId="FormatvorlageInstructionsTabelleText">
    <w:name w:val="Formatvorlage Instructions Tabelle Text"/>
    <w:uiPriority w:val="99"/>
    <w:qFormat/>
    <w:rsid w:val="00147746"/>
    <w:rPr>
      <w:rFonts w:ascii="Verdana" w:hAnsi="Verdana" w:cs="Times New Roman"/>
      <w:bCs/>
      <w:sz w:val="20"/>
      <w:u w:val="none"/>
    </w:rPr>
  </w:style>
  <w:style w:type="character" w:customStyle="1" w:styleId="InstructionsTextChar">
    <w:name w:val="Instructions Text Char"/>
    <w:link w:val="InstructionsText"/>
    <w:locked/>
    <w:rsid w:val="005508CC"/>
    <w:rPr>
      <w:rFonts w:ascii="Times New Roman" w:hAnsi="Times New Roman"/>
      <w:sz w:val="24"/>
      <w:szCs w:val="24"/>
      <w:lang w:val="en-GB" w:eastAsia="de-DE"/>
    </w:rPr>
  </w:style>
  <w:style w:type="character" w:customStyle="1" w:styleId="FootnoteTextChar">
    <w:name w:val="Footnote Text Char"/>
    <w:basedOn w:val="DefaultParagraphFont"/>
    <w:link w:val="FootnoteText"/>
    <w:uiPriority w:val="99"/>
    <w:semiHidden/>
    <w:rsid w:val="00147746"/>
    <w:rPr>
      <w:rFonts w:ascii="Arial" w:hAnsi="Arial"/>
      <w:sz w:val="18"/>
      <w:lang w:val="en-GB" w:eastAsia="en-US"/>
    </w:rPr>
  </w:style>
  <w:style w:type="paragraph" w:styleId="CommentText">
    <w:name w:val="annotation text"/>
    <w:basedOn w:val="Normal"/>
    <w:link w:val="CommentTextChar"/>
    <w:uiPriority w:val="99"/>
    <w:semiHidden/>
    <w:unhideWhenUsed/>
    <w:pPr>
      <w:spacing w:line="240" w:lineRule="auto"/>
    </w:p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semiHidden/>
    <w:unhideWhenUsed/>
    <w:rsid w:val="00517977"/>
    <w:rPr>
      <w:b/>
      <w:bCs/>
    </w:rPr>
  </w:style>
  <w:style w:type="character" w:customStyle="1" w:styleId="CommentTextChar">
    <w:name w:val="Comment Text Char"/>
    <w:basedOn w:val="DefaultParagraphFont"/>
    <w:link w:val="CommentText"/>
    <w:uiPriority w:val="99"/>
    <w:semiHidden/>
    <w:rsid w:val="00517977"/>
    <w:rPr>
      <w:rFonts w:ascii="Arial" w:hAnsi="Arial"/>
      <w:lang w:eastAsia="en-US"/>
    </w:rPr>
  </w:style>
  <w:style w:type="character" w:customStyle="1" w:styleId="CommentSubjectChar">
    <w:name w:val="Comment Subject Char"/>
    <w:basedOn w:val="CommentTextChar"/>
    <w:link w:val="CommentSubject"/>
    <w:semiHidden/>
    <w:rsid w:val="00517977"/>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NBB\TEMPLATES\Others\CIRCU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6EA3545A3B7458D66C327AB1027BA" ma:contentTypeVersion="22" ma:contentTypeDescription="Create a new document." ma:contentTypeScope="" ma:versionID="77e591564934ded631d8de122506397e">
  <xsd:schema xmlns:xsd="http://www.w3.org/2001/XMLSchema" xmlns:xs="http://www.w3.org/2001/XMLSchema" xmlns:p="http://schemas.microsoft.com/office/2006/metadata/properties" xmlns:ns2="a9e23225-6968-4682-bd36-b493a5d9a87d" xmlns:ns3="840d724a-69e1-43b1-a700-7f8aa0538fc6" xmlns:ns4="8a9c461b-77d6-46a9-915a-72eb0f473247" targetNamespace="http://schemas.microsoft.com/office/2006/metadata/properties" ma:root="true" ma:fieldsID="8c49a99835c28ed622456555c10f4a8b" ns2:_="" ns3:_="" ns4:_="">
    <xsd:import namespace="a9e23225-6968-4682-bd36-b493a5d9a87d"/>
    <xsd:import namespace="840d724a-69e1-43b1-a700-7f8aa0538fc6"/>
    <xsd:import namespace="8a9c461b-77d6-46a9-915a-72eb0f473247"/>
    <xsd:element name="properties">
      <xsd:complexType>
        <xsd:sequence>
          <xsd:element name="documentManagement">
            <xsd:complexType>
              <xsd:all>
                <xsd:element ref="ns2:Reference" minOccurs="0"/>
                <xsd:element ref="ns2:Date" minOccurs="0"/>
                <xsd:element ref="ns2:Author0" minOccurs="0"/>
                <xsd:element ref="ns2:Type_x0020_doc" minOccurs="0"/>
                <xsd:element ref="ns2:Autre_x0020_service"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Related_x0020_note_x0020_DC"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23225-6968-4682-bd36-b493a5d9a87d" elementFormDefault="qualified">
    <xsd:import namespace="http://schemas.microsoft.com/office/2006/documentManagement/types"/>
    <xsd:import namespace="http://schemas.microsoft.com/office/infopath/2007/PartnerControls"/>
    <xsd:element name="Reference" ma:index="4" nillable="true" ma:displayName="Reference" ma:default="NBB_20xx" ma:internalName="Reference"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Author0" ma:index="6" nillable="true" ma:displayName="Author" ma:internalName="Author0" ma:readOnly="false" ma:requiredMultiChoice="true">
      <xsd:complexType>
        <xsd:complexContent>
          <xsd:extension base="dms:MultiChoice">
            <xsd:sequence>
              <xsd:element name="Value" maxOccurs="unbounded" minOccurs="0" nillable="true">
                <xsd:simpleType>
                  <xsd:restriction base="dms:Choice">
                    <xsd:enumeration value="Ben Hadj Saif"/>
                    <xsd:enumeration value="Bernardo Sabina"/>
                    <xsd:enumeration value="Bienfait Benoît"/>
                    <xsd:enumeration value="Boussauw Justien"/>
                    <xsd:enumeration value="Bracke Sietse"/>
                    <xsd:enumeration value="Bruggeman Annick"/>
                    <xsd:enumeration value="Castiaux Danielle"/>
                    <xsd:enumeration value="Chrispeels Ilse"/>
                    <xsd:enumeration value="Colinet Michel"/>
                    <xsd:enumeration value="Creminger Kim"/>
                    <xsd:enumeration value="De Coen Christelle"/>
                    <xsd:enumeration value="De Doncker Helga"/>
                    <xsd:enumeration value="De Groote Isabelle"/>
                    <xsd:enumeration value="Dessy Nathan"/>
                    <xsd:enumeration value="Doucet Gaetan"/>
                    <xsd:enumeration value="Folie Stéphane"/>
                    <xsd:enumeration value="Francart Alexandre"/>
                    <xsd:enumeration value="Gerard Paul"/>
                    <xsd:enumeration value="Gilsoul Christelle"/>
                    <xsd:enumeration value="Griffin Sylvie"/>
                    <xsd:enumeration value="Guebs Françoise"/>
                    <xsd:enumeration value="Janssens Jurgen"/>
                    <xsd:enumeration value="Janssens Pieter-Jan"/>
                    <xsd:enumeration value="Jespers Alexandra"/>
                    <xsd:enumeration value="Kasongo Mélissa"/>
                    <xsd:enumeration value="Lamoot Jeroen"/>
                    <xsd:enumeration value="Lini Aziza"/>
                    <xsd:enumeration value="Louckx Claude"/>
                    <xsd:enumeration value="Meau Isabelle"/>
                    <xsd:enumeration value="Motteu Giles"/>
                    <xsd:enumeration value="Nerinckx Christel"/>
                    <xsd:enumeration value="Reginster Alexandre"/>
                    <xsd:enumeration value="Renoirte Claire"/>
                    <xsd:enumeration value="Rovira Kaltwasser Pablo"/>
                    <xsd:enumeration value="Schepens Thomas"/>
                    <xsd:enumeration value="Schepens William"/>
                    <xsd:enumeration value="Staner Nicolas"/>
                    <xsd:enumeration value="Strypstein Nicolas"/>
                    <xsd:enumeration value="Swyngedouw Jo"/>
                    <xsd:enumeration value="Tam Rita"/>
                    <xsd:enumeration value="Terrier Catherine"/>
                    <xsd:enumeration value="Uyttersprot Nancy"/>
                    <xsd:enumeration value="Vancauwenberge Lino"/>
                    <xsd:enumeration value="Van Damme Arthur"/>
                    <xsd:enumeration value="Vanderstappen Lisanne"/>
                    <xsd:enumeration value="Van Raemdonck Kurt"/>
                    <xsd:enumeration value="Van Roy Patrick"/>
                    <xsd:enumeration value="Van Tendeloo Brenda"/>
                    <xsd:enumeration value="Waleffe Aline"/>
                    <xsd:enumeration value="Autre service"/>
                  </xsd:restriction>
                </xsd:simpleType>
              </xsd:element>
            </xsd:sequence>
          </xsd:extension>
        </xsd:complexContent>
      </xsd:complexType>
    </xsd:element>
    <xsd:element name="Type_x0020_doc" ma:index="7" nillable="true" ma:displayName="Type doc" ma:format="Dropdown" ma:internalName="Type_x0020_doc" ma:readOnly="false">
      <xsd:simpleType>
        <xsd:restriction base="dms:Choice">
          <xsd:enumeration value="Circulaire"/>
          <xsd:enumeration value="Mededeling/Communication"/>
        </xsd:restriction>
      </xsd:simpleType>
    </xsd:element>
    <xsd:element name="Autre_x0020_service" ma:index="8" nillable="true" ma:displayName="Autre service" ma:format="Dropdown" ma:internalName="Autre_x0020_service" ma:readOnly="false">
      <xsd:simpleType>
        <xsd:restriction base="dms:Choice">
          <xsd:enumeration value="TC-TV"/>
          <xsd:enumeration value="TP"/>
          <xsd:enumeration value="JU"/>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Related_x0020_note_x0020_DC" ma:index="24" nillable="true" ma:displayName="Related note DC" ma:internalName="Related_x0020_note_x0020_DC">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41c2123-d835-457b-aae2-5e3430564c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0d724a-69e1-43b1-a700-7f8aa0538fc6" elementFormDefault="qualified">
    <xsd:import namespace="http://schemas.microsoft.com/office/2006/documentManagement/types"/>
    <xsd:import namespace="http://schemas.microsoft.com/office/infopath/2007/PartnerControls"/>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9c461b-77d6-46a9-915a-72eb0f473247"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13f15d18-c89e-49a1-834c-721e6630c54d}" ma:internalName="TaxCatchAll" ma:showField="CatchAllData" ma:web="840d724a-69e1-43b1-a700-7f8aa0538f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8a9c461b-77d6-46a9-915a-72eb0f473247" xsi:nil="true"/>
    <lcf76f155ced4ddcb4097134ff3c332f xmlns="a9e23225-6968-4682-bd36-b493a5d9a87d">
      <Terms xmlns="http://schemas.microsoft.com/office/infopath/2007/PartnerControls"/>
    </lcf76f155ced4ddcb4097134ff3c332f>
    <Reference xmlns="a9e23225-6968-4682-bd36-b493a5d9a87d">NBB_2023_07</Reference>
    <Type_x0020_doc xmlns="a9e23225-6968-4682-bd36-b493a5d9a87d">Circulaire</Type_x0020_doc>
    <Autre_x0020_service xmlns="a9e23225-6968-4682-bd36-b493a5d9a87d" xsi:nil="true"/>
    <Date xmlns="a9e23225-6968-4682-bd36-b493a5d9a87d">2023-06-26T22:00:00+00:00</Date>
    <Author0 xmlns="a9e23225-6968-4682-bd36-b493a5d9a87d">
      <Value>Ben Hadj Saif</Value>
    </Author0>
    <Related_x0020_note_x0020_DC xmlns="a9e23225-6968-4682-bd36-b493a5d9a87d">2023.06.27_TA.2 (TA/2023/06/216)</Related_x0020_note_x0020_DC>
    <SharedWithUsers xmlns="840d724a-69e1-43b1-a700-7f8aa0538fc6">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C40883-69B2-48FC-84C6-661AA0565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23225-6968-4682-bd36-b493a5d9a87d"/>
    <ds:schemaRef ds:uri="840d724a-69e1-43b1-a700-7f8aa0538fc6"/>
    <ds:schemaRef ds:uri="8a9c461b-77d6-46a9-915a-72eb0f473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9AAFAA-CFDB-4DB5-9CF5-43D74A72F1B0}">
  <ds:schemaRefs>
    <ds:schemaRef ds:uri="http://schemas.openxmlformats.org/officeDocument/2006/bibliography"/>
  </ds:schemaRefs>
</ds:datastoreItem>
</file>

<file path=customXml/itemProps3.xml><?xml version="1.0" encoding="utf-8"?>
<ds:datastoreItem xmlns:ds="http://schemas.openxmlformats.org/officeDocument/2006/customXml" ds:itemID="{E8E1C926-D63D-4150-BAAE-C0AD7D358365}">
  <ds:schemaRefs>
    <ds:schemaRef ds:uri="http://schemas.microsoft.com/office/2006/metadata/properties"/>
    <ds:schemaRef ds:uri="http://schemas.microsoft.com/office/infopath/2007/PartnerControls"/>
    <ds:schemaRef ds:uri="824c2103-8640-4352-a1cf-cccb48886ad1"/>
    <ds:schemaRef ds:uri="http://schemas.microsoft.com/sharepoint/v3"/>
    <ds:schemaRef ds:uri="8a9c461b-77d6-46a9-915a-72eb0f473247"/>
    <ds:schemaRef ds:uri="e8ec53c0-ac95-46eb-9b78-c6c6ecead560"/>
    <ds:schemaRef ds:uri="a9e23225-6968-4682-bd36-b493a5d9a87d"/>
    <ds:schemaRef ds:uri="840d724a-69e1-43b1-a700-7f8aa0538fc6"/>
  </ds:schemaRefs>
</ds:datastoreItem>
</file>

<file path=customXml/itemProps4.xml><?xml version="1.0" encoding="utf-8"?>
<ds:datastoreItem xmlns:ds="http://schemas.openxmlformats.org/officeDocument/2006/customXml" ds:itemID="{81219E7D-7371-487C-B29E-257B6249B3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CIRCUL.dotm</Template>
  <TotalTime>135</TotalTime>
  <Pages>6</Pages>
  <Words>1903</Words>
  <Characters>11130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CIRCUL</vt:lpstr>
    </vt:vector>
  </TitlesOfParts>
  <Company>National Bank of Belgium</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dc:title>
  <dc:subject/>
  <dc:creator>Chaibi Saifeddine</dc:creator>
  <cp:keywords/>
  <dc:description/>
  <cp:lastModifiedBy>Casteur Geertrui</cp:lastModifiedBy>
  <cp:revision>83</cp:revision>
  <cp:lastPrinted>2005-10-19T14:54:00Z</cp:lastPrinted>
  <dcterms:created xsi:type="dcterms:W3CDTF">2023-04-24T07:22:00Z</dcterms:created>
  <dcterms:modified xsi:type="dcterms:W3CDTF">2023-06-29T06:40:00Z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0x0101008236EA3545A3B7458D66C327AB1027BA</vt:lpwstr>
  </property>
  <property fmtid="{D5CDD505-2E9C-101B-9397-08002B2CF9AE}" pid="3" name="MediaServiceImageTags">
    <vt:lpwstr/>
  </property>
  <property fmtid="{D5CDD505-2E9C-101B-9397-08002B2CF9AE}" pid="4" name="DocumentType">
    <vt:lpwstr>Translated document</vt:lpwstr>
  </property>
  <property fmtid="{D5CDD505-2E9C-101B-9397-08002B2CF9AE}" pid="5" name="TranslationLanguage">
    <vt:lpwstr>Anglais</vt:lpwstr>
  </property>
  <property fmtid="{D5CDD505-2E9C-101B-9397-08002B2CF9AE}" pid="6" name="TranslationComplete">
    <vt:lpwstr>Yes</vt:lpwstr>
  </property>
  <property fmtid="{D5CDD505-2E9C-101B-9397-08002B2CF9AE}" pid="7" name="Order">
    <vt:r8>351800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