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1A" w:rsidRPr="005374BB" w:rsidRDefault="0069241A" w:rsidP="00137A7D">
      <w:pPr>
        <w:pStyle w:val="Heading1"/>
        <w:rPr>
          <w:sz w:val="2"/>
          <w:szCs w:val="2"/>
          <w:lang w:val="en-GB"/>
        </w:rPr>
      </w:pPr>
      <w:bookmarkStart w:id="0" w:name="_Toc111518174"/>
      <w:bookmarkStart w:id="1" w:name="_Toc132618170"/>
    </w:p>
    <w:p w:rsidR="00C16030" w:rsidRPr="005374BB" w:rsidRDefault="00C16030" w:rsidP="005F4C3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 w:val="36"/>
          <w:szCs w:val="36"/>
          <w:lang w:val="en-GB"/>
        </w:rPr>
      </w:pPr>
      <w:r w:rsidRPr="005374BB">
        <w:rPr>
          <w:sz w:val="36"/>
          <w:szCs w:val="36"/>
          <w:lang w:val="en-GB"/>
        </w:rPr>
        <w:t>4.</w:t>
      </w:r>
      <w:bookmarkEnd w:id="0"/>
      <w:bookmarkEnd w:id="1"/>
      <w:r w:rsidR="005374BB" w:rsidRPr="005374BB">
        <w:rPr>
          <w:lang w:val="en-GB"/>
        </w:rPr>
        <w:t xml:space="preserve"> </w:t>
      </w:r>
      <w:r w:rsidR="005374BB" w:rsidRPr="005374BB">
        <w:rPr>
          <w:sz w:val="36"/>
          <w:szCs w:val="36"/>
          <w:lang w:val="en-GB"/>
        </w:rPr>
        <w:t>List of annexes to be attached to the authorisation memorandum as part of Phase 1</w:t>
      </w:r>
    </w:p>
    <w:p w:rsidR="00C16030" w:rsidRDefault="00C16030" w:rsidP="00C16030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039"/>
      </w:tblGrid>
      <w:tr w:rsidR="00D22AFE" w:rsidRPr="00D22AFE" w:rsidTr="00803659">
        <w:trPr>
          <w:trHeight w:val="410"/>
        </w:trPr>
        <w:tc>
          <w:tcPr>
            <w:tcW w:w="817" w:type="dxa"/>
            <w:shd w:val="clear" w:color="auto" w:fill="auto"/>
            <w:vAlign w:val="center"/>
          </w:tcPr>
          <w:p w:rsidR="0089196D" w:rsidRPr="009A6A94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 w:rsidRPr="009A6A94">
              <w:rPr>
                <w:rFonts w:ascii="Arial" w:hAnsi="Arial" w:cs="Arial"/>
                <w:lang w:val="fr-BE"/>
              </w:rPr>
              <w:t>N°</w:t>
            </w:r>
          </w:p>
        </w:tc>
        <w:tc>
          <w:tcPr>
            <w:tcW w:w="8039" w:type="dxa"/>
            <w:shd w:val="clear" w:color="auto" w:fill="auto"/>
            <w:vAlign w:val="center"/>
          </w:tcPr>
          <w:p w:rsidR="0089196D" w:rsidRPr="009A6A94" w:rsidRDefault="00D22AFE" w:rsidP="00803659">
            <w:pPr>
              <w:rPr>
                <w:rFonts w:ascii="Arial" w:hAnsi="Arial" w:cs="Arial"/>
                <w:lang w:val="fr-BE"/>
              </w:rPr>
            </w:pPr>
            <w:r w:rsidRPr="009A6A94">
              <w:rPr>
                <w:rFonts w:ascii="Arial" w:hAnsi="Arial" w:cs="Arial"/>
                <w:lang w:val="fr-BE"/>
              </w:rPr>
              <w:t>Name</w:t>
            </w:r>
          </w:p>
        </w:tc>
      </w:tr>
      <w:tr w:rsidR="0089196D" w:rsidRPr="00873EF6" w:rsidTr="00803659">
        <w:trPr>
          <w:trHeight w:val="340"/>
        </w:trPr>
        <w:tc>
          <w:tcPr>
            <w:tcW w:w="8856" w:type="dxa"/>
            <w:gridSpan w:val="2"/>
            <w:shd w:val="clear" w:color="auto" w:fill="auto"/>
          </w:tcPr>
          <w:p w:rsidR="0089196D" w:rsidRPr="00873EF6" w:rsidRDefault="00402D26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 xml:space="preserve">4.1. </w:t>
            </w:r>
            <w:r w:rsidRPr="005374BB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 xml:space="preserve">General annexes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 xml:space="preserve">in relation to </w:t>
            </w:r>
            <w:r w:rsidRPr="005374BB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application for authorisation</w:t>
            </w:r>
          </w:p>
        </w:tc>
      </w:tr>
      <w:tr w:rsidR="0089196D" w:rsidRPr="009118C8" w:rsidTr="00803659">
        <w:tc>
          <w:tcPr>
            <w:tcW w:w="817" w:type="dxa"/>
            <w:shd w:val="clear" w:color="auto" w:fill="auto"/>
            <w:vAlign w:val="center"/>
          </w:tcPr>
          <w:p w:rsidR="0089196D" w:rsidRPr="009118C8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 w:rsidRPr="009118C8">
              <w:rPr>
                <w:rFonts w:ascii="Arial" w:hAnsi="Arial" w:cs="Arial"/>
                <w:lang w:val="fr-BE"/>
              </w:rPr>
              <w:t>1.</w:t>
            </w:r>
          </w:p>
        </w:tc>
        <w:tc>
          <w:tcPr>
            <w:tcW w:w="8039" w:type="dxa"/>
            <w:shd w:val="clear" w:color="auto" w:fill="auto"/>
          </w:tcPr>
          <w:p w:rsidR="0089196D" w:rsidRDefault="006072F3" w:rsidP="0080365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orm for the person in charge of filing the application and the contact person; please refer to annex 1</w:t>
            </w:r>
            <w:r w:rsidR="00BB6E0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bookmarkStart w:id="2" w:name="_MON_1603619346"/>
          <w:bookmarkEnd w:id="2"/>
          <w:p w:rsidR="00BB6E08" w:rsidRPr="009118C8" w:rsidRDefault="000E4CA7" w:rsidP="00803659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lang w:val="en-GB"/>
              </w:rPr>
              <w:object w:dxaOrig="154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77.25pt;height:49.5pt" o:ole="">
                  <v:imagedata r:id="rId8" o:title=""/>
                </v:shape>
                <o:OLEObject Type="Embed" ProgID="Word.Document.12" ShapeID="_x0000_i1057" DrawAspect="Icon" ObjectID="_1603619390" r:id="rId9">
                  <o:FieldCodes>\s</o:FieldCodes>
                </o:OLEObject>
              </w:object>
            </w:r>
          </w:p>
        </w:tc>
      </w:tr>
      <w:tr w:rsidR="0089196D" w:rsidRPr="009118C8" w:rsidTr="00803659">
        <w:tc>
          <w:tcPr>
            <w:tcW w:w="817" w:type="dxa"/>
            <w:shd w:val="clear" w:color="auto" w:fill="auto"/>
            <w:vAlign w:val="center"/>
          </w:tcPr>
          <w:p w:rsidR="0089196D" w:rsidRPr="009118C8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 w:rsidRPr="009118C8">
              <w:rPr>
                <w:rFonts w:ascii="Arial" w:hAnsi="Arial" w:cs="Arial"/>
                <w:lang w:val="fr-BE"/>
              </w:rPr>
              <w:t>2.</w:t>
            </w:r>
          </w:p>
        </w:tc>
        <w:tc>
          <w:tcPr>
            <w:tcW w:w="8039" w:type="dxa"/>
            <w:shd w:val="clear" w:color="auto" w:fill="auto"/>
          </w:tcPr>
          <w:p w:rsidR="0089196D" w:rsidRDefault="0089196D" w:rsidP="006072F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72F3">
              <w:rPr>
                <w:rFonts w:ascii="Arial" w:hAnsi="Arial" w:cs="Arial"/>
                <w:lang w:val="fr-BE"/>
              </w:rPr>
              <w:t>F</w:t>
            </w:r>
            <w:proofErr w:type="spellStart"/>
            <w:r w:rsidR="006072F3" w:rsidRPr="005374BB">
              <w:rPr>
                <w:rFonts w:ascii="Arial" w:hAnsi="Arial" w:cs="Arial"/>
                <w:sz w:val="22"/>
                <w:szCs w:val="22"/>
                <w:lang w:val="en-GB"/>
              </w:rPr>
              <w:t>orm</w:t>
            </w:r>
            <w:proofErr w:type="spellEnd"/>
            <w:r w:rsidR="006072F3"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072F3">
              <w:rPr>
                <w:rFonts w:ascii="Arial" w:hAnsi="Arial" w:cs="Arial"/>
                <w:sz w:val="22"/>
                <w:szCs w:val="22"/>
                <w:lang w:val="en-GB"/>
              </w:rPr>
              <w:t xml:space="preserve">relating to </w:t>
            </w:r>
            <w:r w:rsidR="006072F3" w:rsidRPr="005374BB">
              <w:rPr>
                <w:rFonts w:ascii="Arial" w:hAnsi="Arial" w:cs="Arial"/>
                <w:sz w:val="22"/>
                <w:szCs w:val="22"/>
                <w:lang w:val="en-GB"/>
              </w:rPr>
              <w:t>the company</w:t>
            </w:r>
          </w:p>
          <w:bookmarkStart w:id="3" w:name="_MON_1603619355"/>
          <w:bookmarkEnd w:id="3"/>
          <w:p w:rsidR="00BB6E08" w:rsidRPr="009118C8" w:rsidRDefault="000E4CA7" w:rsidP="006072F3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lang w:val="en-GB"/>
              </w:rPr>
              <w:object w:dxaOrig="1546" w:dyaOrig="991">
                <v:shape id="_x0000_i1059" type="#_x0000_t75" style="width:77.25pt;height:49.5pt" o:ole="">
                  <v:imagedata r:id="rId10" o:title=""/>
                </v:shape>
                <o:OLEObject Type="Embed" ProgID="Word.Document.12" ShapeID="_x0000_i1059" DrawAspect="Icon" ObjectID="_1603619391" r:id="rId11">
                  <o:FieldCodes>\s</o:FieldCodes>
                </o:OLEObject>
              </w:object>
            </w:r>
          </w:p>
        </w:tc>
      </w:tr>
      <w:tr w:rsidR="0089196D" w:rsidRPr="009118C8" w:rsidTr="00803659">
        <w:tc>
          <w:tcPr>
            <w:tcW w:w="817" w:type="dxa"/>
            <w:shd w:val="clear" w:color="auto" w:fill="auto"/>
            <w:vAlign w:val="center"/>
          </w:tcPr>
          <w:p w:rsidR="0089196D" w:rsidRPr="009118C8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 w:rsidRPr="009118C8">
              <w:rPr>
                <w:rFonts w:ascii="Arial" w:hAnsi="Arial" w:cs="Arial"/>
                <w:lang w:val="fr-BE"/>
              </w:rPr>
              <w:t>3.</w:t>
            </w:r>
          </w:p>
        </w:tc>
        <w:tc>
          <w:tcPr>
            <w:tcW w:w="8039" w:type="dxa"/>
            <w:shd w:val="clear" w:color="auto" w:fill="auto"/>
          </w:tcPr>
          <w:p w:rsidR="0089196D" w:rsidRDefault="00402D26" w:rsidP="0080365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orm concerning (</w:t>
            </w:r>
            <w:proofErr w:type="spellStart"/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) the classes of insurance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which the application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is filed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, (ii)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reinsurance activities and (iii)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any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other activities</w:t>
            </w:r>
          </w:p>
          <w:bookmarkStart w:id="4" w:name="_MON_1603619363"/>
          <w:bookmarkEnd w:id="4"/>
          <w:p w:rsidR="00BB6E08" w:rsidRPr="009118C8" w:rsidRDefault="000E4CA7" w:rsidP="00803659">
            <w:pPr>
              <w:jc w:val="both"/>
              <w:rPr>
                <w:rFonts w:ascii="Arial" w:hAnsi="Arial" w:cs="Arial"/>
                <w:lang w:val="fr-BE"/>
              </w:rPr>
            </w:pPr>
            <w:r>
              <w:object w:dxaOrig="1546" w:dyaOrig="991">
                <v:shape id="_x0000_i1061" type="#_x0000_t75" style="width:77.25pt;height:49.5pt" o:ole="">
                  <v:imagedata r:id="rId12" o:title=""/>
                </v:shape>
                <o:OLEObject Type="Embed" ProgID="Word.Document.12" ShapeID="_x0000_i1061" DrawAspect="Icon" ObjectID="_1603619392" r:id="rId13">
                  <o:FieldCodes>\s</o:FieldCodes>
                </o:OLEObject>
              </w:object>
            </w:r>
          </w:p>
        </w:tc>
      </w:tr>
      <w:tr w:rsidR="0089196D" w:rsidRPr="00873EF6" w:rsidTr="00803659">
        <w:trPr>
          <w:trHeight w:val="340"/>
        </w:trPr>
        <w:tc>
          <w:tcPr>
            <w:tcW w:w="8856" w:type="dxa"/>
            <w:gridSpan w:val="2"/>
            <w:shd w:val="clear" w:color="auto" w:fill="auto"/>
            <w:vAlign w:val="center"/>
          </w:tcPr>
          <w:p w:rsidR="0089196D" w:rsidRPr="00873EF6" w:rsidRDefault="00402D26" w:rsidP="00803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 xml:space="preserve">4.2. </w:t>
            </w:r>
            <w:r w:rsidRPr="005374BB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 xml:space="preserve">Annexes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on aspects related to governance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Pr="009118C8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D22AFE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orms to be filled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out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by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persons applying as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qualified shareholders =&gt; see the Bank's website</w:t>
            </w:r>
            <w:r w:rsidRPr="005374BB">
              <w:rPr>
                <w:rFonts w:ascii="Arial" w:hAnsi="Arial" w:cs="Arial"/>
                <w:webHidden/>
                <w:sz w:val="22"/>
                <w:szCs w:val="22"/>
                <w:lang w:val="en-GB"/>
              </w:rPr>
              <w:t xml:space="preserve">: </w:t>
            </w:r>
            <w:hyperlink r:id="rId14" w:history="1">
              <w:r w:rsidRPr="00E93A5D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https://www.nbb.be/en/articles/communication-cbfa200931-communication-candidate-shareholders-and-assigning-shareholders</w:t>
              </w:r>
            </w:hyperlink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Pr="009118C8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5.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A25E6F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raft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articles of association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(or, for companies</w:t>
            </w:r>
            <w:r w:rsidRPr="00C5449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already established, the draft amendment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articles of association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and the draft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coordinated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articles of association)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A25E6F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raft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Fit &amp; Proper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policy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as well as a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list summari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ing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planned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composition of the board of directors,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management committee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and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speciali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ed committees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if any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board of directors (audit committee, risk committee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remuneration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committee)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indicating the identities of the heads of the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independent control functions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7.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A25E6F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Fit &amp; Proper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forms to be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filled out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by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persons applying for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directors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hip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both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executive and non-executive), members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hip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management committee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as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non-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director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)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head of an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independent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control function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(Risk Management, Actuarial Function, Compliance and Internal Audit) </w:t>
            </w:r>
            <w:r w:rsidRPr="005374BB">
              <w:rPr>
                <w:rFonts w:ascii="Arial" w:hAnsi="Arial" w:cs="Arial"/>
                <w:webHidden/>
                <w:sz w:val="22"/>
                <w:szCs w:val="22"/>
                <w:lang w:val="en-GB"/>
              </w:rPr>
              <w:t xml:space="preserve">=&gt; see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the Bank's website</w:t>
            </w:r>
            <w:r w:rsidRPr="005374BB">
              <w:rPr>
                <w:rFonts w:ascii="Arial" w:hAnsi="Arial" w:cs="Arial"/>
                <w:webHidden/>
                <w:sz w:val="22"/>
                <w:szCs w:val="22"/>
                <w:lang w:val="en-GB"/>
              </w:rPr>
              <w:t xml:space="preserve">: </w:t>
            </w:r>
            <w:hyperlink r:id="rId15" w:history="1">
              <w:r w:rsidRPr="005C3C71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https://www.nbb.be/en/articles/circular-nbb201302-expertise-and-professional-integrity-fit-proper</w:t>
              </w:r>
            </w:hyperlink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8.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A25E6F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Draft internal rules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on incompatibilities /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maximum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number of directorships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9.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A25E6F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orms for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loans, credits, guarantees and insurance policies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directors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, shareholders and related persons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=&gt;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be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communicate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as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from May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2018 (circular forthcoming on the Bank's website)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10.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757D8D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D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raft 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risk 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policy:</w:t>
            </w:r>
            <w:r w:rsidRPr="005374BB">
              <w:rPr>
                <w:lang w:val="en-GB" w:eastAsia="fr-BE"/>
              </w:rPr>
              <w:t xml:space="preserve">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risk appetite policy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,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 general risk management policy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,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including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lastRenderedPageBreak/>
              <w:t xml:space="preserve">inter alia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the following policies: a) Policy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on managing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underwriting risk and provisioning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 risk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, b) asset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and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liability management</w:t>
            </w:r>
            <w:r w:rsidRPr="00E63BF9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policy, c) investment risk management policy, d) liquidity risk management policy, e) concentration risk management policy, f) operational risk management policy g) reinsurance policy, h) profit sharing policy, </w:t>
            </w:r>
            <w:proofErr w:type="spellStart"/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i</w:t>
            </w:r>
            <w:proofErr w:type="spellEnd"/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) mortgage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credit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policy (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where applicable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), j) policy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on rep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o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r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ting to the Bank, and k) ORSA policy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.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11.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757D8D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Draft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Risk Management</w:t>
            </w:r>
            <w:r w:rsidRPr="004E14A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charter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, Actuarial Function</w:t>
            </w:r>
            <w:r w:rsidRPr="004E14A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charter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, Compliance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charter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 and Internal Audit</w:t>
            </w:r>
            <w:r w:rsidRPr="004E14A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charter</w: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12.</w:t>
            </w:r>
          </w:p>
        </w:tc>
        <w:tc>
          <w:tcPr>
            <w:tcW w:w="8039" w:type="dxa"/>
            <w:shd w:val="clear" w:color="auto" w:fill="auto"/>
          </w:tcPr>
          <w:p w:rsidR="0089196D" w:rsidRPr="00294F6F" w:rsidRDefault="00757D8D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Organisation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 xml:space="preserve">chart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upon commencing </w:t>
            </w: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activities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13.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757D8D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Drafts of the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(</w:t>
            </w:r>
            <w:proofErr w:type="spellStart"/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i</w:t>
            </w:r>
            <w:proofErr w:type="spellEnd"/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) investment policy, (ii) capital management policy </w:t>
            </w:r>
            <w:r w:rsidRPr="004E14A7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and </w:t>
            </w:r>
            <w:r w:rsidRPr="004E14A7">
              <w:rPr>
                <w:rFonts w:ascii="Arial" w:hAnsi="Arial" w:cs="Arial"/>
                <w:i/>
                <w:sz w:val="22"/>
                <w:szCs w:val="22"/>
                <w:lang w:val="en-GB"/>
              </w:rPr>
              <w:t>management action plan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 and (iii) policy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for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assets and liabilities</w:t>
            </w:r>
            <w:r w:rsidRPr="004E14A7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 xml:space="preserve"> </w:t>
            </w:r>
            <w:r w:rsidRPr="005374BB">
              <w:rPr>
                <w:rFonts w:ascii="Arial" w:eastAsia="Arial" w:hAnsi="Arial" w:cs="Arial"/>
                <w:i/>
                <w:iCs/>
                <w:sz w:val="22"/>
                <w:szCs w:val="22"/>
                <w:lang w:val="en-GB" w:eastAsia="fr-BE"/>
              </w:rPr>
              <w:t>valuation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14.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757D8D" w:rsidP="0080365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Draft policy 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on 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outso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urcing and licensing agreements</w:t>
            </w:r>
          </w:p>
        </w:tc>
      </w:tr>
      <w:tr w:rsidR="0089196D" w:rsidRPr="00AF35D9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15.</w:t>
            </w:r>
          </w:p>
        </w:tc>
        <w:tc>
          <w:tcPr>
            <w:tcW w:w="8039" w:type="dxa"/>
            <w:shd w:val="clear" w:color="auto" w:fill="auto"/>
          </w:tcPr>
          <w:p w:rsidR="0089196D" w:rsidRPr="00AF35D9" w:rsidRDefault="00757D8D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Draft remuneration policy</w:t>
            </w:r>
          </w:p>
        </w:tc>
      </w:tr>
      <w:tr w:rsidR="0089196D" w:rsidRPr="00873EF6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16.</w:t>
            </w:r>
          </w:p>
        </w:tc>
        <w:tc>
          <w:tcPr>
            <w:tcW w:w="8039" w:type="dxa"/>
            <w:shd w:val="clear" w:color="auto" w:fill="auto"/>
          </w:tcPr>
          <w:p w:rsidR="0089196D" w:rsidRPr="00873EF6" w:rsidRDefault="00757D8D" w:rsidP="008036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Draft policies on 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(</w:t>
            </w:r>
            <w:proofErr w:type="spellStart"/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i</w:t>
            </w:r>
            <w:proofErr w:type="spellEnd"/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) integrity, 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and 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(ii) </w:t>
            </w:r>
            <w:r w:rsidRPr="004E14A7">
              <w:rPr>
                <w:rFonts w:ascii="Arial" w:eastAsia="Arial" w:hAnsi="Arial" w:cs="Arial"/>
                <w:iCs/>
                <w:sz w:val="22"/>
                <w:szCs w:val="22"/>
                <w:lang w:val="en-GB" w:eastAsia="fr-BE"/>
              </w:rPr>
              <w:t>whistleblowing</w:t>
            </w:r>
            <w:r w:rsidRPr="005374BB">
              <w:rPr>
                <w:lang w:val="en-GB" w:eastAsia="fr-BE"/>
              </w:rPr>
              <w:t xml:space="preserve"> 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and conflicts of interest</w: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17.</w:t>
            </w:r>
          </w:p>
        </w:tc>
        <w:tc>
          <w:tcPr>
            <w:tcW w:w="8039" w:type="dxa"/>
            <w:shd w:val="clear" w:color="auto" w:fill="auto"/>
          </w:tcPr>
          <w:p w:rsidR="0089196D" w:rsidRDefault="00757D8D" w:rsidP="00803659">
            <w:pPr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4E14A7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Propos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al for the </w:t>
            </w:r>
            <w:r w:rsidRPr="004E14A7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appointment of an 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accredited auditor </w:t>
            </w:r>
            <w:r w:rsidRPr="004E14A7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or 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accredited auditors </w:t>
            </w:r>
            <w:r w:rsidRPr="004E14A7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firm</w:t>
            </w:r>
          </w:p>
          <w:bookmarkStart w:id="5" w:name="_GoBack"/>
          <w:bookmarkEnd w:id="5"/>
          <w:bookmarkStart w:id="6" w:name="_MON_1603619374"/>
          <w:bookmarkEnd w:id="6"/>
          <w:p w:rsidR="000B0943" w:rsidRPr="00294F6F" w:rsidRDefault="000E4CA7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lang w:val="en-GB"/>
              </w:rPr>
              <w:object w:dxaOrig="1546" w:dyaOrig="991">
                <v:shape id="_x0000_i1063" type="#_x0000_t75" style="width:77.25pt;height:49.5pt" o:ole="">
                  <v:imagedata r:id="rId16" o:title=""/>
                </v:shape>
                <o:OLEObject Type="Embed" ProgID="Word.Document.12" ShapeID="_x0000_i1063" DrawAspect="Icon" ObjectID="_1603619393" r:id="rId17">
                  <o:FieldCodes>\s</o:FieldCodes>
                </o:OLEObject>
              </w:object>
            </w:r>
          </w:p>
        </w:tc>
      </w:tr>
      <w:tr w:rsidR="0089196D" w:rsidRPr="00873EF6" w:rsidTr="00803659">
        <w:trPr>
          <w:trHeight w:val="340"/>
        </w:trPr>
        <w:tc>
          <w:tcPr>
            <w:tcW w:w="8856" w:type="dxa"/>
            <w:gridSpan w:val="2"/>
            <w:shd w:val="clear" w:color="auto" w:fill="auto"/>
          </w:tcPr>
          <w:p w:rsidR="0089196D" w:rsidRPr="00C11A2D" w:rsidRDefault="00C11A2D" w:rsidP="00803659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5374BB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 xml:space="preserve">4.3. Annexes </w:t>
            </w:r>
            <w:r w:rsidRPr="005374BB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  <w:lang w:val="en-GB" w:eastAsia="fr-BE"/>
              </w:rPr>
              <w:t>on financial and technical aspects</w: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18.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80365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74BB">
              <w:rPr>
                <w:rFonts w:ascii="Arial" w:hAnsi="Arial" w:cs="Arial"/>
                <w:sz w:val="22"/>
                <w:szCs w:val="22"/>
                <w:lang w:val="en-GB"/>
              </w:rPr>
              <w:t>Provisional balance sheets</w:t>
            </w:r>
          </w:p>
          <w:p w:rsidR="000B0943" w:rsidRPr="00294F6F" w:rsidRDefault="000E4CA7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39" type="#_x0000_t75" style="width:77.25pt;height:49.5pt" o:ole="">
                  <v:imagedata r:id="rId18" o:title=""/>
                </v:shape>
                <o:OLEObject Type="Embed" ProgID="Excel.Sheet.12" ShapeID="_x0000_i1039" DrawAspect="Icon" ObjectID="_1603619394" r:id="rId19"/>
              </w:objec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19.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803659">
            <w:pPr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Forecast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s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for the Solvency Capital Requirement - standard formula</w:t>
            </w:r>
          </w:p>
          <w:p w:rsidR="000B0943" w:rsidRPr="00294F6F" w:rsidRDefault="000E4CA7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41" type="#_x0000_t75" style="width:77.25pt;height:49.5pt" o:ole="">
                  <v:imagedata r:id="rId20" o:title=""/>
                </v:shape>
                <o:OLEObject Type="Embed" ProgID="Excel.Sheet.12" ShapeID="_x0000_i1041" DrawAspect="Icon" ObjectID="_1603619395" r:id="rId21"/>
              </w:objec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20.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803659">
            <w:pPr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Forecast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s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for the Solvency Capital Requirement - partial internal model</w:t>
            </w:r>
          </w:p>
          <w:p w:rsidR="00BE3642" w:rsidRPr="00294F6F" w:rsidRDefault="000E4CA7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43" type="#_x0000_t75" style="width:77.25pt;height:49.5pt" o:ole="">
                  <v:imagedata r:id="rId22" o:title=""/>
                </v:shape>
                <o:OLEObject Type="Embed" ProgID="Excel.Sheet.12" ShapeID="_x0000_i1043" DrawAspect="Icon" ObjectID="_1603619396" r:id="rId23"/>
              </w:objec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21.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BE3642">
            <w:pPr>
              <w:tabs>
                <w:tab w:val="left" w:pos="6744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Forecast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s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for the Solvency Capital Requirement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noBreakHyphen/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internal model</w:t>
            </w:r>
          </w:p>
          <w:p w:rsidR="00BE3642" w:rsidRPr="00294F6F" w:rsidRDefault="000E4CA7" w:rsidP="00BE3642">
            <w:pPr>
              <w:tabs>
                <w:tab w:val="left" w:pos="6744"/>
              </w:tabs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45" type="#_x0000_t75" style="width:77.25pt;height:49.5pt" o:ole="">
                  <v:imagedata r:id="rId24" o:title=""/>
                </v:shape>
                <o:OLEObject Type="Embed" ProgID="Excel.Sheet.12" ShapeID="_x0000_i1045" DrawAspect="Icon" ObjectID="_1603619397" r:id="rId25"/>
              </w:objec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22.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803659">
            <w:pPr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Forecast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s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 the Minimum Capital Requirement 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noBreakHyphen/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non-life</w:t>
            </w:r>
          </w:p>
          <w:p w:rsidR="00BE3642" w:rsidRPr="00294F6F" w:rsidRDefault="000E4CA7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47" type="#_x0000_t75" style="width:77.25pt;height:49.5pt" o:ole="">
                  <v:imagedata r:id="rId26" o:title=""/>
                </v:shape>
                <o:OLEObject Type="Embed" ProgID="Excel.Sheet.12" ShapeID="_x0000_i1047" DrawAspect="Icon" ObjectID="_1603619398" r:id="rId27"/>
              </w:objec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23.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803659">
            <w:pPr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Forecast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s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 the Minimum Capital Requirement </w:t>
            </w:r>
            <w:r w:rsidR="00BE3642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–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life</w:t>
            </w:r>
          </w:p>
          <w:p w:rsidR="00BE3642" w:rsidRPr="00294F6F" w:rsidRDefault="000E4CA7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49" type="#_x0000_t75" style="width:77.25pt;height:49.5pt" o:ole="">
                  <v:imagedata r:id="rId28" o:title=""/>
                </v:shape>
                <o:OLEObject Type="Embed" ProgID="Excel.Sheet.12" ShapeID="_x0000_i1049" DrawAspect="Icon" ObjectID="_1603619399" r:id="rId29"/>
              </w:objec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lastRenderedPageBreak/>
              <w:t>24.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803659">
            <w:pPr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Forecast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s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 the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financial resources</w:t>
            </w:r>
          </w:p>
          <w:p w:rsidR="00BE3642" w:rsidRPr="00294F6F" w:rsidRDefault="000E4CA7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51" type="#_x0000_t75" style="width:77.25pt;height:49.5pt" o:ole="">
                  <v:imagedata r:id="rId30" o:title=""/>
                </v:shape>
                <o:OLEObject Type="Embed" ProgID="Excel.Sheet.12" ShapeID="_x0000_i1051" DrawAspect="Icon" ObjectID="_1603619400" r:id="rId31"/>
              </w:objec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25.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BE3642">
            <w:pPr>
              <w:tabs>
                <w:tab w:val="left" w:pos="6780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872A40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Forecasts of 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fees, premiums, contributions and claims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noBreakHyphen/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non-life</w:t>
            </w:r>
          </w:p>
          <w:p w:rsidR="00BE3642" w:rsidRPr="00294F6F" w:rsidRDefault="000E4CA7" w:rsidP="00BE3642">
            <w:pPr>
              <w:tabs>
                <w:tab w:val="left" w:pos="6780"/>
              </w:tabs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53" type="#_x0000_t75" style="width:77.25pt;height:49.5pt" o:ole="">
                  <v:imagedata r:id="rId32" o:title=""/>
                </v:shape>
                <o:OLEObject Type="Embed" ProgID="Excel.Sheet.12" ShapeID="_x0000_i1053" DrawAspect="Icon" ObjectID="_1603619401" r:id="rId33"/>
              </w:object>
            </w:r>
          </w:p>
        </w:tc>
      </w:tr>
      <w:tr w:rsidR="0089196D" w:rsidRPr="00294F6F" w:rsidTr="00803659">
        <w:tc>
          <w:tcPr>
            <w:tcW w:w="817" w:type="dxa"/>
            <w:shd w:val="clear" w:color="auto" w:fill="auto"/>
            <w:vAlign w:val="center"/>
          </w:tcPr>
          <w:p w:rsidR="0089196D" w:rsidRDefault="0089196D" w:rsidP="00803659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26.</w:t>
            </w:r>
          </w:p>
        </w:tc>
        <w:tc>
          <w:tcPr>
            <w:tcW w:w="8039" w:type="dxa"/>
            <w:shd w:val="clear" w:color="auto" w:fill="auto"/>
          </w:tcPr>
          <w:p w:rsidR="0089196D" w:rsidRDefault="00C11A2D" w:rsidP="00803659">
            <w:pPr>
              <w:jc w:val="both"/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</w:pPr>
            <w:r w:rsidRPr="00311478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Forecasts of expenses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,</w:t>
            </w:r>
            <w:r w:rsidRPr="00311478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premiums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,</w:t>
            </w:r>
            <w:r w:rsidRPr="00311478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contributions and claims</w:t>
            </w:r>
            <w:r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 </w:t>
            </w:r>
            <w:r w:rsidR="00BE3642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>–</w:t>
            </w:r>
            <w:r w:rsidRPr="005374BB">
              <w:rPr>
                <w:rFonts w:ascii="Arial" w:eastAsia="Arial" w:hAnsi="Arial" w:cs="Arial"/>
                <w:sz w:val="22"/>
                <w:szCs w:val="22"/>
                <w:lang w:val="en-GB" w:eastAsia="fr-BE"/>
              </w:rPr>
              <w:t xml:space="preserve"> life</w:t>
            </w:r>
          </w:p>
          <w:p w:rsidR="00BE3642" w:rsidRPr="00294F6F" w:rsidRDefault="000E4CA7" w:rsidP="00803659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object w:dxaOrig="1546" w:dyaOrig="991">
                <v:shape id="_x0000_i1055" type="#_x0000_t75" style="width:77.25pt;height:49.5pt" o:ole="">
                  <v:imagedata r:id="rId34" o:title=""/>
                </v:shape>
                <o:OLEObject Type="Embed" ProgID="Excel.Sheet.12" ShapeID="_x0000_i1055" DrawAspect="Icon" ObjectID="_1603619402" r:id="rId35"/>
              </w:object>
            </w:r>
          </w:p>
        </w:tc>
      </w:tr>
    </w:tbl>
    <w:p w:rsidR="0089196D" w:rsidRDefault="0089196D" w:rsidP="00C16030">
      <w:pPr>
        <w:jc w:val="both"/>
        <w:rPr>
          <w:rFonts w:ascii="Arial" w:hAnsi="Arial" w:cs="Arial"/>
          <w:lang w:val="en-GB"/>
        </w:rPr>
      </w:pPr>
    </w:p>
    <w:p w:rsidR="00C16030" w:rsidRPr="005374BB" w:rsidRDefault="00C16030" w:rsidP="008A4903">
      <w:pPr>
        <w:jc w:val="both"/>
        <w:rPr>
          <w:rFonts w:ascii="Arial" w:hAnsi="Arial" w:cs="Arial"/>
          <w:lang w:val="en-GB"/>
        </w:rPr>
      </w:pPr>
    </w:p>
    <w:p w:rsidR="004D2AA0" w:rsidRPr="005374BB" w:rsidRDefault="004D2AA0">
      <w:pPr>
        <w:rPr>
          <w:rFonts w:ascii="Arial" w:hAnsi="Arial" w:cs="Arial"/>
          <w:lang w:val="en-GB"/>
        </w:rPr>
      </w:pPr>
    </w:p>
    <w:sectPr w:rsidR="004D2AA0" w:rsidRPr="005374BB" w:rsidSect="00C16030">
      <w:headerReference w:type="even" r:id="rId36"/>
      <w:footerReference w:type="even" r:id="rId37"/>
      <w:footerReference w:type="default" r:id="rId3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369" w:rsidRDefault="00BC5369">
      <w:r>
        <w:separator/>
      </w:r>
    </w:p>
  </w:endnote>
  <w:endnote w:type="continuationSeparator" w:id="0">
    <w:p w:rsidR="00BC5369" w:rsidRDefault="00BC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6EA" w:rsidRDefault="004036EA" w:rsidP="00C16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6EA" w:rsidRDefault="0040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6EA" w:rsidRPr="00914114" w:rsidRDefault="004036EA" w:rsidP="00C16030">
    <w:pPr>
      <w:pStyle w:val="Footer"/>
      <w:jc w:val="center"/>
      <w:rPr>
        <w:sz w:val="18"/>
        <w:szCs w:val="18"/>
      </w:rPr>
    </w:pPr>
    <w:r w:rsidRPr="00914114">
      <w:rPr>
        <w:rStyle w:val="PageNumber"/>
        <w:sz w:val="18"/>
        <w:szCs w:val="18"/>
      </w:rPr>
      <w:fldChar w:fldCharType="begin"/>
    </w:r>
    <w:r w:rsidRPr="00914114">
      <w:rPr>
        <w:rStyle w:val="PageNumber"/>
        <w:sz w:val="18"/>
        <w:szCs w:val="18"/>
      </w:rPr>
      <w:instrText xml:space="preserve"> PAGE </w:instrText>
    </w:r>
    <w:r w:rsidRPr="00914114">
      <w:rPr>
        <w:rStyle w:val="PageNumber"/>
        <w:sz w:val="18"/>
        <w:szCs w:val="18"/>
      </w:rPr>
      <w:fldChar w:fldCharType="separate"/>
    </w:r>
    <w:r w:rsidR="00A26A43">
      <w:rPr>
        <w:rStyle w:val="PageNumber"/>
        <w:noProof/>
        <w:sz w:val="18"/>
        <w:szCs w:val="18"/>
      </w:rPr>
      <w:t>2</w:t>
    </w:r>
    <w:r w:rsidRPr="00914114">
      <w:rPr>
        <w:rStyle w:val="PageNumber"/>
        <w:sz w:val="18"/>
        <w:szCs w:val="18"/>
      </w:rPr>
      <w:fldChar w:fldCharType="end"/>
    </w:r>
    <w:r w:rsidRPr="00914114">
      <w:rPr>
        <w:rStyle w:val="PageNumber"/>
        <w:sz w:val="18"/>
        <w:szCs w:val="18"/>
      </w:rPr>
      <w:t>/</w:t>
    </w:r>
    <w:r w:rsidRPr="00914114">
      <w:rPr>
        <w:rStyle w:val="PageNumber"/>
        <w:sz w:val="18"/>
        <w:szCs w:val="18"/>
      </w:rPr>
      <w:fldChar w:fldCharType="begin"/>
    </w:r>
    <w:r w:rsidRPr="00914114">
      <w:rPr>
        <w:rStyle w:val="PageNumber"/>
        <w:sz w:val="18"/>
        <w:szCs w:val="18"/>
      </w:rPr>
      <w:instrText xml:space="preserve"> NUMPAGES </w:instrText>
    </w:r>
    <w:r w:rsidRPr="00914114">
      <w:rPr>
        <w:rStyle w:val="PageNumber"/>
        <w:sz w:val="18"/>
        <w:szCs w:val="18"/>
      </w:rPr>
      <w:fldChar w:fldCharType="separate"/>
    </w:r>
    <w:r w:rsidR="00A26A43">
      <w:rPr>
        <w:rStyle w:val="PageNumber"/>
        <w:noProof/>
        <w:sz w:val="18"/>
        <w:szCs w:val="18"/>
      </w:rPr>
      <w:t>3</w:t>
    </w:r>
    <w:r w:rsidRPr="00914114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369" w:rsidRDefault="00BC5369">
      <w:r>
        <w:separator/>
      </w:r>
    </w:p>
  </w:footnote>
  <w:footnote w:type="continuationSeparator" w:id="0">
    <w:p w:rsidR="00BC5369" w:rsidRDefault="00BC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6EA" w:rsidRDefault="004036EA" w:rsidP="00C160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6EA" w:rsidRDefault="004036EA" w:rsidP="00C1603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16D"/>
    <w:multiLevelType w:val="hybridMultilevel"/>
    <w:tmpl w:val="89E80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12F8"/>
    <w:multiLevelType w:val="hybridMultilevel"/>
    <w:tmpl w:val="D966DF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00C"/>
    <w:multiLevelType w:val="hybridMultilevel"/>
    <w:tmpl w:val="5BD2FB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4840"/>
    <w:multiLevelType w:val="hybridMultilevel"/>
    <w:tmpl w:val="06F65A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BD274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F34E9"/>
    <w:multiLevelType w:val="hybridMultilevel"/>
    <w:tmpl w:val="5136FA82"/>
    <w:lvl w:ilvl="0" w:tplc="72EE73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533"/>
    <w:multiLevelType w:val="hybridMultilevel"/>
    <w:tmpl w:val="5C20C4E6"/>
    <w:lvl w:ilvl="0" w:tplc="2BD274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287A"/>
    <w:multiLevelType w:val="hybridMultilevel"/>
    <w:tmpl w:val="F2AE8706"/>
    <w:lvl w:ilvl="0" w:tplc="05CE2F1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C41290"/>
    <w:multiLevelType w:val="hybridMultilevel"/>
    <w:tmpl w:val="1646C46E"/>
    <w:lvl w:ilvl="0" w:tplc="9ECEE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664F"/>
    <w:multiLevelType w:val="hybridMultilevel"/>
    <w:tmpl w:val="5B702AF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6E2BB6"/>
    <w:multiLevelType w:val="hybridMultilevel"/>
    <w:tmpl w:val="9B9E6462"/>
    <w:lvl w:ilvl="0" w:tplc="2BD274C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97EDCDA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CB34B3"/>
    <w:multiLevelType w:val="hybridMultilevel"/>
    <w:tmpl w:val="BCD6D9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407026"/>
    <w:multiLevelType w:val="hybridMultilevel"/>
    <w:tmpl w:val="6262C0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B6C"/>
    <w:multiLevelType w:val="hybridMultilevel"/>
    <w:tmpl w:val="D57C752A"/>
    <w:lvl w:ilvl="0" w:tplc="7FB841F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278CE"/>
    <w:multiLevelType w:val="hybridMultilevel"/>
    <w:tmpl w:val="63A4DEF0"/>
    <w:lvl w:ilvl="0" w:tplc="504AA1B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7095C"/>
    <w:multiLevelType w:val="hybridMultilevel"/>
    <w:tmpl w:val="5F6AC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54238"/>
    <w:multiLevelType w:val="hybridMultilevel"/>
    <w:tmpl w:val="5136FA82"/>
    <w:lvl w:ilvl="0" w:tplc="72EE73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B25EA"/>
    <w:multiLevelType w:val="hybridMultilevel"/>
    <w:tmpl w:val="82AC6906"/>
    <w:lvl w:ilvl="0" w:tplc="34260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97EDCD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45B6E57A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6910BC"/>
    <w:multiLevelType w:val="multilevel"/>
    <w:tmpl w:val="39C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F2E6E"/>
    <w:multiLevelType w:val="hybridMultilevel"/>
    <w:tmpl w:val="ECC6F930"/>
    <w:lvl w:ilvl="0" w:tplc="05CE2F1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2078A8"/>
    <w:multiLevelType w:val="hybridMultilevel"/>
    <w:tmpl w:val="B412A7C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0F3168"/>
    <w:multiLevelType w:val="hybridMultilevel"/>
    <w:tmpl w:val="1D26B6C6"/>
    <w:lvl w:ilvl="0" w:tplc="2BD274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D274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97EDCD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34324"/>
    <w:multiLevelType w:val="hybridMultilevel"/>
    <w:tmpl w:val="176A9F06"/>
    <w:lvl w:ilvl="0" w:tplc="7FB841F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0"/>
  </w:num>
  <w:num w:numId="5">
    <w:abstractNumId w:val="19"/>
  </w:num>
  <w:num w:numId="6">
    <w:abstractNumId w:val="11"/>
  </w:num>
  <w:num w:numId="7">
    <w:abstractNumId w:val="10"/>
  </w:num>
  <w:num w:numId="8">
    <w:abstractNumId w:val="18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20"/>
  </w:num>
  <w:num w:numId="14">
    <w:abstractNumId w:val="21"/>
  </w:num>
  <w:num w:numId="15">
    <w:abstractNumId w:val="17"/>
  </w:num>
  <w:num w:numId="16">
    <w:abstractNumId w:val="13"/>
  </w:num>
  <w:num w:numId="17">
    <w:abstractNumId w:val="16"/>
  </w:num>
  <w:num w:numId="18">
    <w:abstractNumId w:val="12"/>
  </w:num>
  <w:num w:numId="19">
    <w:abstractNumId w:val="4"/>
  </w:num>
  <w:num w:numId="20">
    <w:abstractNumId w:val="15"/>
  </w:num>
  <w:num w:numId="21">
    <w:abstractNumId w:val="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AA0"/>
    <w:rsid w:val="0000213D"/>
    <w:rsid w:val="0000247B"/>
    <w:rsid w:val="00011F9F"/>
    <w:rsid w:val="0001318B"/>
    <w:rsid w:val="00031760"/>
    <w:rsid w:val="000324C0"/>
    <w:rsid w:val="00034466"/>
    <w:rsid w:val="0003551A"/>
    <w:rsid w:val="00037F36"/>
    <w:rsid w:val="000442A0"/>
    <w:rsid w:val="0005203F"/>
    <w:rsid w:val="000558BD"/>
    <w:rsid w:val="00066B31"/>
    <w:rsid w:val="000767F7"/>
    <w:rsid w:val="00084C9E"/>
    <w:rsid w:val="00086A5B"/>
    <w:rsid w:val="00090127"/>
    <w:rsid w:val="0009095E"/>
    <w:rsid w:val="000937AF"/>
    <w:rsid w:val="000938D7"/>
    <w:rsid w:val="000A22A1"/>
    <w:rsid w:val="000A3E1D"/>
    <w:rsid w:val="000A5750"/>
    <w:rsid w:val="000A5A5D"/>
    <w:rsid w:val="000A61C8"/>
    <w:rsid w:val="000B0943"/>
    <w:rsid w:val="000B1DE9"/>
    <w:rsid w:val="000C1855"/>
    <w:rsid w:val="000C4A23"/>
    <w:rsid w:val="000C4ED6"/>
    <w:rsid w:val="000D2A7D"/>
    <w:rsid w:val="000D4997"/>
    <w:rsid w:val="000D625F"/>
    <w:rsid w:val="000E21FE"/>
    <w:rsid w:val="000E4CA7"/>
    <w:rsid w:val="000F55FB"/>
    <w:rsid w:val="000F74ED"/>
    <w:rsid w:val="00113846"/>
    <w:rsid w:val="001139FD"/>
    <w:rsid w:val="001217CC"/>
    <w:rsid w:val="001229C5"/>
    <w:rsid w:val="0012562D"/>
    <w:rsid w:val="00130AC5"/>
    <w:rsid w:val="00133FCB"/>
    <w:rsid w:val="00136E6C"/>
    <w:rsid w:val="00137A7D"/>
    <w:rsid w:val="001444DC"/>
    <w:rsid w:val="001451F4"/>
    <w:rsid w:val="001459A8"/>
    <w:rsid w:val="0015126F"/>
    <w:rsid w:val="00153429"/>
    <w:rsid w:val="00174459"/>
    <w:rsid w:val="00176B12"/>
    <w:rsid w:val="0018640E"/>
    <w:rsid w:val="0019126E"/>
    <w:rsid w:val="001971D0"/>
    <w:rsid w:val="001A048E"/>
    <w:rsid w:val="001A372B"/>
    <w:rsid w:val="001A5AB3"/>
    <w:rsid w:val="001A6687"/>
    <w:rsid w:val="001B24AF"/>
    <w:rsid w:val="001C6ED6"/>
    <w:rsid w:val="001D1801"/>
    <w:rsid w:val="001D3FA0"/>
    <w:rsid w:val="001F2585"/>
    <w:rsid w:val="001F7014"/>
    <w:rsid w:val="00207C2F"/>
    <w:rsid w:val="0021306F"/>
    <w:rsid w:val="0021673C"/>
    <w:rsid w:val="00220358"/>
    <w:rsid w:val="0022084F"/>
    <w:rsid w:val="00227810"/>
    <w:rsid w:val="00230EF1"/>
    <w:rsid w:val="002402F9"/>
    <w:rsid w:val="00244135"/>
    <w:rsid w:val="002468E4"/>
    <w:rsid w:val="00250746"/>
    <w:rsid w:val="00251ED2"/>
    <w:rsid w:val="002558AE"/>
    <w:rsid w:val="00256C21"/>
    <w:rsid w:val="00261249"/>
    <w:rsid w:val="002639BA"/>
    <w:rsid w:val="002713B4"/>
    <w:rsid w:val="002734A3"/>
    <w:rsid w:val="002762F2"/>
    <w:rsid w:val="00286563"/>
    <w:rsid w:val="00290C6D"/>
    <w:rsid w:val="00291DC6"/>
    <w:rsid w:val="00292078"/>
    <w:rsid w:val="00294F6F"/>
    <w:rsid w:val="002A22F4"/>
    <w:rsid w:val="002C2891"/>
    <w:rsid w:val="002C2BC7"/>
    <w:rsid w:val="002D0C0A"/>
    <w:rsid w:val="002D135F"/>
    <w:rsid w:val="002E1F31"/>
    <w:rsid w:val="002E217D"/>
    <w:rsid w:val="002E26E4"/>
    <w:rsid w:val="002E56B0"/>
    <w:rsid w:val="002F0EE1"/>
    <w:rsid w:val="002F4CB8"/>
    <w:rsid w:val="002F66A1"/>
    <w:rsid w:val="00303147"/>
    <w:rsid w:val="00305986"/>
    <w:rsid w:val="003059E5"/>
    <w:rsid w:val="00307F8B"/>
    <w:rsid w:val="00311478"/>
    <w:rsid w:val="00312AA9"/>
    <w:rsid w:val="0031387A"/>
    <w:rsid w:val="00320343"/>
    <w:rsid w:val="00323D81"/>
    <w:rsid w:val="00323FB5"/>
    <w:rsid w:val="00326D4E"/>
    <w:rsid w:val="003327A5"/>
    <w:rsid w:val="00334E5E"/>
    <w:rsid w:val="00334F8B"/>
    <w:rsid w:val="00335D9F"/>
    <w:rsid w:val="003364C3"/>
    <w:rsid w:val="00342DD2"/>
    <w:rsid w:val="00351E23"/>
    <w:rsid w:val="00355221"/>
    <w:rsid w:val="00365E7C"/>
    <w:rsid w:val="00376CED"/>
    <w:rsid w:val="00380C59"/>
    <w:rsid w:val="00381BE8"/>
    <w:rsid w:val="0038329B"/>
    <w:rsid w:val="00392829"/>
    <w:rsid w:val="00393165"/>
    <w:rsid w:val="003A1856"/>
    <w:rsid w:val="003A5680"/>
    <w:rsid w:val="003A6398"/>
    <w:rsid w:val="003C1041"/>
    <w:rsid w:val="003C64AB"/>
    <w:rsid w:val="003C75F3"/>
    <w:rsid w:val="003C7F6B"/>
    <w:rsid w:val="003D05EC"/>
    <w:rsid w:val="003D13CA"/>
    <w:rsid w:val="003D5524"/>
    <w:rsid w:val="003D5CDE"/>
    <w:rsid w:val="003D7EAD"/>
    <w:rsid w:val="003E579F"/>
    <w:rsid w:val="003F2CFA"/>
    <w:rsid w:val="003F4E1E"/>
    <w:rsid w:val="00402D26"/>
    <w:rsid w:val="004036EA"/>
    <w:rsid w:val="00405DEE"/>
    <w:rsid w:val="00411D44"/>
    <w:rsid w:val="00421823"/>
    <w:rsid w:val="004262C0"/>
    <w:rsid w:val="004351CE"/>
    <w:rsid w:val="00446B51"/>
    <w:rsid w:val="0044712B"/>
    <w:rsid w:val="0045348E"/>
    <w:rsid w:val="004656DC"/>
    <w:rsid w:val="00465AE9"/>
    <w:rsid w:val="00467220"/>
    <w:rsid w:val="004715E9"/>
    <w:rsid w:val="004739E3"/>
    <w:rsid w:val="00480523"/>
    <w:rsid w:val="00482817"/>
    <w:rsid w:val="0049660A"/>
    <w:rsid w:val="0049749C"/>
    <w:rsid w:val="004A3352"/>
    <w:rsid w:val="004A4EEF"/>
    <w:rsid w:val="004A785B"/>
    <w:rsid w:val="004A7DE2"/>
    <w:rsid w:val="004B51AC"/>
    <w:rsid w:val="004C3E6E"/>
    <w:rsid w:val="004C714E"/>
    <w:rsid w:val="004D2AA0"/>
    <w:rsid w:val="004D3D65"/>
    <w:rsid w:val="004D673D"/>
    <w:rsid w:val="004D7A30"/>
    <w:rsid w:val="004E14A7"/>
    <w:rsid w:val="004E23DC"/>
    <w:rsid w:val="004E6BB7"/>
    <w:rsid w:val="004F317F"/>
    <w:rsid w:val="004F76C6"/>
    <w:rsid w:val="00504D04"/>
    <w:rsid w:val="00504E8A"/>
    <w:rsid w:val="00505071"/>
    <w:rsid w:val="005064A4"/>
    <w:rsid w:val="00506D48"/>
    <w:rsid w:val="00511F4B"/>
    <w:rsid w:val="00517FC0"/>
    <w:rsid w:val="0052661C"/>
    <w:rsid w:val="00531ADF"/>
    <w:rsid w:val="00534131"/>
    <w:rsid w:val="005373CC"/>
    <w:rsid w:val="005374BB"/>
    <w:rsid w:val="0054294F"/>
    <w:rsid w:val="00545079"/>
    <w:rsid w:val="0054591F"/>
    <w:rsid w:val="00545B1A"/>
    <w:rsid w:val="00546FF3"/>
    <w:rsid w:val="00552D35"/>
    <w:rsid w:val="00553986"/>
    <w:rsid w:val="00557CC7"/>
    <w:rsid w:val="0056006F"/>
    <w:rsid w:val="005605B7"/>
    <w:rsid w:val="005616FB"/>
    <w:rsid w:val="00562246"/>
    <w:rsid w:val="00571D2F"/>
    <w:rsid w:val="00575DEA"/>
    <w:rsid w:val="00580263"/>
    <w:rsid w:val="0058381C"/>
    <w:rsid w:val="0059006B"/>
    <w:rsid w:val="00590C1E"/>
    <w:rsid w:val="00596616"/>
    <w:rsid w:val="005B5AFC"/>
    <w:rsid w:val="005B68C8"/>
    <w:rsid w:val="005B7BA5"/>
    <w:rsid w:val="005C3F5D"/>
    <w:rsid w:val="005C61E2"/>
    <w:rsid w:val="005D1FE1"/>
    <w:rsid w:val="005E4EEE"/>
    <w:rsid w:val="005F04EC"/>
    <w:rsid w:val="005F2398"/>
    <w:rsid w:val="005F33EC"/>
    <w:rsid w:val="005F4C3C"/>
    <w:rsid w:val="005F7418"/>
    <w:rsid w:val="00600500"/>
    <w:rsid w:val="00602B51"/>
    <w:rsid w:val="00606CC5"/>
    <w:rsid w:val="00606FCA"/>
    <w:rsid w:val="006072F3"/>
    <w:rsid w:val="00614687"/>
    <w:rsid w:val="00631CC5"/>
    <w:rsid w:val="00632D5C"/>
    <w:rsid w:val="00635A31"/>
    <w:rsid w:val="00635F7B"/>
    <w:rsid w:val="0064356B"/>
    <w:rsid w:val="006513F1"/>
    <w:rsid w:val="00655FB2"/>
    <w:rsid w:val="00660E4C"/>
    <w:rsid w:val="00667E45"/>
    <w:rsid w:val="006722BC"/>
    <w:rsid w:val="00672592"/>
    <w:rsid w:val="006774BB"/>
    <w:rsid w:val="0068448C"/>
    <w:rsid w:val="0069241A"/>
    <w:rsid w:val="006930E0"/>
    <w:rsid w:val="00695014"/>
    <w:rsid w:val="006951B9"/>
    <w:rsid w:val="00696A13"/>
    <w:rsid w:val="00696D58"/>
    <w:rsid w:val="006A1BF6"/>
    <w:rsid w:val="006A7FBE"/>
    <w:rsid w:val="006B0E7E"/>
    <w:rsid w:val="006C0700"/>
    <w:rsid w:val="006C1619"/>
    <w:rsid w:val="006D13FE"/>
    <w:rsid w:val="006D2472"/>
    <w:rsid w:val="006D72CF"/>
    <w:rsid w:val="006E3789"/>
    <w:rsid w:val="006E5954"/>
    <w:rsid w:val="006E69FE"/>
    <w:rsid w:val="006E73D3"/>
    <w:rsid w:val="006E7AF3"/>
    <w:rsid w:val="006F60DD"/>
    <w:rsid w:val="006F7BE6"/>
    <w:rsid w:val="0070346B"/>
    <w:rsid w:val="0070583E"/>
    <w:rsid w:val="007122D1"/>
    <w:rsid w:val="00716624"/>
    <w:rsid w:val="00721812"/>
    <w:rsid w:val="00721C40"/>
    <w:rsid w:val="00726145"/>
    <w:rsid w:val="00726282"/>
    <w:rsid w:val="00741FF5"/>
    <w:rsid w:val="00744AAE"/>
    <w:rsid w:val="00752566"/>
    <w:rsid w:val="007536A0"/>
    <w:rsid w:val="00757D8D"/>
    <w:rsid w:val="0076370D"/>
    <w:rsid w:val="007658AD"/>
    <w:rsid w:val="0078213C"/>
    <w:rsid w:val="00785642"/>
    <w:rsid w:val="007A3BED"/>
    <w:rsid w:val="007A4908"/>
    <w:rsid w:val="007A67D1"/>
    <w:rsid w:val="007C6F19"/>
    <w:rsid w:val="007D7B03"/>
    <w:rsid w:val="007E0ED8"/>
    <w:rsid w:val="00803659"/>
    <w:rsid w:val="0081233F"/>
    <w:rsid w:val="00823957"/>
    <w:rsid w:val="00825B8F"/>
    <w:rsid w:val="0083533B"/>
    <w:rsid w:val="00836E03"/>
    <w:rsid w:val="00837A8A"/>
    <w:rsid w:val="00846190"/>
    <w:rsid w:val="0085169D"/>
    <w:rsid w:val="008535AC"/>
    <w:rsid w:val="00853D09"/>
    <w:rsid w:val="00854A7F"/>
    <w:rsid w:val="00855CD1"/>
    <w:rsid w:val="00860ADE"/>
    <w:rsid w:val="00871409"/>
    <w:rsid w:val="00872359"/>
    <w:rsid w:val="0087242E"/>
    <w:rsid w:val="008725F8"/>
    <w:rsid w:val="00872A40"/>
    <w:rsid w:val="0087304A"/>
    <w:rsid w:val="008735D5"/>
    <w:rsid w:val="00873EF6"/>
    <w:rsid w:val="00875358"/>
    <w:rsid w:val="00880988"/>
    <w:rsid w:val="00884CEA"/>
    <w:rsid w:val="00885F59"/>
    <w:rsid w:val="008876D1"/>
    <w:rsid w:val="0089196D"/>
    <w:rsid w:val="008955F1"/>
    <w:rsid w:val="008A3A63"/>
    <w:rsid w:val="008A4903"/>
    <w:rsid w:val="008A605F"/>
    <w:rsid w:val="008A7910"/>
    <w:rsid w:val="008B2289"/>
    <w:rsid w:val="008B7D08"/>
    <w:rsid w:val="008C1B37"/>
    <w:rsid w:val="008C2B86"/>
    <w:rsid w:val="008C5751"/>
    <w:rsid w:val="008C7749"/>
    <w:rsid w:val="008D2FA7"/>
    <w:rsid w:val="008D6B1E"/>
    <w:rsid w:val="008E1A8F"/>
    <w:rsid w:val="008E3F1C"/>
    <w:rsid w:val="008E6CED"/>
    <w:rsid w:val="00900910"/>
    <w:rsid w:val="009009EB"/>
    <w:rsid w:val="00900BA3"/>
    <w:rsid w:val="009015A0"/>
    <w:rsid w:val="009024CB"/>
    <w:rsid w:val="00906A6F"/>
    <w:rsid w:val="00917E94"/>
    <w:rsid w:val="00920E0F"/>
    <w:rsid w:val="00921009"/>
    <w:rsid w:val="009258A2"/>
    <w:rsid w:val="009348B7"/>
    <w:rsid w:val="0093777D"/>
    <w:rsid w:val="00953686"/>
    <w:rsid w:val="00953E37"/>
    <w:rsid w:val="0095716F"/>
    <w:rsid w:val="009615D0"/>
    <w:rsid w:val="00963DCA"/>
    <w:rsid w:val="009672E1"/>
    <w:rsid w:val="00967E94"/>
    <w:rsid w:val="0097034F"/>
    <w:rsid w:val="009729F8"/>
    <w:rsid w:val="00975319"/>
    <w:rsid w:val="00985CEF"/>
    <w:rsid w:val="009860C0"/>
    <w:rsid w:val="00991441"/>
    <w:rsid w:val="009A0629"/>
    <w:rsid w:val="009A3589"/>
    <w:rsid w:val="009A6A94"/>
    <w:rsid w:val="009A7038"/>
    <w:rsid w:val="009B1609"/>
    <w:rsid w:val="009B3475"/>
    <w:rsid w:val="009B7679"/>
    <w:rsid w:val="009C2A20"/>
    <w:rsid w:val="009D0AB8"/>
    <w:rsid w:val="009D3B98"/>
    <w:rsid w:val="009D7BD0"/>
    <w:rsid w:val="009F0EED"/>
    <w:rsid w:val="00A00295"/>
    <w:rsid w:val="00A11BD4"/>
    <w:rsid w:val="00A15F0B"/>
    <w:rsid w:val="00A17472"/>
    <w:rsid w:val="00A20D4E"/>
    <w:rsid w:val="00A23EC9"/>
    <w:rsid w:val="00A25E6F"/>
    <w:rsid w:val="00A26A43"/>
    <w:rsid w:val="00A275C0"/>
    <w:rsid w:val="00A3042A"/>
    <w:rsid w:val="00A3050E"/>
    <w:rsid w:val="00A335C0"/>
    <w:rsid w:val="00A426C8"/>
    <w:rsid w:val="00A52F5C"/>
    <w:rsid w:val="00A6180E"/>
    <w:rsid w:val="00A641FF"/>
    <w:rsid w:val="00A70BA5"/>
    <w:rsid w:val="00A70E45"/>
    <w:rsid w:val="00A712E2"/>
    <w:rsid w:val="00A73156"/>
    <w:rsid w:val="00A74DDF"/>
    <w:rsid w:val="00A76906"/>
    <w:rsid w:val="00A80EFE"/>
    <w:rsid w:val="00A84D5D"/>
    <w:rsid w:val="00A874F6"/>
    <w:rsid w:val="00A95FDC"/>
    <w:rsid w:val="00AA381C"/>
    <w:rsid w:val="00AA674E"/>
    <w:rsid w:val="00AB0CD4"/>
    <w:rsid w:val="00AB347F"/>
    <w:rsid w:val="00AB6F16"/>
    <w:rsid w:val="00AC0175"/>
    <w:rsid w:val="00AC2B22"/>
    <w:rsid w:val="00AC3DB3"/>
    <w:rsid w:val="00AC46A9"/>
    <w:rsid w:val="00AC53B8"/>
    <w:rsid w:val="00AC6B6F"/>
    <w:rsid w:val="00AD018D"/>
    <w:rsid w:val="00AD0A3C"/>
    <w:rsid w:val="00AD0D07"/>
    <w:rsid w:val="00AD31CA"/>
    <w:rsid w:val="00AD32DA"/>
    <w:rsid w:val="00AD530F"/>
    <w:rsid w:val="00AE3A33"/>
    <w:rsid w:val="00AE4844"/>
    <w:rsid w:val="00AF1642"/>
    <w:rsid w:val="00AF26A3"/>
    <w:rsid w:val="00AF53AE"/>
    <w:rsid w:val="00AF599C"/>
    <w:rsid w:val="00AF5DA4"/>
    <w:rsid w:val="00AF70B0"/>
    <w:rsid w:val="00AF7E0B"/>
    <w:rsid w:val="00B07C4B"/>
    <w:rsid w:val="00B16EA3"/>
    <w:rsid w:val="00B27D0B"/>
    <w:rsid w:val="00B326DA"/>
    <w:rsid w:val="00B3484B"/>
    <w:rsid w:val="00B37EAE"/>
    <w:rsid w:val="00B46F2F"/>
    <w:rsid w:val="00B504D0"/>
    <w:rsid w:val="00B522A8"/>
    <w:rsid w:val="00B544B5"/>
    <w:rsid w:val="00B54C17"/>
    <w:rsid w:val="00B57F09"/>
    <w:rsid w:val="00B619AE"/>
    <w:rsid w:val="00B774A1"/>
    <w:rsid w:val="00B81D33"/>
    <w:rsid w:val="00BA2C0E"/>
    <w:rsid w:val="00BA2F74"/>
    <w:rsid w:val="00BA5155"/>
    <w:rsid w:val="00BB1EDE"/>
    <w:rsid w:val="00BB2684"/>
    <w:rsid w:val="00BB26B9"/>
    <w:rsid w:val="00BB6E08"/>
    <w:rsid w:val="00BC4840"/>
    <w:rsid w:val="00BC5369"/>
    <w:rsid w:val="00BD15EE"/>
    <w:rsid w:val="00BE22F5"/>
    <w:rsid w:val="00BE3642"/>
    <w:rsid w:val="00BE51DC"/>
    <w:rsid w:val="00BE5614"/>
    <w:rsid w:val="00BF1F91"/>
    <w:rsid w:val="00BF7AA2"/>
    <w:rsid w:val="00C0104E"/>
    <w:rsid w:val="00C02AB9"/>
    <w:rsid w:val="00C07811"/>
    <w:rsid w:val="00C10383"/>
    <w:rsid w:val="00C11A2D"/>
    <w:rsid w:val="00C12D47"/>
    <w:rsid w:val="00C134A2"/>
    <w:rsid w:val="00C14E25"/>
    <w:rsid w:val="00C157AD"/>
    <w:rsid w:val="00C16030"/>
    <w:rsid w:val="00C16491"/>
    <w:rsid w:val="00C27801"/>
    <w:rsid w:val="00C34BDD"/>
    <w:rsid w:val="00C36C44"/>
    <w:rsid w:val="00C44B83"/>
    <w:rsid w:val="00C54492"/>
    <w:rsid w:val="00C72604"/>
    <w:rsid w:val="00C75934"/>
    <w:rsid w:val="00C81BCD"/>
    <w:rsid w:val="00C81E9F"/>
    <w:rsid w:val="00C824BD"/>
    <w:rsid w:val="00C9138D"/>
    <w:rsid w:val="00CA026A"/>
    <w:rsid w:val="00CA2657"/>
    <w:rsid w:val="00CA5499"/>
    <w:rsid w:val="00CA552E"/>
    <w:rsid w:val="00CB0B26"/>
    <w:rsid w:val="00CB1A20"/>
    <w:rsid w:val="00CB3D22"/>
    <w:rsid w:val="00CB7D7D"/>
    <w:rsid w:val="00CC0C36"/>
    <w:rsid w:val="00CD704B"/>
    <w:rsid w:val="00CD7092"/>
    <w:rsid w:val="00CE0C3B"/>
    <w:rsid w:val="00CE48A2"/>
    <w:rsid w:val="00CF1907"/>
    <w:rsid w:val="00D034B5"/>
    <w:rsid w:val="00D125F3"/>
    <w:rsid w:val="00D13ACD"/>
    <w:rsid w:val="00D16755"/>
    <w:rsid w:val="00D20620"/>
    <w:rsid w:val="00D22AFE"/>
    <w:rsid w:val="00D365E1"/>
    <w:rsid w:val="00D368B5"/>
    <w:rsid w:val="00D4054E"/>
    <w:rsid w:val="00D40E08"/>
    <w:rsid w:val="00D67592"/>
    <w:rsid w:val="00D71DC8"/>
    <w:rsid w:val="00DA3647"/>
    <w:rsid w:val="00DB1DA7"/>
    <w:rsid w:val="00DB5E46"/>
    <w:rsid w:val="00DC11DE"/>
    <w:rsid w:val="00DC4C3F"/>
    <w:rsid w:val="00DD08A0"/>
    <w:rsid w:val="00DD2912"/>
    <w:rsid w:val="00DD2F91"/>
    <w:rsid w:val="00DE42AA"/>
    <w:rsid w:val="00DF2255"/>
    <w:rsid w:val="00E01C3B"/>
    <w:rsid w:val="00E1052A"/>
    <w:rsid w:val="00E15CFA"/>
    <w:rsid w:val="00E17CFE"/>
    <w:rsid w:val="00E248B1"/>
    <w:rsid w:val="00E24A99"/>
    <w:rsid w:val="00E32C20"/>
    <w:rsid w:val="00E3548F"/>
    <w:rsid w:val="00E35F4E"/>
    <w:rsid w:val="00E4088B"/>
    <w:rsid w:val="00E41D6F"/>
    <w:rsid w:val="00E52A28"/>
    <w:rsid w:val="00E55350"/>
    <w:rsid w:val="00E63BF9"/>
    <w:rsid w:val="00E6641B"/>
    <w:rsid w:val="00E733F2"/>
    <w:rsid w:val="00E73BD3"/>
    <w:rsid w:val="00E73DFC"/>
    <w:rsid w:val="00E76BC8"/>
    <w:rsid w:val="00E853F1"/>
    <w:rsid w:val="00E862CD"/>
    <w:rsid w:val="00E92A72"/>
    <w:rsid w:val="00E93A5D"/>
    <w:rsid w:val="00E96152"/>
    <w:rsid w:val="00E97588"/>
    <w:rsid w:val="00EA5747"/>
    <w:rsid w:val="00EB44F1"/>
    <w:rsid w:val="00EB7CD8"/>
    <w:rsid w:val="00EC062A"/>
    <w:rsid w:val="00EC06D0"/>
    <w:rsid w:val="00EC5C9F"/>
    <w:rsid w:val="00ED06D8"/>
    <w:rsid w:val="00ED4F3C"/>
    <w:rsid w:val="00ED6639"/>
    <w:rsid w:val="00ED7BD0"/>
    <w:rsid w:val="00EE3DE5"/>
    <w:rsid w:val="00EE59DC"/>
    <w:rsid w:val="00EE7EEA"/>
    <w:rsid w:val="00EF7AB7"/>
    <w:rsid w:val="00F04A9B"/>
    <w:rsid w:val="00F13B18"/>
    <w:rsid w:val="00F15987"/>
    <w:rsid w:val="00F16F7B"/>
    <w:rsid w:val="00F246FE"/>
    <w:rsid w:val="00F24E60"/>
    <w:rsid w:val="00F26A96"/>
    <w:rsid w:val="00F36971"/>
    <w:rsid w:val="00F3718C"/>
    <w:rsid w:val="00F423C1"/>
    <w:rsid w:val="00F51D6D"/>
    <w:rsid w:val="00F55D81"/>
    <w:rsid w:val="00F5618F"/>
    <w:rsid w:val="00F565CB"/>
    <w:rsid w:val="00F56794"/>
    <w:rsid w:val="00F70266"/>
    <w:rsid w:val="00F7190C"/>
    <w:rsid w:val="00F71CB7"/>
    <w:rsid w:val="00F75E29"/>
    <w:rsid w:val="00F80565"/>
    <w:rsid w:val="00F82BE9"/>
    <w:rsid w:val="00F90C59"/>
    <w:rsid w:val="00F955FF"/>
    <w:rsid w:val="00F95C54"/>
    <w:rsid w:val="00FA1A59"/>
    <w:rsid w:val="00FA24FA"/>
    <w:rsid w:val="00FA45F6"/>
    <w:rsid w:val="00FA7EAF"/>
    <w:rsid w:val="00FB153E"/>
    <w:rsid w:val="00FB47FB"/>
    <w:rsid w:val="00FB7572"/>
    <w:rsid w:val="00FC37D5"/>
    <w:rsid w:val="00FC5BE7"/>
    <w:rsid w:val="00FC6A75"/>
    <w:rsid w:val="00FD2789"/>
    <w:rsid w:val="00FD2CE8"/>
    <w:rsid w:val="00FD2DB5"/>
    <w:rsid w:val="00FD4F9E"/>
    <w:rsid w:val="00FE1BE3"/>
    <w:rsid w:val="00FE33BC"/>
    <w:rsid w:val="00FF1553"/>
    <w:rsid w:val="00FF30F9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4C3C1668-3C66-41F5-AD18-C278EF0F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603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60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6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6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next w:val="Normal"/>
    <w:qFormat/>
    <w:rsid w:val="00C16030"/>
    <w:pPr>
      <w:overflowPunct w:val="0"/>
      <w:autoSpaceDE w:val="0"/>
      <w:autoSpaceDN w:val="0"/>
      <w:adjustRightInd w:val="0"/>
      <w:textAlignment w:val="baseline"/>
      <w:outlineLvl w:val="8"/>
    </w:pPr>
    <w:rPr>
      <w:rFonts w:ascii="Courier" w:hAnsi="Courier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603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C160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6030"/>
  </w:style>
  <w:style w:type="paragraph" w:styleId="Footer">
    <w:name w:val="footer"/>
    <w:basedOn w:val="Normal"/>
    <w:rsid w:val="00C160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C16030"/>
    <w:rPr>
      <w:vertAlign w:val="superscript"/>
    </w:rPr>
  </w:style>
  <w:style w:type="paragraph" w:styleId="FootnoteText">
    <w:name w:val="footnote text"/>
    <w:basedOn w:val="Normal"/>
    <w:semiHidden/>
    <w:rsid w:val="00C16030"/>
    <w:rPr>
      <w:sz w:val="20"/>
      <w:szCs w:val="20"/>
    </w:rPr>
  </w:style>
  <w:style w:type="paragraph" w:styleId="BalloonText">
    <w:name w:val="Balloon Text"/>
    <w:basedOn w:val="Normal"/>
    <w:semiHidden/>
    <w:rsid w:val="00C160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160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6030"/>
    <w:rPr>
      <w:sz w:val="20"/>
      <w:szCs w:val="20"/>
    </w:rPr>
  </w:style>
  <w:style w:type="table" w:styleId="TableGrid">
    <w:name w:val="Table Grid"/>
    <w:basedOn w:val="TableNormal"/>
    <w:uiPriority w:val="59"/>
    <w:rsid w:val="00C1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C16030"/>
    <w:pPr>
      <w:tabs>
        <w:tab w:val="right" w:leader="dot" w:pos="8630"/>
      </w:tabs>
    </w:pPr>
    <w:rPr>
      <w:b/>
      <w:sz w:val="22"/>
      <w:szCs w:val="22"/>
      <w:lang w:val="fr-BE"/>
    </w:rPr>
  </w:style>
  <w:style w:type="paragraph" w:styleId="TOC2">
    <w:name w:val="toc 2"/>
    <w:basedOn w:val="Normal"/>
    <w:next w:val="Normal"/>
    <w:autoRedefine/>
    <w:semiHidden/>
    <w:rsid w:val="00C16030"/>
    <w:pPr>
      <w:ind w:left="240"/>
    </w:pPr>
  </w:style>
  <w:style w:type="paragraph" w:styleId="TOC3">
    <w:name w:val="toc 3"/>
    <w:basedOn w:val="Normal"/>
    <w:next w:val="Normal"/>
    <w:autoRedefine/>
    <w:semiHidden/>
    <w:rsid w:val="00C16030"/>
    <w:pPr>
      <w:ind w:left="480"/>
    </w:pPr>
  </w:style>
  <w:style w:type="character" w:styleId="Hyperlink">
    <w:name w:val="Hyperlink"/>
    <w:rsid w:val="00C16030"/>
    <w:rPr>
      <w:color w:val="0000FF"/>
      <w:u w:val="single"/>
    </w:rPr>
  </w:style>
  <w:style w:type="paragraph" w:customStyle="1" w:styleId="Default">
    <w:name w:val="Default"/>
    <w:rsid w:val="009C2A2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1052A"/>
    <w:pPr>
      <w:ind w:left="720"/>
    </w:pPr>
  </w:style>
  <w:style w:type="paragraph" w:styleId="NormalWeb">
    <w:name w:val="Normal (Web)"/>
    <w:basedOn w:val="Normal"/>
    <w:uiPriority w:val="99"/>
    <w:unhideWhenUsed/>
    <w:rsid w:val="00031760"/>
    <w:pPr>
      <w:spacing w:before="100" w:beforeAutospacing="1" w:after="100" w:afterAutospacing="1"/>
    </w:pPr>
    <w:rPr>
      <w:lang w:val="fr-BE" w:eastAsia="fr-BE"/>
    </w:rPr>
  </w:style>
  <w:style w:type="character" w:customStyle="1" w:styleId="CommentTextChar">
    <w:name w:val="Comment Text Char"/>
    <w:link w:val="CommentText"/>
    <w:semiHidden/>
    <w:rsid w:val="005B7BA5"/>
  </w:style>
  <w:style w:type="paragraph" w:styleId="CommentSubject">
    <w:name w:val="annotation subject"/>
    <w:basedOn w:val="CommentText"/>
    <w:next w:val="CommentText"/>
    <w:link w:val="CommentSubjectChar"/>
    <w:rsid w:val="00F71CB7"/>
    <w:rPr>
      <w:b/>
      <w:bCs/>
    </w:rPr>
  </w:style>
  <w:style w:type="character" w:customStyle="1" w:styleId="CommentSubjectChar">
    <w:name w:val="Comment Subject Char"/>
    <w:link w:val="CommentSubject"/>
    <w:rsid w:val="00F71CB7"/>
    <w:rPr>
      <w:b/>
      <w:bCs/>
      <w:lang w:val="en-US" w:eastAsia="en-US"/>
    </w:rPr>
  </w:style>
  <w:style w:type="character" w:styleId="FollowedHyperlink">
    <w:name w:val="FollowedHyperlink"/>
    <w:rsid w:val="00E93A5D"/>
    <w:rPr>
      <w:color w:val="800080"/>
      <w:u w:val="single"/>
    </w:rPr>
  </w:style>
  <w:style w:type="paragraph" w:customStyle="1" w:styleId="BoiteVakje">
    <w:name w:val="Boite/Vakje"/>
    <w:basedOn w:val="Normal"/>
    <w:rsid w:val="00C34BDD"/>
    <w:pPr>
      <w:spacing w:line="200" w:lineRule="atLeast"/>
    </w:pPr>
    <w:rPr>
      <w:rFonts w:ascii="Arial" w:eastAsia="Calibri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fontTable" Target="fontTable.xml"/><Relationship Id="rId21" Type="http://schemas.openxmlformats.org/officeDocument/2006/relationships/package" Target="embeddings/Microsoft_Excel_Worksheet4.xlsx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5" Type="http://schemas.openxmlformats.org/officeDocument/2006/relationships/package" Target="embeddings/Microsoft_Excel_Worksheet6.xlsx"/><Relationship Id="rId33" Type="http://schemas.openxmlformats.org/officeDocument/2006/relationships/package" Target="embeddings/Microsoft_Excel_Worksheet10.xlsx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Microsoft_Excel_Worksheet8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bb.be/en/articles/circular-nbb201302-expertise-and-professional-integrity-fit-proper" TargetMode="External"/><Relationship Id="rId23" Type="http://schemas.openxmlformats.org/officeDocument/2006/relationships/package" Target="embeddings/Microsoft_Excel_Worksheet5.xlsx"/><Relationship Id="rId28" Type="http://schemas.openxmlformats.org/officeDocument/2006/relationships/image" Target="media/image10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.xlsx"/><Relationship Id="rId31" Type="http://schemas.openxmlformats.org/officeDocument/2006/relationships/package" Target="embeddings/Microsoft_Excel_Worksheet9.xls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s://www.nbb.be/en/articles/communication-cbfa200931-communication-candidate-shareholders-and-assigning-shareholders" TargetMode="External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7.xlsx"/><Relationship Id="rId30" Type="http://schemas.openxmlformats.org/officeDocument/2006/relationships/image" Target="media/image11.emf"/><Relationship Id="rId35" Type="http://schemas.openxmlformats.org/officeDocument/2006/relationships/package" Target="embeddings/Microsoft_Excel_Worksheet11.xlsx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4CF4-2C7B-4CDD-9D60-7444CAA0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CBFA - Entreprises d'assurances - Circulaires &amp; communications - Mémorandum relatif à l'obtention d'un agrément par une entreprise d'assurances de droit belge</vt:lpstr>
    </vt:vector>
  </TitlesOfParts>
  <Company>CBFA</Company>
  <LinksUpToDate>false</LinksUpToDate>
  <CharactersWithSpaces>4265</CharactersWithSpaces>
  <SharedDoc>false</SharedDoc>
  <HLinks>
    <vt:vector size="12" baseType="variant"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https://www.nbb.be/en/articles/circular-nbb201302-expertise-and-professional-integrity-fit-proper</vt:lpwstr>
      </vt:variant>
      <vt:variant>
        <vt:lpwstr/>
      </vt:variant>
      <vt:variant>
        <vt:i4>3866729</vt:i4>
      </vt:variant>
      <vt:variant>
        <vt:i4>9</vt:i4>
      </vt:variant>
      <vt:variant>
        <vt:i4>0</vt:i4>
      </vt:variant>
      <vt:variant>
        <vt:i4>5</vt:i4>
      </vt:variant>
      <vt:variant>
        <vt:lpwstr>https://www.nbb.be/en/articles/communication-cbfa200931-communication-candidate-shareholders-and-assigning-shareholders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CBFA - Entreprises d'assurances - Circulaires &amp; communications - Mémorandum relatif à l'obtention d'un agrément par une entreprise d'assurances de droit belge</dc:title>
  <dc:subject/>
  <dc:creator>CBFA</dc:creator>
  <cp:keywords/>
  <cp:lastModifiedBy>Dame Jean-marie</cp:lastModifiedBy>
  <cp:revision>3</cp:revision>
  <cp:lastPrinted>2017-03-28T13:57:00Z</cp:lastPrinted>
  <dcterms:created xsi:type="dcterms:W3CDTF">2018-11-07T14:41:00Z</dcterms:created>
  <dcterms:modified xsi:type="dcterms:W3CDTF">2018-11-13T11:59:00Z</dcterms:modified>
</cp:coreProperties>
</file>