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113" w:type="dxa"/>
          <w:right w:w="0" w:type="dxa"/>
        </w:tblCellMar>
        <w:tblLook w:val="01E0" w:firstRow="1" w:lastRow="1" w:firstColumn="1" w:lastColumn="1" w:noHBand="0" w:noVBand="0"/>
      </w:tblPr>
      <w:tblGrid>
        <w:gridCol w:w="6067"/>
        <w:gridCol w:w="1644"/>
        <w:gridCol w:w="2212"/>
      </w:tblGrid>
      <w:tr w:rsidR="0005400B" w:rsidRPr="005E197B" w14:paraId="248FE71B" w14:textId="77777777" w:rsidTr="006654E0">
        <w:trPr>
          <w:cantSplit/>
          <w:trHeight w:hRule="exact" w:val="1077"/>
        </w:trPr>
        <w:tc>
          <w:tcPr>
            <w:tcW w:w="6067" w:type="dxa"/>
            <w:vAlign w:val="center"/>
          </w:tcPr>
          <w:p w14:paraId="248FE715" w14:textId="77777777" w:rsidR="0005400B" w:rsidRPr="005E197B" w:rsidRDefault="0048026E" w:rsidP="006654E0">
            <w:pPr>
              <w:pStyle w:val="AdresseAdres"/>
              <w:spacing w:before="300"/>
              <w:rPr>
                <w:noProof w:val="0"/>
              </w:rPr>
            </w:pPr>
            <w:bookmarkStart w:id="0" w:name="_GoBack"/>
            <w:bookmarkEnd w:id="0"/>
            <w:r w:rsidRPr="005E197B">
              <w:rPr>
                <w:noProof w:val="0"/>
              </w:rPr>
              <w:t xml:space="preserve">Boulevard </w:t>
            </w:r>
            <w:r w:rsidR="0005400B" w:rsidRPr="005E197B">
              <w:rPr>
                <w:noProof w:val="0"/>
              </w:rPr>
              <w:t xml:space="preserve">de Berlaimont 14 </w:t>
            </w:r>
            <w:r w:rsidRPr="005E197B">
              <w:rPr>
                <w:noProof w:val="0"/>
              </w:rPr>
              <w:t>– BE-1000 Bruxelles</w:t>
            </w:r>
          </w:p>
          <w:p w14:paraId="248FE716" w14:textId="38D8D662" w:rsidR="0005400B" w:rsidRPr="005E197B" w:rsidRDefault="0048026E" w:rsidP="006654E0">
            <w:pPr>
              <w:pStyle w:val="AdresseAdres"/>
              <w:rPr>
                <w:noProof w:val="0"/>
              </w:rPr>
            </w:pPr>
            <w:r w:rsidRPr="005E197B">
              <w:rPr>
                <w:noProof w:val="0"/>
              </w:rPr>
              <w:t>té</w:t>
            </w:r>
            <w:r w:rsidR="0005400B" w:rsidRPr="005E197B">
              <w:rPr>
                <w:noProof w:val="0"/>
              </w:rPr>
              <w:t xml:space="preserve">l. +32 2 221 </w:t>
            </w:r>
            <w:r w:rsidR="00EF386A">
              <w:rPr>
                <w:noProof w:val="0"/>
              </w:rPr>
              <w:t>38 12</w:t>
            </w:r>
            <w:r w:rsidR="0005400B" w:rsidRPr="005E197B">
              <w:rPr>
                <w:noProof w:val="0"/>
              </w:rPr>
              <w:t xml:space="preserve"> – fax + 32 2 221 </w:t>
            </w:r>
            <w:r w:rsidR="00EF386A">
              <w:rPr>
                <w:noProof w:val="0"/>
              </w:rPr>
              <w:t>31 04</w:t>
            </w:r>
          </w:p>
          <w:p w14:paraId="248FE717" w14:textId="77777777" w:rsidR="0005400B" w:rsidRPr="005E197B" w:rsidRDefault="0048026E" w:rsidP="006654E0">
            <w:pPr>
              <w:pStyle w:val="AdresseAdres"/>
              <w:rPr>
                <w:noProof w:val="0"/>
              </w:rPr>
            </w:pPr>
            <w:r w:rsidRPr="005E197B">
              <w:rPr>
                <w:noProof w:val="0"/>
              </w:rPr>
              <w:t>numéro d’entreprise </w:t>
            </w:r>
            <w:r w:rsidR="0005400B" w:rsidRPr="005E197B">
              <w:rPr>
                <w:noProof w:val="0"/>
              </w:rPr>
              <w:t>: 0203.201.340</w:t>
            </w:r>
          </w:p>
          <w:p w14:paraId="248FE718" w14:textId="77777777" w:rsidR="0005400B" w:rsidRPr="005E197B" w:rsidRDefault="0048026E" w:rsidP="006654E0">
            <w:pPr>
              <w:pStyle w:val="AdresseAdres"/>
              <w:rPr>
                <w:noProof w:val="0"/>
              </w:rPr>
            </w:pPr>
            <w:r w:rsidRPr="005E197B">
              <w:rPr>
                <w:noProof w:val="0"/>
              </w:rPr>
              <w:t>RPM Bruxelles</w:t>
            </w:r>
          </w:p>
          <w:p w14:paraId="248FE719" w14:textId="77777777" w:rsidR="0005400B" w:rsidRPr="005E197B" w:rsidRDefault="0005400B" w:rsidP="0005400B">
            <w:pPr>
              <w:pStyle w:val="AdresseAdres"/>
              <w:rPr>
                <w:noProof w:val="0"/>
              </w:rPr>
            </w:pPr>
            <w:r w:rsidRPr="005E197B">
              <w:rPr>
                <w:noProof w:val="0"/>
              </w:rPr>
              <w:t>www.nbb.be</w:t>
            </w:r>
          </w:p>
        </w:tc>
        <w:tc>
          <w:tcPr>
            <w:tcW w:w="3856" w:type="dxa"/>
            <w:gridSpan w:val="2"/>
            <w:shd w:val="clear" w:color="auto" w:fill="auto"/>
            <w:vAlign w:val="center"/>
          </w:tcPr>
          <w:p w14:paraId="248FE71A" w14:textId="77777777" w:rsidR="0005400B" w:rsidRPr="005E197B" w:rsidRDefault="0005400B" w:rsidP="006654E0">
            <w:pPr>
              <w:spacing w:line="260" w:lineRule="atLeast"/>
              <w:rPr>
                <w:sz w:val="16"/>
                <w:szCs w:val="16"/>
                <w:lang w:val="fr-FR"/>
              </w:rPr>
            </w:pPr>
            <w:r w:rsidRPr="005E197B">
              <w:rPr>
                <w:noProof/>
                <w:sz w:val="16"/>
                <w:szCs w:val="16"/>
                <w:lang w:val="fr-BE" w:eastAsia="fr-BE"/>
              </w:rPr>
              <w:drawing>
                <wp:inline distT="0" distB="0" distL="0" distR="0" wp14:anchorId="248FE80D" wp14:editId="248FE80E">
                  <wp:extent cx="2343150" cy="581025"/>
                  <wp:effectExtent l="19050" t="0" r="0" b="0"/>
                  <wp:docPr id="6"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2"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05400B" w:rsidRPr="005E197B" w14:paraId="248FE71E" w14:textId="77777777" w:rsidTr="006654E0">
        <w:trPr>
          <w:cantSplit/>
          <w:trHeight w:hRule="exact" w:val="850"/>
        </w:trPr>
        <w:tc>
          <w:tcPr>
            <w:tcW w:w="6067" w:type="dxa"/>
            <w:shd w:val="clear" w:color="auto" w:fill="auto"/>
          </w:tcPr>
          <w:p w14:paraId="248FE71C" w14:textId="77777777" w:rsidR="0005400B" w:rsidRPr="005E197B" w:rsidRDefault="0005400B" w:rsidP="006654E0">
            <w:pPr>
              <w:pStyle w:val="AdresseAdres"/>
              <w:tabs>
                <w:tab w:val="center" w:pos="4678"/>
                <w:tab w:val="right" w:pos="9356"/>
              </w:tabs>
              <w:spacing w:line="260" w:lineRule="atLeast"/>
              <w:rPr>
                <w:noProof w:val="0"/>
                <w:sz w:val="16"/>
              </w:rPr>
            </w:pPr>
          </w:p>
        </w:tc>
        <w:tc>
          <w:tcPr>
            <w:tcW w:w="3856" w:type="dxa"/>
            <w:gridSpan w:val="2"/>
            <w:shd w:val="clear" w:color="auto" w:fill="auto"/>
            <w:vAlign w:val="bottom"/>
          </w:tcPr>
          <w:p w14:paraId="248FE71D" w14:textId="77777777" w:rsidR="0005400B" w:rsidRPr="005E197B" w:rsidRDefault="0005400B" w:rsidP="006654E0">
            <w:pPr>
              <w:pStyle w:val="TitreTitel"/>
              <w:keepLines/>
              <w:tabs>
                <w:tab w:val="left" w:pos="284"/>
                <w:tab w:val="right" w:leader="dot" w:pos="9639"/>
              </w:tabs>
              <w:spacing w:after="170"/>
              <w:ind w:left="397" w:right="567" w:hanging="397"/>
              <w:rPr>
                <w:noProof w:val="0"/>
              </w:rPr>
            </w:pPr>
            <w:r w:rsidRPr="005E197B">
              <w:rPr>
                <w:noProof w:val="0"/>
              </w:rPr>
              <w:t>Circulaire</w:t>
            </w:r>
          </w:p>
        </w:tc>
      </w:tr>
      <w:tr w:rsidR="0005400B" w:rsidRPr="005E197B" w14:paraId="248FE721" w14:textId="77777777" w:rsidTr="006654E0">
        <w:trPr>
          <w:cantSplit/>
          <w:trHeight w:hRule="exact" w:val="794"/>
        </w:trPr>
        <w:tc>
          <w:tcPr>
            <w:tcW w:w="6067" w:type="dxa"/>
            <w:vMerge w:val="restart"/>
            <w:shd w:val="clear" w:color="auto" w:fill="auto"/>
          </w:tcPr>
          <w:p w14:paraId="248FE71F" w14:textId="77777777" w:rsidR="0005400B" w:rsidRPr="005E197B" w:rsidRDefault="0005400B" w:rsidP="006654E0">
            <w:pPr>
              <w:pStyle w:val="AdresseAdres"/>
              <w:rPr>
                <w:noProof w:val="0"/>
              </w:rPr>
            </w:pPr>
          </w:p>
        </w:tc>
        <w:tc>
          <w:tcPr>
            <w:tcW w:w="3856" w:type="dxa"/>
            <w:gridSpan w:val="2"/>
          </w:tcPr>
          <w:p w14:paraId="248FE720" w14:textId="422C4167" w:rsidR="0005400B" w:rsidRPr="005E197B" w:rsidRDefault="0048026E" w:rsidP="00EF386A">
            <w:pPr>
              <w:spacing w:line="260" w:lineRule="atLeast"/>
              <w:rPr>
                <w:lang w:val="fr-FR"/>
              </w:rPr>
            </w:pPr>
            <w:r w:rsidRPr="005E197B">
              <w:rPr>
                <w:lang w:val="fr-FR"/>
              </w:rPr>
              <w:t>Bruxelles</w:t>
            </w:r>
            <w:r w:rsidR="0005400B" w:rsidRPr="005E197B">
              <w:rPr>
                <w:lang w:val="fr-FR"/>
              </w:rPr>
              <w:t xml:space="preserve">, </w:t>
            </w:r>
            <w:r w:rsidRPr="005E197B">
              <w:rPr>
                <w:lang w:val="fr-FR"/>
              </w:rPr>
              <w:t xml:space="preserve">le </w:t>
            </w:r>
            <w:r w:rsidR="00EF386A">
              <w:rPr>
                <w:lang w:val="fr-FR"/>
              </w:rPr>
              <w:t>24 avril</w:t>
            </w:r>
            <w:r w:rsidR="0005400B" w:rsidRPr="005E197B">
              <w:rPr>
                <w:lang w:val="fr-FR"/>
              </w:rPr>
              <w:t xml:space="preserve"> 2017</w:t>
            </w:r>
          </w:p>
        </w:tc>
      </w:tr>
      <w:tr w:rsidR="0005400B" w:rsidRPr="005E197B" w14:paraId="248FE725" w14:textId="77777777" w:rsidTr="006654E0">
        <w:trPr>
          <w:cantSplit/>
          <w:trHeight w:hRule="exact" w:val="198"/>
        </w:trPr>
        <w:tc>
          <w:tcPr>
            <w:tcW w:w="6067" w:type="dxa"/>
            <w:vMerge/>
          </w:tcPr>
          <w:p w14:paraId="248FE722" w14:textId="77777777" w:rsidR="0005400B" w:rsidRPr="005E197B" w:rsidRDefault="0005400B" w:rsidP="006654E0">
            <w:pPr>
              <w:spacing w:line="260" w:lineRule="atLeast"/>
              <w:rPr>
                <w:lang w:val="fr-FR"/>
              </w:rPr>
            </w:pPr>
          </w:p>
        </w:tc>
        <w:tc>
          <w:tcPr>
            <w:tcW w:w="1644" w:type="dxa"/>
            <w:vAlign w:val="center"/>
          </w:tcPr>
          <w:p w14:paraId="248FE723" w14:textId="77777777" w:rsidR="0005400B" w:rsidRPr="005E197B" w:rsidRDefault="0005400B" w:rsidP="006654E0">
            <w:pPr>
              <w:pStyle w:val="BoiteVakje"/>
              <w:rPr>
                <w:lang w:val="fr-FR"/>
              </w:rPr>
            </w:pPr>
          </w:p>
        </w:tc>
        <w:tc>
          <w:tcPr>
            <w:tcW w:w="2212" w:type="dxa"/>
            <w:vAlign w:val="center"/>
          </w:tcPr>
          <w:p w14:paraId="248FE724" w14:textId="77777777" w:rsidR="0005400B" w:rsidRPr="005E197B" w:rsidRDefault="0005400B" w:rsidP="006654E0">
            <w:pPr>
              <w:pStyle w:val="BoiteVakje"/>
              <w:rPr>
                <w:sz w:val="16"/>
                <w:szCs w:val="16"/>
                <w:lang w:val="fr-FR"/>
              </w:rPr>
            </w:pPr>
          </w:p>
        </w:tc>
      </w:tr>
      <w:tr w:rsidR="0005400B" w:rsidRPr="005E197B" w14:paraId="248FE729" w14:textId="77777777" w:rsidTr="006654E0">
        <w:trPr>
          <w:cantSplit/>
          <w:trHeight w:hRule="exact" w:val="198"/>
        </w:trPr>
        <w:tc>
          <w:tcPr>
            <w:tcW w:w="6067" w:type="dxa"/>
            <w:vMerge/>
          </w:tcPr>
          <w:p w14:paraId="248FE726" w14:textId="77777777" w:rsidR="0005400B" w:rsidRPr="005E197B" w:rsidRDefault="0005400B" w:rsidP="006654E0">
            <w:pPr>
              <w:tabs>
                <w:tab w:val="left" w:pos="1276"/>
                <w:tab w:val="left" w:pos="2268"/>
              </w:tabs>
              <w:spacing w:line="260" w:lineRule="atLeast"/>
              <w:rPr>
                <w:lang w:val="fr-FR"/>
              </w:rPr>
            </w:pPr>
          </w:p>
        </w:tc>
        <w:tc>
          <w:tcPr>
            <w:tcW w:w="1644" w:type="dxa"/>
            <w:vAlign w:val="center"/>
          </w:tcPr>
          <w:p w14:paraId="248FE727" w14:textId="77777777" w:rsidR="0005400B" w:rsidRPr="005E197B" w:rsidRDefault="0048026E" w:rsidP="006654E0">
            <w:pPr>
              <w:pStyle w:val="BoiteVakje"/>
              <w:rPr>
                <w:lang w:val="fr-FR"/>
              </w:rPr>
            </w:pPr>
            <w:r w:rsidRPr="005E197B">
              <w:rPr>
                <w:lang w:val="fr-FR"/>
              </w:rPr>
              <w:t>Référence </w:t>
            </w:r>
            <w:r w:rsidR="0005400B" w:rsidRPr="005E197B">
              <w:rPr>
                <w:lang w:val="fr-FR"/>
              </w:rPr>
              <w:t xml:space="preserve">: </w:t>
            </w:r>
            <w:r w:rsidR="0005400B" w:rsidRPr="005E197B">
              <w:rPr>
                <w:vanish/>
                <w:color w:val="FF0000"/>
                <w:lang w:val="fr-FR"/>
              </w:rPr>
              <w:t>---------------&gt;</w:t>
            </w:r>
          </w:p>
        </w:tc>
        <w:tc>
          <w:tcPr>
            <w:tcW w:w="2212" w:type="dxa"/>
            <w:vAlign w:val="center"/>
          </w:tcPr>
          <w:p w14:paraId="248FE728" w14:textId="79A98C09" w:rsidR="0005400B" w:rsidRPr="005E197B" w:rsidRDefault="0005400B" w:rsidP="00EF386A">
            <w:pPr>
              <w:pStyle w:val="BoitetexteVakjetekst"/>
              <w:rPr>
                <w:lang w:val="fr-FR"/>
              </w:rPr>
            </w:pPr>
            <w:r w:rsidRPr="00EF386A">
              <w:rPr>
                <w:lang w:val="fr-FR"/>
              </w:rPr>
              <w:t>NBB_2017</w:t>
            </w:r>
            <w:r w:rsidR="00F50590" w:rsidRPr="00EF386A">
              <w:rPr>
                <w:lang w:val="fr-FR"/>
              </w:rPr>
              <w:t>_</w:t>
            </w:r>
            <w:r w:rsidR="00EF386A" w:rsidRPr="00EF386A">
              <w:rPr>
                <w:lang w:val="fr-FR"/>
              </w:rPr>
              <w:t>15</w:t>
            </w:r>
          </w:p>
        </w:tc>
      </w:tr>
      <w:tr w:rsidR="0005400B" w:rsidRPr="005E197B" w14:paraId="248FE72C" w14:textId="77777777" w:rsidTr="006654E0">
        <w:trPr>
          <w:cantSplit/>
          <w:trHeight w:hRule="exact" w:val="198"/>
        </w:trPr>
        <w:tc>
          <w:tcPr>
            <w:tcW w:w="6067" w:type="dxa"/>
            <w:vMerge/>
          </w:tcPr>
          <w:p w14:paraId="248FE72A" w14:textId="77777777" w:rsidR="0005400B" w:rsidRPr="005E197B" w:rsidRDefault="0005400B" w:rsidP="006654E0">
            <w:pPr>
              <w:spacing w:line="260" w:lineRule="atLeast"/>
              <w:rPr>
                <w:lang w:val="fr-FR"/>
              </w:rPr>
            </w:pPr>
          </w:p>
        </w:tc>
        <w:tc>
          <w:tcPr>
            <w:tcW w:w="3856" w:type="dxa"/>
            <w:gridSpan w:val="2"/>
            <w:vAlign w:val="center"/>
          </w:tcPr>
          <w:p w14:paraId="248FE72B" w14:textId="77777777" w:rsidR="0005400B" w:rsidRPr="005E197B" w:rsidRDefault="0005400B" w:rsidP="006654E0">
            <w:pPr>
              <w:pStyle w:val="BoiteVakje"/>
              <w:rPr>
                <w:sz w:val="16"/>
                <w:szCs w:val="16"/>
                <w:lang w:val="fr-FR"/>
              </w:rPr>
            </w:pPr>
          </w:p>
        </w:tc>
      </w:tr>
      <w:tr w:rsidR="0005400B" w:rsidRPr="005E197B" w14:paraId="248FE72F" w14:textId="77777777" w:rsidTr="006654E0">
        <w:trPr>
          <w:cantSplit/>
          <w:trHeight w:hRule="exact" w:val="198"/>
        </w:trPr>
        <w:tc>
          <w:tcPr>
            <w:tcW w:w="6067" w:type="dxa"/>
            <w:vMerge w:val="restart"/>
          </w:tcPr>
          <w:p w14:paraId="248FE72D" w14:textId="77777777" w:rsidR="0005400B" w:rsidRPr="005E197B" w:rsidRDefault="0005400B" w:rsidP="006654E0">
            <w:pPr>
              <w:pStyle w:val="AdresseAdres"/>
              <w:rPr>
                <w:noProof w:val="0"/>
              </w:rPr>
            </w:pPr>
          </w:p>
        </w:tc>
        <w:tc>
          <w:tcPr>
            <w:tcW w:w="3856" w:type="dxa"/>
            <w:gridSpan w:val="2"/>
            <w:vAlign w:val="center"/>
          </w:tcPr>
          <w:p w14:paraId="248FE72E" w14:textId="77777777" w:rsidR="0005400B" w:rsidRPr="005E197B" w:rsidRDefault="0048026E" w:rsidP="006654E0">
            <w:pPr>
              <w:pStyle w:val="BoiteVakje"/>
              <w:rPr>
                <w:lang w:val="fr-FR"/>
              </w:rPr>
            </w:pPr>
            <w:r w:rsidRPr="005E197B">
              <w:rPr>
                <w:lang w:val="fr-FR"/>
              </w:rPr>
              <w:t>vos correspondants</w:t>
            </w:r>
            <w:r w:rsidR="0005400B" w:rsidRPr="005E197B">
              <w:rPr>
                <w:lang w:val="fr-FR"/>
              </w:rPr>
              <w:t xml:space="preserve">: </w:t>
            </w:r>
            <w:r w:rsidR="0005400B" w:rsidRPr="005E197B">
              <w:rPr>
                <w:rFonts w:cs="Arial"/>
                <w:vanish/>
                <w:color w:val="FF0000"/>
                <w:lang w:val="fr-FR"/>
              </w:rPr>
              <w:t>mettez les noms ci-dessous</w:t>
            </w:r>
          </w:p>
        </w:tc>
      </w:tr>
      <w:tr w:rsidR="0005400B" w:rsidRPr="005E197B" w14:paraId="248FE732" w14:textId="77777777" w:rsidTr="006654E0">
        <w:trPr>
          <w:cantSplit/>
          <w:trHeight w:hRule="exact" w:val="57"/>
        </w:trPr>
        <w:tc>
          <w:tcPr>
            <w:tcW w:w="6067" w:type="dxa"/>
            <w:vMerge/>
          </w:tcPr>
          <w:p w14:paraId="248FE730" w14:textId="77777777" w:rsidR="0005400B" w:rsidRPr="005E197B" w:rsidRDefault="0005400B" w:rsidP="006654E0">
            <w:pPr>
              <w:spacing w:line="260" w:lineRule="atLeast"/>
              <w:rPr>
                <w:lang w:val="fr-FR"/>
              </w:rPr>
            </w:pPr>
          </w:p>
        </w:tc>
        <w:tc>
          <w:tcPr>
            <w:tcW w:w="3856" w:type="dxa"/>
            <w:gridSpan w:val="2"/>
            <w:vAlign w:val="center"/>
          </w:tcPr>
          <w:p w14:paraId="248FE731" w14:textId="77777777" w:rsidR="0005400B" w:rsidRPr="005E197B" w:rsidRDefault="0005400B" w:rsidP="006654E0">
            <w:pPr>
              <w:pStyle w:val="BoiteVakje"/>
              <w:rPr>
                <w:lang w:val="fr-FR"/>
              </w:rPr>
            </w:pPr>
          </w:p>
        </w:tc>
      </w:tr>
      <w:tr w:rsidR="0005400B" w:rsidRPr="005E197B" w14:paraId="248FE735" w14:textId="77777777" w:rsidTr="006654E0">
        <w:trPr>
          <w:cantSplit/>
          <w:trHeight w:val="198"/>
        </w:trPr>
        <w:tc>
          <w:tcPr>
            <w:tcW w:w="6067" w:type="dxa"/>
            <w:vMerge/>
          </w:tcPr>
          <w:p w14:paraId="248FE733" w14:textId="77777777" w:rsidR="0005400B" w:rsidRPr="005E197B" w:rsidRDefault="0005400B" w:rsidP="006654E0">
            <w:pPr>
              <w:spacing w:line="260" w:lineRule="atLeast"/>
              <w:rPr>
                <w:lang w:val="fr-FR"/>
              </w:rPr>
            </w:pPr>
          </w:p>
        </w:tc>
        <w:tc>
          <w:tcPr>
            <w:tcW w:w="3856" w:type="dxa"/>
            <w:gridSpan w:val="2"/>
            <w:vAlign w:val="center"/>
          </w:tcPr>
          <w:p w14:paraId="248FE734" w14:textId="77777777" w:rsidR="0005400B" w:rsidRPr="005E197B" w:rsidRDefault="0005400B" w:rsidP="006654E0">
            <w:pPr>
              <w:pStyle w:val="BoiteVakje"/>
              <w:rPr>
                <w:lang w:val="fr-FR"/>
              </w:rPr>
            </w:pPr>
            <w:r w:rsidRPr="005E197B">
              <w:rPr>
                <w:lang w:val="fr-FR"/>
              </w:rPr>
              <w:t>Arthur Van Damme</w:t>
            </w:r>
          </w:p>
        </w:tc>
      </w:tr>
      <w:tr w:rsidR="0005400B" w:rsidRPr="005E197B" w14:paraId="248FE738" w14:textId="77777777" w:rsidTr="006654E0">
        <w:trPr>
          <w:cantSplit/>
          <w:trHeight w:val="198"/>
        </w:trPr>
        <w:tc>
          <w:tcPr>
            <w:tcW w:w="6067" w:type="dxa"/>
            <w:vMerge/>
          </w:tcPr>
          <w:p w14:paraId="248FE736" w14:textId="77777777" w:rsidR="0005400B" w:rsidRPr="005E197B" w:rsidRDefault="0005400B" w:rsidP="006654E0">
            <w:pPr>
              <w:spacing w:line="260" w:lineRule="atLeast"/>
              <w:rPr>
                <w:lang w:val="fr-FR"/>
              </w:rPr>
            </w:pPr>
          </w:p>
        </w:tc>
        <w:tc>
          <w:tcPr>
            <w:tcW w:w="3856" w:type="dxa"/>
            <w:gridSpan w:val="2"/>
            <w:vAlign w:val="center"/>
          </w:tcPr>
          <w:p w14:paraId="248FE737" w14:textId="77777777" w:rsidR="0005400B" w:rsidRPr="005E197B" w:rsidRDefault="0005400B" w:rsidP="0005400B">
            <w:pPr>
              <w:pStyle w:val="BoiteVakje"/>
              <w:rPr>
                <w:lang w:val="fr-FR"/>
              </w:rPr>
            </w:pPr>
            <w:r w:rsidRPr="005E197B">
              <w:rPr>
                <w:lang w:val="fr-FR"/>
              </w:rPr>
              <w:t>tél. +32 2 221 35 04 – fax +32 2 221 31 04</w:t>
            </w:r>
          </w:p>
        </w:tc>
      </w:tr>
      <w:tr w:rsidR="0005400B" w:rsidRPr="005E197B" w14:paraId="248FE73B" w14:textId="77777777" w:rsidTr="006654E0">
        <w:trPr>
          <w:cantSplit/>
          <w:trHeight w:val="198"/>
        </w:trPr>
        <w:tc>
          <w:tcPr>
            <w:tcW w:w="6067" w:type="dxa"/>
            <w:vMerge/>
          </w:tcPr>
          <w:p w14:paraId="248FE739" w14:textId="77777777" w:rsidR="0005400B" w:rsidRPr="005E197B" w:rsidRDefault="0005400B" w:rsidP="006654E0">
            <w:pPr>
              <w:pStyle w:val="SujetOnderwerp"/>
              <w:rPr>
                <w:b w:val="0"/>
                <w:noProof w:val="0"/>
                <w:sz w:val="16"/>
              </w:rPr>
            </w:pPr>
          </w:p>
        </w:tc>
        <w:tc>
          <w:tcPr>
            <w:tcW w:w="3856" w:type="dxa"/>
            <w:gridSpan w:val="2"/>
            <w:vAlign w:val="center"/>
          </w:tcPr>
          <w:p w14:paraId="248FE73A" w14:textId="77777777" w:rsidR="0005400B" w:rsidRPr="005E197B" w:rsidRDefault="00AB0AF3" w:rsidP="0005400B">
            <w:pPr>
              <w:pStyle w:val="BoiteVakje"/>
              <w:rPr>
                <w:b/>
                <w:lang w:val="fr-FR"/>
              </w:rPr>
            </w:pPr>
            <w:hyperlink r:id="rId13" w:history="1">
              <w:r w:rsidR="0005400B" w:rsidRPr="005E197B">
                <w:rPr>
                  <w:rStyle w:val="Hyperlink"/>
                  <w:lang w:val="fr-FR"/>
                </w:rPr>
                <w:t>arthur.vandamme@nbb.be</w:t>
              </w:r>
            </w:hyperlink>
          </w:p>
        </w:tc>
      </w:tr>
      <w:tr w:rsidR="0005400B" w:rsidRPr="005E197B" w14:paraId="248FE73E" w14:textId="77777777" w:rsidTr="006654E0">
        <w:trPr>
          <w:cantSplit/>
          <w:trHeight w:hRule="exact" w:val="57"/>
        </w:trPr>
        <w:tc>
          <w:tcPr>
            <w:tcW w:w="6067" w:type="dxa"/>
            <w:vMerge/>
          </w:tcPr>
          <w:p w14:paraId="248FE73C" w14:textId="77777777" w:rsidR="0005400B" w:rsidRPr="005E197B" w:rsidRDefault="0005400B" w:rsidP="006654E0">
            <w:pPr>
              <w:pStyle w:val="SujetOnderwerp"/>
              <w:rPr>
                <w:b w:val="0"/>
                <w:noProof w:val="0"/>
                <w:sz w:val="16"/>
              </w:rPr>
            </w:pPr>
          </w:p>
        </w:tc>
        <w:tc>
          <w:tcPr>
            <w:tcW w:w="3856" w:type="dxa"/>
            <w:gridSpan w:val="2"/>
            <w:vAlign w:val="center"/>
          </w:tcPr>
          <w:p w14:paraId="248FE73D" w14:textId="77777777" w:rsidR="0005400B" w:rsidRPr="005E197B" w:rsidRDefault="0005400B" w:rsidP="006654E0">
            <w:pPr>
              <w:pStyle w:val="BoiteVakje"/>
              <w:rPr>
                <w:b/>
                <w:lang w:val="fr-FR"/>
              </w:rPr>
            </w:pPr>
          </w:p>
        </w:tc>
      </w:tr>
      <w:tr w:rsidR="0005400B" w:rsidRPr="005E197B" w14:paraId="248FE741" w14:textId="77777777" w:rsidTr="006654E0">
        <w:trPr>
          <w:cantSplit/>
          <w:trHeight w:hRule="exact" w:val="198"/>
        </w:trPr>
        <w:tc>
          <w:tcPr>
            <w:tcW w:w="6067" w:type="dxa"/>
            <w:vMerge/>
            <w:vAlign w:val="center"/>
          </w:tcPr>
          <w:p w14:paraId="248FE73F" w14:textId="77777777" w:rsidR="0005400B" w:rsidRPr="005E197B" w:rsidRDefault="0005400B" w:rsidP="006654E0">
            <w:pPr>
              <w:pStyle w:val="SujetOnderwerp"/>
              <w:rPr>
                <w:b w:val="0"/>
                <w:noProof w:val="0"/>
                <w:sz w:val="16"/>
              </w:rPr>
            </w:pPr>
          </w:p>
        </w:tc>
        <w:tc>
          <w:tcPr>
            <w:tcW w:w="3856" w:type="dxa"/>
            <w:gridSpan w:val="2"/>
            <w:vAlign w:val="center"/>
          </w:tcPr>
          <w:p w14:paraId="248FE740" w14:textId="77777777" w:rsidR="0005400B" w:rsidRPr="005E197B" w:rsidRDefault="0005400B" w:rsidP="006654E0">
            <w:pPr>
              <w:pStyle w:val="BoiteVakje"/>
              <w:rPr>
                <w:b/>
                <w:lang w:val="fr-FR"/>
              </w:rPr>
            </w:pPr>
            <w:r w:rsidRPr="005E197B">
              <w:rPr>
                <w:lang w:val="fr-FR"/>
              </w:rPr>
              <w:t>Stéphane Folie</w:t>
            </w:r>
          </w:p>
        </w:tc>
      </w:tr>
      <w:tr w:rsidR="0005400B" w:rsidRPr="005E197B" w14:paraId="248FE744" w14:textId="77777777" w:rsidTr="006654E0">
        <w:trPr>
          <w:cantSplit/>
          <w:trHeight w:hRule="exact" w:val="198"/>
        </w:trPr>
        <w:tc>
          <w:tcPr>
            <w:tcW w:w="6067" w:type="dxa"/>
            <w:vMerge/>
            <w:vAlign w:val="center"/>
          </w:tcPr>
          <w:p w14:paraId="248FE742" w14:textId="77777777" w:rsidR="0005400B" w:rsidRPr="005E197B" w:rsidRDefault="0005400B" w:rsidP="006654E0">
            <w:pPr>
              <w:pStyle w:val="SujetOnderwerp"/>
              <w:rPr>
                <w:b w:val="0"/>
                <w:noProof w:val="0"/>
                <w:sz w:val="16"/>
              </w:rPr>
            </w:pPr>
          </w:p>
        </w:tc>
        <w:tc>
          <w:tcPr>
            <w:tcW w:w="3856" w:type="dxa"/>
            <w:gridSpan w:val="2"/>
            <w:vAlign w:val="center"/>
          </w:tcPr>
          <w:p w14:paraId="248FE743" w14:textId="77777777" w:rsidR="0005400B" w:rsidRPr="005E197B" w:rsidRDefault="0005400B" w:rsidP="0005400B">
            <w:pPr>
              <w:pStyle w:val="BoiteVakje"/>
              <w:rPr>
                <w:b/>
                <w:lang w:val="fr-FR"/>
              </w:rPr>
            </w:pPr>
            <w:r w:rsidRPr="005E197B">
              <w:rPr>
                <w:lang w:val="fr-FR"/>
              </w:rPr>
              <w:t>tél. +32 2 221 31 41 – fax +32 2 221 31 04</w:t>
            </w:r>
          </w:p>
        </w:tc>
      </w:tr>
      <w:tr w:rsidR="0005400B" w:rsidRPr="005E197B" w14:paraId="248FE747" w14:textId="77777777" w:rsidTr="006654E0">
        <w:trPr>
          <w:cantSplit/>
          <w:trHeight w:hRule="exact" w:val="198"/>
        </w:trPr>
        <w:tc>
          <w:tcPr>
            <w:tcW w:w="6067" w:type="dxa"/>
            <w:vMerge/>
            <w:vAlign w:val="center"/>
          </w:tcPr>
          <w:p w14:paraId="248FE745" w14:textId="77777777" w:rsidR="0005400B" w:rsidRPr="005E197B" w:rsidRDefault="0005400B" w:rsidP="006654E0">
            <w:pPr>
              <w:pStyle w:val="SujetOnderwerp"/>
              <w:rPr>
                <w:b w:val="0"/>
                <w:noProof w:val="0"/>
                <w:sz w:val="16"/>
              </w:rPr>
            </w:pPr>
          </w:p>
        </w:tc>
        <w:tc>
          <w:tcPr>
            <w:tcW w:w="3856" w:type="dxa"/>
            <w:gridSpan w:val="2"/>
            <w:vAlign w:val="center"/>
          </w:tcPr>
          <w:p w14:paraId="248FE746" w14:textId="77777777" w:rsidR="0005400B" w:rsidRPr="005E197B" w:rsidRDefault="00AB0AF3" w:rsidP="00F50590">
            <w:pPr>
              <w:pStyle w:val="BoiteVakje"/>
              <w:rPr>
                <w:b/>
                <w:lang w:val="fr-FR"/>
              </w:rPr>
            </w:pPr>
            <w:hyperlink r:id="rId14" w:history="1">
              <w:r w:rsidR="00F50590" w:rsidRPr="005E197B">
                <w:rPr>
                  <w:rStyle w:val="Hyperlink"/>
                  <w:lang w:val="fr-FR"/>
                </w:rPr>
                <w:t>stephane.folie@nbb.be</w:t>
              </w:r>
            </w:hyperlink>
            <w:r w:rsidR="00F50590" w:rsidRPr="005E197B">
              <w:rPr>
                <w:lang w:val="fr-FR"/>
              </w:rPr>
              <w:t xml:space="preserve"> </w:t>
            </w:r>
          </w:p>
        </w:tc>
      </w:tr>
      <w:tr w:rsidR="0005400B" w:rsidRPr="005E197B" w14:paraId="248FE749" w14:textId="77777777" w:rsidTr="006654E0">
        <w:trPr>
          <w:cantSplit/>
          <w:trHeight w:hRule="exact" w:val="1191"/>
        </w:trPr>
        <w:tc>
          <w:tcPr>
            <w:tcW w:w="9923" w:type="dxa"/>
            <w:gridSpan w:val="3"/>
            <w:tcMar>
              <w:top w:w="113" w:type="dxa"/>
            </w:tcMar>
            <w:vAlign w:val="bottom"/>
          </w:tcPr>
          <w:p w14:paraId="248FE748" w14:textId="2A06C95B" w:rsidR="0005400B" w:rsidRPr="005E197B" w:rsidRDefault="0007516F" w:rsidP="00EF386A">
            <w:pPr>
              <w:pStyle w:val="SujetOnderwerp"/>
              <w:jc w:val="both"/>
              <w:rPr>
                <w:noProof w:val="0"/>
              </w:rPr>
            </w:pPr>
            <w:r>
              <w:rPr>
                <w:noProof w:val="0"/>
              </w:rPr>
              <w:t xml:space="preserve">Reporting sur les </w:t>
            </w:r>
            <w:r w:rsidR="0048026E" w:rsidRPr="005E197B">
              <w:rPr>
                <w:noProof w:val="0"/>
              </w:rPr>
              <w:t xml:space="preserve">risques inhérents </w:t>
            </w:r>
            <w:r w:rsidR="005E197B">
              <w:rPr>
                <w:noProof w:val="0"/>
              </w:rPr>
              <w:t xml:space="preserve">en matière de </w:t>
            </w:r>
            <w:r w:rsidR="0048026E" w:rsidRPr="005E197B">
              <w:rPr>
                <w:noProof w:val="0"/>
              </w:rPr>
              <w:t xml:space="preserve">blanchiment de capitaux et </w:t>
            </w:r>
            <w:r w:rsidR="005E197B">
              <w:rPr>
                <w:noProof w:val="0"/>
              </w:rPr>
              <w:t xml:space="preserve">de </w:t>
            </w:r>
            <w:r w:rsidR="0048026E" w:rsidRPr="005E197B">
              <w:rPr>
                <w:noProof w:val="0"/>
              </w:rPr>
              <w:t>financement du terrorisme au</w:t>
            </w:r>
            <w:r w:rsidR="00975F12" w:rsidRPr="005E197B">
              <w:rPr>
                <w:noProof w:val="0"/>
              </w:rPr>
              <w:t>x</w:t>
            </w:r>
            <w:r w:rsidR="0048026E" w:rsidRPr="005E197B">
              <w:rPr>
                <w:noProof w:val="0"/>
              </w:rPr>
              <w:t>quels sont exposés les établissements financiers</w:t>
            </w:r>
          </w:p>
        </w:tc>
      </w:tr>
      <w:tr w:rsidR="0005400B" w:rsidRPr="005E197B" w14:paraId="248FE74B" w14:textId="77777777" w:rsidTr="0005400B">
        <w:trPr>
          <w:cantSplit/>
          <w:trHeight w:hRule="exact" w:val="397"/>
        </w:trPr>
        <w:tc>
          <w:tcPr>
            <w:tcW w:w="9923" w:type="dxa"/>
            <w:gridSpan w:val="3"/>
            <w:vAlign w:val="center"/>
          </w:tcPr>
          <w:p w14:paraId="248FE74A" w14:textId="77777777" w:rsidR="0005400B" w:rsidRPr="005E197B" w:rsidRDefault="0005400B" w:rsidP="006654E0">
            <w:pPr>
              <w:spacing w:line="260" w:lineRule="atLeast"/>
              <w:rPr>
                <w:lang w:val="fr-FR"/>
              </w:rPr>
            </w:pPr>
          </w:p>
        </w:tc>
      </w:tr>
    </w:tbl>
    <w:p w14:paraId="248FE74C" w14:textId="77777777" w:rsidR="0005400B" w:rsidRPr="005E197B" w:rsidRDefault="0005400B" w:rsidP="006654E0">
      <w:pPr>
        <w:rPr>
          <w:lang w:val="fr-FR"/>
        </w:rPr>
      </w:pPr>
    </w:p>
    <w:p w14:paraId="248FE74D" w14:textId="77777777" w:rsidR="0005400B" w:rsidRPr="005E197B" w:rsidRDefault="0048026E" w:rsidP="00EF386A">
      <w:pPr>
        <w:pStyle w:val="Sous-titreOndertitel"/>
        <w:jc w:val="both"/>
        <w:rPr>
          <w:lang w:val="fr-FR"/>
        </w:rPr>
      </w:pPr>
      <w:r w:rsidRPr="005E197B">
        <w:rPr>
          <w:lang w:val="fr-FR"/>
        </w:rPr>
        <w:t>Champ d’application</w:t>
      </w:r>
    </w:p>
    <w:p w14:paraId="248FE74E" w14:textId="77777777" w:rsidR="00044873" w:rsidRPr="005E197B" w:rsidRDefault="00044873" w:rsidP="00EF386A">
      <w:pPr>
        <w:jc w:val="both"/>
        <w:rPr>
          <w:i/>
          <w:sz w:val="22"/>
          <w:lang w:val="fr-FR"/>
        </w:rPr>
      </w:pPr>
      <w:r w:rsidRPr="005E197B">
        <w:rPr>
          <w:i/>
          <w:sz w:val="22"/>
          <w:lang w:val="fr-FR"/>
        </w:rPr>
        <w:t>-</w:t>
      </w:r>
      <w:r w:rsidR="00132755" w:rsidRPr="005E197B">
        <w:rPr>
          <w:i/>
          <w:sz w:val="22"/>
          <w:lang w:val="fr-FR"/>
        </w:rPr>
        <w:t xml:space="preserve"> </w:t>
      </w:r>
      <w:r w:rsidRPr="005E197B">
        <w:rPr>
          <w:i/>
          <w:sz w:val="22"/>
          <w:lang w:val="fr-FR"/>
        </w:rPr>
        <w:tab/>
      </w:r>
      <w:r w:rsidR="00B157EF" w:rsidRPr="005E197B">
        <w:rPr>
          <w:i/>
          <w:sz w:val="22"/>
          <w:lang w:val="fr-FR"/>
        </w:rPr>
        <w:t>tous les établissements de crédit, y compris les</w:t>
      </w:r>
      <w:r w:rsidR="00EC675E" w:rsidRPr="005E197B">
        <w:rPr>
          <w:i/>
          <w:sz w:val="22"/>
          <w:lang w:val="fr-FR"/>
        </w:rPr>
        <w:t xml:space="preserve"> succursales UE</w:t>
      </w:r>
      <w:r w:rsidR="000F7757" w:rsidRPr="005E197B">
        <w:rPr>
          <w:i/>
          <w:sz w:val="22"/>
          <w:lang w:val="fr-FR"/>
        </w:rPr>
        <w:t xml:space="preserve"> et non </w:t>
      </w:r>
      <w:r w:rsidR="00EC675E" w:rsidRPr="005E197B">
        <w:rPr>
          <w:i/>
          <w:sz w:val="22"/>
          <w:lang w:val="fr-FR"/>
        </w:rPr>
        <w:t>UE</w:t>
      </w:r>
      <w:r w:rsidR="00B157EF" w:rsidRPr="005E197B">
        <w:rPr>
          <w:i/>
          <w:sz w:val="22"/>
          <w:lang w:val="fr-FR"/>
        </w:rPr>
        <w:t xml:space="preserve">; </w:t>
      </w:r>
    </w:p>
    <w:p w14:paraId="248FE74F" w14:textId="77777777" w:rsidR="00044873" w:rsidRPr="005E197B" w:rsidRDefault="00044873" w:rsidP="00EF386A">
      <w:pPr>
        <w:jc w:val="both"/>
        <w:rPr>
          <w:i/>
          <w:sz w:val="22"/>
          <w:lang w:val="fr-FR"/>
        </w:rPr>
      </w:pPr>
      <w:r w:rsidRPr="005E197B">
        <w:rPr>
          <w:i/>
          <w:sz w:val="22"/>
          <w:lang w:val="fr-FR"/>
        </w:rPr>
        <w:t>-</w:t>
      </w:r>
      <w:r w:rsidRPr="005E197B">
        <w:rPr>
          <w:i/>
          <w:sz w:val="22"/>
          <w:lang w:val="fr-FR"/>
        </w:rPr>
        <w:tab/>
      </w:r>
      <w:r w:rsidR="00B157EF" w:rsidRPr="005E197B">
        <w:rPr>
          <w:i/>
          <w:sz w:val="22"/>
          <w:lang w:val="fr-FR"/>
        </w:rPr>
        <w:t>toutes les sociétés de bourse, y compris les suc</w:t>
      </w:r>
      <w:r w:rsidR="000F7757" w:rsidRPr="005E197B">
        <w:rPr>
          <w:i/>
          <w:sz w:val="22"/>
          <w:lang w:val="fr-FR"/>
        </w:rPr>
        <w:t xml:space="preserve">cursales </w:t>
      </w:r>
      <w:r w:rsidR="00EC675E" w:rsidRPr="005E197B">
        <w:rPr>
          <w:i/>
          <w:sz w:val="22"/>
          <w:lang w:val="fr-FR"/>
        </w:rPr>
        <w:t>UE</w:t>
      </w:r>
      <w:r w:rsidR="000F7757" w:rsidRPr="005E197B">
        <w:rPr>
          <w:i/>
          <w:sz w:val="22"/>
          <w:lang w:val="fr-FR"/>
        </w:rPr>
        <w:t xml:space="preserve"> et non </w:t>
      </w:r>
      <w:r w:rsidR="00EC675E" w:rsidRPr="005E197B">
        <w:rPr>
          <w:i/>
          <w:sz w:val="22"/>
          <w:lang w:val="fr-FR"/>
        </w:rPr>
        <w:t>UE</w:t>
      </w:r>
      <w:r w:rsidRPr="005E197B">
        <w:rPr>
          <w:i/>
          <w:sz w:val="22"/>
          <w:lang w:val="fr-FR"/>
        </w:rPr>
        <w:t>;</w:t>
      </w:r>
    </w:p>
    <w:p w14:paraId="248FE750" w14:textId="77777777" w:rsidR="00044873" w:rsidRPr="005E197B" w:rsidRDefault="00044873" w:rsidP="00EF386A">
      <w:pPr>
        <w:ind w:left="284" w:hanging="284"/>
        <w:jc w:val="both"/>
        <w:rPr>
          <w:i/>
          <w:sz w:val="22"/>
          <w:lang w:val="fr-FR"/>
        </w:rPr>
      </w:pPr>
      <w:r w:rsidRPr="005E197B">
        <w:rPr>
          <w:i/>
          <w:sz w:val="22"/>
          <w:lang w:val="fr-FR"/>
        </w:rPr>
        <w:t>-</w:t>
      </w:r>
      <w:r w:rsidRPr="005E197B">
        <w:rPr>
          <w:i/>
          <w:sz w:val="22"/>
          <w:lang w:val="fr-FR"/>
        </w:rPr>
        <w:tab/>
      </w:r>
      <w:r w:rsidR="000F7757" w:rsidRPr="005E197B">
        <w:rPr>
          <w:i/>
          <w:sz w:val="22"/>
          <w:lang w:val="fr-FR"/>
        </w:rPr>
        <w:t>toutes les en</w:t>
      </w:r>
      <w:r w:rsidR="00EC675E" w:rsidRPr="005E197B">
        <w:rPr>
          <w:i/>
          <w:sz w:val="22"/>
          <w:lang w:val="fr-FR"/>
        </w:rPr>
        <w:t xml:space="preserve">treprises d’assurance qui disposent de l’agrément pour exercer les </w:t>
      </w:r>
      <w:r w:rsidR="000F7757" w:rsidRPr="005E197B">
        <w:rPr>
          <w:i/>
          <w:sz w:val="22"/>
          <w:lang w:val="fr-FR"/>
        </w:rPr>
        <w:t>activité</w:t>
      </w:r>
      <w:r w:rsidR="00EC675E" w:rsidRPr="005E197B">
        <w:rPr>
          <w:i/>
          <w:sz w:val="22"/>
          <w:lang w:val="fr-FR"/>
        </w:rPr>
        <w:t>s</w:t>
      </w:r>
      <w:r w:rsidR="000F7757" w:rsidRPr="005E197B">
        <w:rPr>
          <w:i/>
          <w:sz w:val="22"/>
          <w:lang w:val="fr-FR"/>
        </w:rPr>
        <w:t xml:space="preserve"> d’assurance-vie</w:t>
      </w:r>
      <w:r w:rsidRPr="005E197B">
        <w:rPr>
          <w:i/>
          <w:sz w:val="22"/>
          <w:lang w:val="fr-FR"/>
        </w:rPr>
        <w:t xml:space="preserve">, </w:t>
      </w:r>
      <w:r w:rsidR="000F7757" w:rsidRPr="005E197B">
        <w:rPr>
          <w:i/>
          <w:sz w:val="22"/>
          <w:lang w:val="fr-FR"/>
        </w:rPr>
        <w:t xml:space="preserve">y compris les succursales </w:t>
      </w:r>
      <w:r w:rsidR="00EC675E" w:rsidRPr="005E197B">
        <w:rPr>
          <w:i/>
          <w:sz w:val="22"/>
          <w:lang w:val="fr-FR"/>
        </w:rPr>
        <w:t>UE</w:t>
      </w:r>
      <w:r w:rsidR="000F7757" w:rsidRPr="005E197B">
        <w:rPr>
          <w:i/>
          <w:sz w:val="22"/>
          <w:lang w:val="fr-FR"/>
        </w:rPr>
        <w:t xml:space="preserve"> et non </w:t>
      </w:r>
      <w:r w:rsidR="00EC675E" w:rsidRPr="005E197B">
        <w:rPr>
          <w:i/>
          <w:sz w:val="22"/>
          <w:lang w:val="fr-FR"/>
        </w:rPr>
        <w:t>UE</w:t>
      </w:r>
      <w:r w:rsidRPr="005E197B">
        <w:rPr>
          <w:i/>
          <w:sz w:val="22"/>
          <w:lang w:val="fr-FR"/>
        </w:rPr>
        <w:t>;</w:t>
      </w:r>
    </w:p>
    <w:p w14:paraId="248FE751" w14:textId="77777777" w:rsidR="00044873" w:rsidRPr="005E197B" w:rsidRDefault="00044873" w:rsidP="00EF386A">
      <w:pPr>
        <w:pStyle w:val="IntroductionInleiding"/>
        <w:spacing w:after="0"/>
        <w:ind w:left="284" w:hanging="284"/>
        <w:jc w:val="both"/>
        <w:rPr>
          <w:lang w:val="fr-FR"/>
        </w:rPr>
      </w:pPr>
      <w:r w:rsidRPr="005E197B">
        <w:rPr>
          <w:lang w:val="fr-FR"/>
        </w:rPr>
        <w:t>-</w:t>
      </w:r>
      <w:r w:rsidRPr="005E197B">
        <w:rPr>
          <w:lang w:val="fr-FR"/>
        </w:rPr>
        <w:tab/>
      </w:r>
      <w:r w:rsidR="000F7757" w:rsidRPr="005E197B">
        <w:rPr>
          <w:lang w:val="fr-FR"/>
        </w:rPr>
        <w:t>tous les établi</w:t>
      </w:r>
      <w:r w:rsidR="00E56E83" w:rsidRPr="005E197B">
        <w:rPr>
          <w:lang w:val="fr-FR"/>
        </w:rPr>
        <w:t xml:space="preserve">ssements de paiement et </w:t>
      </w:r>
      <w:r w:rsidR="00EC675E" w:rsidRPr="005E197B">
        <w:rPr>
          <w:lang w:val="fr-FR"/>
        </w:rPr>
        <w:t xml:space="preserve">tous les établissements </w:t>
      </w:r>
      <w:r w:rsidR="000F7757" w:rsidRPr="005E197B">
        <w:rPr>
          <w:lang w:val="fr-FR"/>
        </w:rPr>
        <w:t xml:space="preserve">de monnaie électronique, y compris les succursales </w:t>
      </w:r>
      <w:r w:rsidR="00EC675E" w:rsidRPr="005E197B">
        <w:rPr>
          <w:lang w:val="fr-FR"/>
        </w:rPr>
        <w:t>UE</w:t>
      </w:r>
      <w:r w:rsidR="000F7757" w:rsidRPr="005E197B">
        <w:rPr>
          <w:lang w:val="fr-FR"/>
        </w:rPr>
        <w:t xml:space="preserve"> et non </w:t>
      </w:r>
      <w:r w:rsidR="00EC675E" w:rsidRPr="005E197B">
        <w:rPr>
          <w:lang w:val="fr-FR"/>
        </w:rPr>
        <w:t>UE</w:t>
      </w:r>
      <w:r w:rsidR="000F7757" w:rsidRPr="005E197B">
        <w:rPr>
          <w:lang w:val="fr-FR"/>
        </w:rPr>
        <w:t>;</w:t>
      </w:r>
    </w:p>
    <w:p w14:paraId="248FE752" w14:textId="77777777" w:rsidR="00044873" w:rsidRPr="005E197B" w:rsidRDefault="00044873" w:rsidP="00EF386A">
      <w:pPr>
        <w:pStyle w:val="IntroductionInleiding"/>
        <w:spacing w:after="0"/>
        <w:ind w:left="284" w:hanging="284"/>
        <w:jc w:val="both"/>
        <w:rPr>
          <w:lang w:val="fr-FR"/>
        </w:rPr>
      </w:pPr>
      <w:r w:rsidRPr="005E197B">
        <w:rPr>
          <w:lang w:val="fr-FR"/>
        </w:rPr>
        <w:t>-</w:t>
      </w:r>
      <w:r w:rsidRPr="005E197B">
        <w:rPr>
          <w:lang w:val="fr-FR"/>
        </w:rPr>
        <w:tab/>
      </w:r>
      <w:r w:rsidR="00E56E83" w:rsidRPr="005E197B">
        <w:rPr>
          <w:lang w:val="fr-FR"/>
        </w:rPr>
        <w:t>tous les points de</w:t>
      </w:r>
      <w:r w:rsidR="00EC675E" w:rsidRPr="005E197B">
        <w:rPr>
          <w:lang w:val="fr-FR"/>
        </w:rPr>
        <w:t xml:space="preserve"> contact centraux en Belgique des </w:t>
      </w:r>
      <w:r w:rsidR="00C56E4D" w:rsidRPr="005E197B">
        <w:rPr>
          <w:lang w:val="fr-FR"/>
        </w:rPr>
        <w:t xml:space="preserve">établissements de paiement et </w:t>
      </w:r>
      <w:r w:rsidR="00E56E83" w:rsidRPr="005E197B">
        <w:rPr>
          <w:lang w:val="fr-FR"/>
        </w:rPr>
        <w:t>de</w:t>
      </w:r>
      <w:r w:rsidR="00EC675E" w:rsidRPr="005E197B">
        <w:rPr>
          <w:lang w:val="fr-FR"/>
        </w:rPr>
        <w:t>s établissements de</w:t>
      </w:r>
      <w:r w:rsidR="00E56E83" w:rsidRPr="005E197B">
        <w:rPr>
          <w:lang w:val="fr-FR"/>
        </w:rPr>
        <w:t xml:space="preserve"> monna</w:t>
      </w:r>
      <w:r w:rsidR="00EC675E" w:rsidRPr="005E197B">
        <w:rPr>
          <w:lang w:val="fr-FR"/>
        </w:rPr>
        <w:t>ie électronique agréés</w:t>
      </w:r>
      <w:r w:rsidR="00E56E83" w:rsidRPr="005E197B">
        <w:rPr>
          <w:lang w:val="fr-FR"/>
        </w:rPr>
        <w:t xml:space="preserve"> dans d’autres </w:t>
      </w:r>
      <w:r w:rsidR="00E56E83" w:rsidRPr="005E197B">
        <w:rPr>
          <w:rFonts w:cs="Arial"/>
          <w:lang w:val="fr-FR"/>
        </w:rPr>
        <w:t>É</w:t>
      </w:r>
      <w:r w:rsidR="00E56E83" w:rsidRPr="005E197B">
        <w:rPr>
          <w:lang w:val="fr-FR"/>
        </w:rPr>
        <w:t>tats membres de l’Espace économique européen</w:t>
      </w:r>
      <w:r w:rsidRPr="005E197B">
        <w:rPr>
          <w:lang w:val="fr-FR"/>
        </w:rPr>
        <w:t xml:space="preserve">; </w:t>
      </w:r>
    </w:p>
    <w:p w14:paraId="248FE753" w14:textId="77777777" w:rsidR="00044873" w:rsidRPr="005E197B" w:rsidRDefault="00044873" w:rsidP="00EF386A">
      <w:pPr>
        <w:pStyle w:val="IntroductionInleiding"/>
        <w:ind w:left="284" w:hanging="284"/>
        <w:jc w:val="both"/>
        <w:rPr>
          <w:lang w:val="fr-FR"/>
        </w:rPr>
      </w:pPr>
      <w:r w:rsidRPr="005E197B">
        <w:rPr>
          <w:lang w:val="fr-FR"/>
        </w:rPr>
        <w:t>-</w:t>
      </w:r>
      <w:r w:rsidRPr="005E197B">
        <w:rPr>
          <w:lang w:val="fr-FR"/>
        </w:rPr>
        <w:tab/>
      </w:r>
      <w:r w:rsidR="00E56E83" w:rsidRPr="005E197B">
        <w:rPr>
          <w:lang w:val="fr-FR"/>
        </w:rPr>
        <w:t xml:space="preserve">tous les organismes de liquidation et organismes assimilés à des organismes de liquidation, y compris les succursales </w:t>
      </w:r>
      <w:r w:rsidR="00EC675E" w:rsidRPr="005E197B">
        <w:rPr>
          <w:lang w:val="fr-FR"/>
        </w:rPr>
        <w:t>UE</w:t>
      </w:r>
      <w:r w:rsidR="00E56E83" w:rsidRPr="005E197B">
        <w:rPr>
          <w:lang w:val="fr-FR"/>
        </w:rPr>
        <w:t xml:space="preserve"> et non </w:t>
      </w:r>
      <w:r w:rsidR="00EC675E" w:rsidRPr="005E197B">
        <w:rPr>
          <w:lang w:val="fr-FR"/>
        </w:rPr>
        <w:t>UE</w:t>
      </w:r>
      <w:r w:rsidR="00F61108" w:rsidRPr="005E197B">
        <w:rPr>
          <w:lang w:val="fr-FR"/>
        </w:rPr>
        <w:t>.</w:t>
      </w:r>
    </w:p>
    <w:p w14:paraId="248FE754" w14:textId="77777777" w:rsidR="0005400B" w:rsidRPr="005E197B" w:rsidRDefault="000454EE" w:rsidP="00EF386A">
      <w:pPr>
        <w:pStyle w:val="Sous-titreOndertitel"/>
        <w:jc w:val="both"/>
        <w:rPr>
          <w:lang w:val="fr-FR"/>
        </w:rPr>
      </w:pPr>
      <w:r w:rsidRPr="005E197B">
        <w:rPr>
          <w:lang w:val="fr-FR"/>
        </w:rPr>
        <w:t>Résumé / Objectif</w:t>
      </w:r>
    </w:p>
    <w:p w14:paraId="248FE755" w14:textId="6B1A22D2" w:rsidR="0005400B" w:rsidRPr="005E197B" w:rsidRDefault="00F26A3A" w:rsidP="00EF386A">
      <w:pPr>
        <w:pStyle w:val="IntroductionInleiding"/>
        <w:jc w:val="both"/>
        <w:rPr>
          <w:lang w:val="fr-FR"/>
        </w:rPr>
      </w:pPr>
      <w:r w:rsidRPr="005E197B">
        <w:rPr>
          <w:lang w:val="fr-FR"/>
        </w:rPr>
        <w:t>Par la présente circulaire, la Banque nationale de Belgique vise à obtenir de</w:t>
      </w:r>
      <w:r w:rsidR="00505B77">
        <w:rPr>
          <w:lang w:val="fr-FR"/>
        </w:rPr>
        <w:t xml:space="preserve"> la part de</w:t>
      </w:r>
      <w:r w:rsidRPr="005E197B">
        <w:rPr>
          <w:lang w:val="fr-FR"/>
        </w:rPr>
        <w:t>s établissements financiers des informations standardisées devant lui permettre de renforcer son approche fondée sur les risques dans l’exercice de ses compétences légales de contrôle en matière de lutte contre le blanchiment de capitaux et le financement du terrorisme.</w:t>
      </w:r>
      <w:r w:rsidR="00132755" w:rsidRPr="005E197B">
        <w:rPr>
          <w:lang w:val="fr-FR"/>
        </w:rPr>
        <w:t xml:space="preserve"> </w:t>
      </w:r>
    </w:p>
    <w:p w14:paraId="248FE756" w14:textId="77777777" w:rsidR="0005400B" w:rsidRPr="005E197B" w:rsidRDefault="00F26A3A" w:rsidP="00EF386A">
      <w:pPr>
        <w:pStyle w:val="Sous-titreOndertitel"/>
        <w:jc w:val="both"/>
        <w:rPr>
          <w:lang w:val="fr-FR"/>
        </w:rPr>
      </w:pPr>
      <w:r w:rsidRPr="005E197B">
        <w:rPr>
          <w:lang w:val="fr-FR"/>
        </w:rPr>
        <w:t>Structure</w:t>
      </w:r>
    </w:p>
    <w:p w14:paraId="248FE757" w14:textId="77777777" w:rsidR="00794D8C" w:rsidRPr="005E197B" w:rsidRDefault="00794D8C" w:rsidP="00EF386A">
      <w:pPr>
        <w:pStyle w:val="IntroductionInleiding"/>
        <w:spacing w:after="0" w:line="240" w:lineRule="auto"/>
        <w:ind w:left="714"/>
        <w:jc w:val="both"/>
        <w:rPr>
          <w:lang w:val="fr-FR"/>
        </w:rPr>
      </w:pPr>
    </w:p>
    <w:p w14:paraId="248FE758" w14:textId="77777777" w:rsidR="0005400B" w:rsidRPr="005E197B" w:rsidRDefault="00EB0851" w:rsidP="00EF386A">
      <w:pPr>
        <w:pStyle w:val="IntroductionInleiding"/>
        <w:numPr>
          <w:ilvl w:val="0"/>
          <w:numId w:val="31"/>
        </w:numPr>
        <w:spacing w:after="0" w:line="240" w:lineRule="auto"/>
        <w:ind w:left="714" w:hanging="357"/>
        <w:jc w:val="both"/>
        <w:rPr>
          <w:lang w:val="fr-FR"/>
        </w:rPr>
      </w:pPr>
      <w:r w:rsidRPr="005E197B">
        <w:rPr>
          <w:lang w:val="fr-FR"/>
        </w:rPr>
        <w:t>In</w:t>
      </w:r>
      <w:r w:rsidR="00F26A3A" w:rsidRPr="005E197B">
        <w:rPr>
          <w:lang w:val="fr-FR"/>
        </w:rPr>
        <w:t>troduction</w:t>
      </w:r>
    </w:p>
    <w:p w14:paraId="248FE759" w14:textId="77777777" w:rsidR="00447FED" w:rsidRPr="005E197B" w:rsidRDefault="00F26A3A" w:rsidP="00EF386A">
      <w:pPr>
        <w:pStyle w:val="IntroductionInleiding"/>
        <w:numPr>
          <w:ilvl w:val="0"/>
          <w:numId w:val="31"/>
        </w:numPr>
        <w:spacing w:after="0" w:line="240" w:lineRule="auto"/>
        <w:ind w:left="714" w:hanging="357"/>
        <w:jc w:val="both"/>
        <w:rPr>
          <w:lang w:val="fr-FR"/>
        </w:rPr>
      </w:pPr>
      <w:r w:rsidRPr="005E197B">
        <w:rPr>
          <w:lang w:val="fr-FR"/>
        </w:rPr>
        <w:t>Contexte</w:t>
      </w:r>
    </w:p>
    <w:p w14:paraId="248FE75A" w14:textId="77777777" w:rsidR="00447FED" w:rsidRPr="005E197B" w:rsidRDefault="00F26A3A" w:rsidP="00EF386A">
      <w:pPr>
        <w:pStyle w:val="IntroductionInleiding"/>
        <w:numPr>
          <w:ilvl w:val="0"/>
          <w:numId w:val="31"/>
        </w:numPr>
        <w:spacing w:after="0" w:line="240" w:lineRule="auto"/>
        <w:ind w:left="714" w:hanging="357"/>
        <w:jc w:val="both"/>
        <w:rPr>
          <w:lang w:val="fr-FR"/>
        </w:rPr>
      </w:pPr>
      <w:r w:rsidRPr="005E197B">
        <w:rPr>
          <w:lang w:val="fr-FR"/>
        </w:rPr>
        <w:t>Inclusion dans le questionnaire périodique</w:t>
      </w:r>
    </w:p>
    <w:p w14:paraId="248FE75B" w14:textId="77777777" w:rsidR="00794D8C" w:rsidRPr="005E197B" w:rsidRDefault="00B0584F" w:rsidP="00EF386A">
      <w:pPr>
        <w:pStyle w:val="IntroductionInleiding"/>
        <w:numPr>
          <w:ilvl w:val="0"/>
          <w:numId w:val="31"/>
        </w:numPr>
        <w:spacing w:after="0" w:line="240" w:lineRule="auto"/>
        <w:ind w:left="714" w:hanging="357"/>
        <w:jc w:val="both"/>
        <w:rPr>
          <w:lang w:val="fr-FR"/>
        </w:rPr>
      </w:pPr>
      <w:r w:rsidRPr="005E197B">
        <w:rPr>
          <w:lang w:val="fr-FR"/>
        </w:rPr>
        <w:t>Calendrier</w:t>
      </w:r>
    </w:p>
    <w:p w14:paraId="248FE75C" w14:textId="77777777" w:rsidR="00794D8C" w:rsidRPr="005E197B" w:rsidRDefault="00EB65A6" w:rsidP="00EF386A">
      <w:pPr>
        <w:pStyle w:val="IntroductionInleiding"/>
        <w:numPr>
          <w:ilvl w:val="0"/>
          <w:numId w:val="31"/>
        </w:numPr>
        <w:spacing w:after="0" w:line="240" w:lineRule="auto"/>
        <w:ind w:left="714" w:hanging="357"/>
        <w:jc w:val="both"/>
        <w:rPr>
          <w:lang w:val="fr-FR"/>
        </w:rPr>
      </w:pPr>
      <w:r w:rsidRPr="005E197B">
        <w:rPr>
          <w:rFonts w:cs="Arial"/>
          <w:lang w:val="fr-FR"/>
        </w:rPr>
        <w:t>Aspect</w:t>
      </w:r>
      <w:r w:rsidR="00B0584F" w:rsidRPr="005E197B">
        <w:rPr>
          <w:lang w:val="fr-FR"/>
        </w:rPr>
        <w:t>s pratiques</w:t>
      </w:r>
    </w:p>
    <w:p w14:paraId="248FE75D" w14:textId="77777777" w:rsidR="00794D8C" w:rsidRPr="005E197B" w:rsidRDefault="00BC59C3" w:rsidP="00EF386A">
      <w:pPr>
        <w:pStyle w:val="IntroductionInleiding"/>
        <w:numPr>
          <w:ilvl w:val="0"/>
          <w:numId w:val="31"/>
        </w:numPr>
        <w:spacing w:after="0" w:line="240" w:lineRule="auto"/>
        <w:ind w:left="714" w:hanging="357"/>
        <w:jc w:val="both"/>
        <w:rPr>
          <w:lang w:val="fr-FR"/>
        </w:rPr>
      </w:pPr>
      <w:r w:rsidRPr="005E197B">
        <w:rPr>
          <w:lang w:val="fr-FR"/>
        </w:rPr>
        <w:t>Méthodologie de réponse</w:t>
      </w:r>
      <w:r w:rsidR="00A63271" w:rsidRPr="005E197B">
        <w:rPr>
          <w:lang w:val="fr-FR"/>
        </w:rPr>
        <w:t xml:space="preserve"> au</w:t>
      </w:r>
      <w:r w:rsidR="00B0584F" w:rsidRPr="005E197B">
        <w:rPr>
          <w:lang w:val="fr-FR"/>
        </w:rPr>
        <w:t xml:space="preserve"> questionnaire</w:t>
      </w:r>
    </w:p>
    <w:p w14:paraId="248FE75E" w14:textId="77777777" w:rsidR="00B0584F" w:rsidRPr="005E197B" w:rsidRDefault="00B0584F" w:rsidP="00EF386A">
      <w:pPr>
        <w:tabs>
          <w:tab w:val="clear" w:pos="284"/>
        </w:tabs>
        <w:spacing w:line="240" w:lineRule="auto"/>
        <w:jc w:val="both"/>
        <w:rPr>
          <w:lang w:val="fr-FR"/>
        </w:rPr>
      </w:pPr>
      <w:r w:rsidRPr="005E197B">
        <w:rPr>
          <w:lang w:val="fr-FR"/>
        </w:rPr>
        <w:br w:type="page"/>
      </w:r>
    </w:p>
    <w:p w14:paraId="248FE75F" w14:textId="77777777" w:rsidR="0005400B" w:rsidRPr="005E197B" w:rsidRDefault="0005400B" w:rsidP="00EF386A">
      <w:pPr>
        <w:jc w:val="both"/>
        <w:rPr>
          <w:lang w:val="fr-FR"/>
        </w:rPr>
      </w:pPr>
    </w:p>
    <w:p w14:paraId="248FE760" w14:textId="77777777" w:rsidR="0005400B" w:rsidRPr="005E197B" w:rsidRDefault="00B0584F" w:rsidP="00EF386A">
      <w:pPr>
        <w:jc w:val="both"/>
        <w:rPr>
          <w:lang w:val="fr-FR"/>
        </w:rPr>
      </w:pPr>
      <w:r w:rsidRPr="005E197B">
        <w:rPr>
          <w:lang w:val="fr-FR"/>
        </w:rPr>
        <w:t>Madame,</w:t>
      </w:r>
      <w:r w:rsidR="0005400B" w:rsidRPr="005E197B">
        <w:rPr>
          <w:lang w:val="fr-FR"/>
        </w:rPr>
        <w:t xml:space="preserve"> </w:t>
      </w:r>
    </w:p>
    <w:p w14:paraId="248FE761" w14:textId="77777777" w:rsidR="0005400B" w:rsidRPr="005E197B" w:rsidRDefault="00B0584F" w:rsidP="00EF386A">
      <w:pPr>
        <w:jc w:val="both"/>
        <w:rPr>
          <w:lang w:val="fr-FR"/>
        </w:rPr>
      </w:pPr>
      <w:r w:rsidRPr="005E197B">
        <w:rPr>
          <w:lang w:val="fr-FR"/>
        </w:rPr>
        <w:t>Monsieur,</w:t>
      </w:r>
    </w:p>
    <w:p w14:paraId="248FE762" w14:textId="77777777" w:rsidR="0005400B" w:rsidRPr="005E197B" w:rsidRDefault="0005400B" w:rsidP="00EF386A">
      <w:pPr>
        <w:jc w:val="both"/>
        <w:rPr>
          <w:lang w:val="fr-FR"/>
        </w:rPr>
      </w:pPr>
    </w:p>
    <w:p w14:paraId="248FE763" w14:textId="5AE9667C" w:rsidR="00B818FA" w:rsidRPr="005E197B" w:rsidRDefault="0033489A" w:rsidP="00EF386A">
      <w:pPr>
        <w:jc w:val="both"/>
        <w:rPr>
          <w:lang w:val="fr-FR"/>
        </w:rPr>
      </w:pPr>
      <w:r w:rsidRPr="005E197B">
        <w:rPr>
          <w:lang w:val="fr-FR"/>
        </w:rPr>
        <w:t>Joint à</w:t>
      </w:r>
      <w:r w:rsidR="002B45C3" w:rsidRPr="005E197B">
        <w:rPr>
          <w:lang w:val="fr-FR"/>
        </w:rPr>
        <w:t xml:space="preserve"> la présente circulaire, nous vous transmettons le questionnaire </w:t>
      </w:r>
      <w:r w:rsidR="006C74DC">
        <w:rPr>
          <w:lang w:val="fr-FR"/>
        </w:rPr>
        <w:t xml:space="preserve">par lequel </w:t>
      </w:r>
      <w:r w:rsidR="002B45C3" w:rsidRPr="005E197B">
        <w:rPr>
          <w:lang w:val="fr-FR"/>
        </w:rPr>
        <w:t>la Banque nationale de Belgique</w:t>
      </w:r>
      <w:r w:rsidR="00170E74" w:rsidRPr="005E197B">
        <w:rPr>
          <w:lang w:val="fr-FR"/>
        </w:rPr>
        <w:t xml:space="preserve"> </w:t>
      </w:r>
      <w:r w:rsidR="002B45C3" w:rsidRPr="005E197B">
        <w:rPr>
          <w:lang w:val="fr-FR"/>
        </w:rPr>
        <w:t xml:space="preserve">(ci-après </w:t>
      </w:r>
      <w:r w:rsidR="002B45C3" w:rsidRPr="005E197B">
        <w:rPr>
          <w:rFonts w:cs="Arial"/>
          <w:lang w:val="fr-FR"/>
        </w:rPr>
        <w:t>«</w:t>
      </w:r>
      <w:r w:rsidR="002B45C3" w:rsidRPr="005E197B">
        <w:rPr>
          <w:lang w:val="fr-FR"/>
        </w:rPr>
        <w:t> la Banque </w:t>
      </w:r>
      <w:r w:rsidR="002B45C3" w:rsidRPr="005E197B">
        <w:rPr>
          <w:rFonts w:cs="Arial"/>
          <w:lang w:val="fr-FR"/>
        </w:rPr>
        <w:t>»</w:t>
      </w:r>
      <w:r w:rsidR="00FE7C3D" w:rsidRPr="005E197B">
        <w:rPr>
          <w:lang w:val="fr-FR"/>
        </w:rPr>
        <w:t xml:space="preserve">) </w:t>
      </w:r>
      <w:r w:rsidR="002B45C3" w:rsidRPr="005E197B">
        <w:rPr>
          <w:lang w:val="fr-FR"/>
        </w:rPr>
        <w:t xml:space="preserve">souhaite obtenir des informations standardisées sur les risques inhérents liés au blanchiment de capitaux et au financement du terrorisme (ci-après </w:t>
      </w:r>
      <w:r w:rsidR="00CB660D" w:rsidRPr="005E197B">
        <w:rPr>
          <w:rFonts w:cs="Arial"/>
          <w:lang w:val="fr-FR"/>
        </w:rPr>
        <w:t>«</w:t>
      </w:r>
      <w:r w:rsidR="00CB660D" w:rsidRPr="005E197B">
        <w:rPr>
          <w:lang w:val="fr-FR"/>
        </w:rPr>
        <w:t> </w:t>
      </w:r>
      <w:r w:rsidR="002B45C3" w:rsidRPr="005E197B">
        <w:rPr>
          <w:lang w:val="fr-FR"/>
        </w:rPr>
        <w:t>BC/FT</w:t>
      </w:r>
      <w:r w:rsidR="00CB660D" w:rsidRPr="005E197B">
        <w:rPr>
          <w:lang w:val="fr-FR"/>
        </w:rPr>
        <w:t> </w:t>
      </w:r>
      <w:r w:rsidR="00CB660D" w:rsidRPr="005E197B">
        <w:rPr>
          <w:rFonts w:cs="Arial"/>
          <w:lang w:val="fr-FR"/>
        </w:rPr>
        <w:t>»</w:t>
      </w:r>
      <w:r w:rsidR="002B45C3" w:rsidRPr="005E197B">
        <w:rPr>
          <w:lang w:val="fr-FR"/>
        </w:rPr>
        <w:t>) qui menacent votre établissement</w:t>
      </w:r>
      <w:r w:rsidR="008C3918" w:rsidRPr="005E197B">
        <w:rPr>
          <w:lang w:val="fr-FR"/>
        </w:rPr>
        <w:t>.</w:t>
      </w:r>
      <w:r w:rsidR="00B1572B" w:rsidRPr="005E197B">
        <w:rPr>
          <w:lang w:val="fr-FR"/>
        </w:rPr>
        <w:t xml:space="preserve"> </w:t>
      </w:r>
      <w:r w:rsidR="002B45C3" w:rsidRPr="005E197B">
        <w:rPr>
          <w:lang w:val="fr-FR"/>
        </w:rPr>
        <w:t>La Banque attend de votre établissement financier</w:t>
      </w:r>
      <w:r w:rsidR="007651BC" w:rsidRPr="005E197B">
        <w:rPr>
          <w:lang w:val="fr-FR"/>
        </w:rPr>
        <w:t xml:space="preserve"> qu’il lui </w:t>
      </w:r>
      <w:r w:rsidR="00505B77">
        <w:rPr>
          <w:lang w:val="fr-FR"/>
        </w:rPr>
        <w:t>adresse</w:t>
      </w:r>
      <w:r w:rsidR="007651BC" w:rsidRPr="005E197B">
        <w:rPr>
          <w:lang w:val="fr-FR"/>
        </w:rPr>
        <w:t xml:space="preserve"> le rapport</w:t>
      </w:r>
      <w:r w:rsidR="002B45C3" w:rsidRPr="005E197B">
        <w:rPr>
          <w:lang w:val="fr-FR"/>
        </w:rPr>
        <w:t xml:space="preserve"> complété </w:t>
      </w:r>
      <w:r w:rsidR="00CB660D" w:rsidRPr="005E197B">
        <w:rPr>
          <w:lang w:val="fr-FR"/>
        </w:rPr>
        <w:t>conformément aux modalités qui suivent.</w:t>
      </w:r>
    </w:p>
    <w:p w14:paraId="248FE764" w14:textId="77777777" w:rsidR="00B818FA" w:rsidRPr="005E197B" w:rsidRDefault="00B818FA" w:rsidP="00EF386A">
      <w:pPr>
        <w:jc w:val="both"/>
        <w:rPr>
          <w:lang w:val="fr-FR"/>
        </w:rPr>
      </w:pPr>
    </w:p>
    <w:p w14:paraId="248FE765" w14:textId="77777777" w:rsidR="00B818FA" w:rsidRPr="005E197B" w:rsidRDefault="00B818FA" w:rsidP="00EF386A">
      <w:pPr>
        <w:jc w:val="both"/>
        <w:rPr>
          <w:lang w:val="fr-FR"/>
        </w:rPr>
      </w:pPr>
    </w:p>
    <w:p w14:paraId="248FE766" w14:textId="77777777" w:rsidR="00B818FA" w:rsidRPr="005E197B" w:rsidRDefault="00B1572B" w:rsidP="00EF386A">
      <w:pPr>
        <w:pStyle w:val="ListParagraph"/>
        <w:numPr>
          <w:ilvl w:val="0"/>
          <w:numId w:val="32"/>
        </w:numPr>
        <w:jc w:val="both"/>
        <w:rPr>
          <w:u w:val="single"/>
          <w:lang w:val="fr-FR"/>
        </w:rPr>
      </w:pPr>
      <w:r w:rsidRPr="005E197B">
        <w:rPr>
          <w:u w:val="single"/>
          <w:lang w:val="fr-FR"/>
        </w:rPr>
        <w:t>In</w:t>
      </w:r>
      <w:r w:rsidR="00CB660D" w:rsidRPr="005E197B">
        <w:rPr>
          <w:u w:val="single"/>
          <w:lang w:val="fr-FR"/>
        </w:rPr>
        <w:t>troduction</w:t>
      </w:r>
    </w:p>
    <w:p w14:paraId="248FE767" w14:textId="77777777" w:rsidR="00B818FA" w:rsidRPr="005E197B" w:rsidRDefault="00B818FA" w:rsidP="00EF386A">
      <w:pPr>
        <w:jc w:val="both"/>
        <w:rPr>
          <w:lang w:val="fr-FR"/>
        </w:rPr>
      </w:pPr>
    </w:p>
    <w:p w14:paraId="248FE768" w14:textId="77777777" w:rsidR="0005400B" w:rsidRPr="005E197B" w:rsidRDefault="00CB660D" w:rsidP="00EF386A">
      <w:pPr>
        <w:jc w:val="both"/>
        <w:rPr>
          <w:lang w:val="fr-FR"/>
        </w:rPr>
      </w:pPr>
      <w:r w:rsidRPr="005E197B">
        <w:rPr>
          <w:lang w:val="fr-FR"/>
        </w:rPr>
        <w:t>E</w:t>
      </w:r>
      <w:r w:rsidR="00FE7C3D" w:rsidRPr="005E197B">
        <w:rPr>
          <w:lang w:val="fr-FR"/>
        </w:rPr>
        <w:t>n 2013</w:t>
      </w:r>
      <w:r w:rsidRPr="005E197B">
        <w:rPr>
          <w:lang w:val="fr-FR"/>
        </w:rPr>
        <w:t>, la Banque a pour la première fois fait parvenir aux établissements financiers un questionnaire relatif à la lutte contre le blanchiment de capitaux et le financement</w:t>
      </w:r>
      <w:r w:rsidR="00FE7C3D" w:rsidRPr="005E197B">
        <w:rPr>
          <w:lang w:val="fr-FR"/>
        </w:rPr>
        <w:t xml:space="preserve"> </w:t>
      </w:r>
      <w:r w:rsidRPr="005E197B">
        <w:rPr>
          <w:lang w:val="fr-FR"/>
        </w:rPr>
        <w:t xml:space="preserve">du terrorisme (ci-après </w:t>
      </w:r>
      <w:r w:rsidRPr="005E197B">
        <w:rPr>
          <w:rFonts w:cs="Arial"/>
          <w:lang w:val="fr-FR"/>
        </w:rPr>
        <w:t>«</w:t>
      </w:r>
      <w:r w:rsidR="006C74DC">
        <w:rPr>
          <w:rFonts w:cs="Arial"/>
          <w:lang w:val="fr-FR"/>
        </w:rPr>
        <w:t> </w:t>
      </w:r>
      <w:r w:rsidRPr="005E197B">
        <w:rPr>
          <w:lang w:val="fr-FR"/>
        </w:rPr>
        <w:t>LBC/FT </w:t>
      </w:r>
      <w:r w:rsidRPr="005E197B">
        <w:rPr>
          <w:rFonts w:cs="Arial"/>
          <w:lang w:val="fr-FR"/>
        </w:rPr>
        <w:t>»</w:t>
      </w:r>
      <w:r w:rsidRPr="005E197B">
        <w:rPr>
          <w:lang w:val="fr-FR"/>
        </w:rPr>
        <w:t>)</w:t>
      </w:r>
      <w:r w:rsidR="00214D28" w:rsidRPr="005E197B">
        <w:rPr>
          <w:rStyle w:val="FootnoteReference"/>
          <w:lang w:val="fr-FR"/>
        </w:rPr>
        <w:footnoteReference w:id="2"/>
      </w:r>
      <w:r w:rsidR="00170E74" w:rsidRPr="005E197B">
        <w:rPr>
          <w:lang w:val="fr-FR"/>
        </w:rPr>
        <w:t xml:space="preserve">. </w:t>
      </w:r>
      <w:r w:rsidR="00D314CA" w:rsidRPr="005E197B">
        <w:rPr>
          <w:lang w:val="fr-FR"/>
        </w:rPr>
        <w:t>L’objectif principal de c</w:t>
      </w:r>
      <w:r w:rsidRPr="005E197B">
        <w:rPr>
          <w:lang w:val="fr-FR"/>
        </w:rPr>
        <w:t xml:space="preserve">e questionnaire </w:t>
      </w:r>
      <w:r w:rsidR="00D314CA" w:rsidRPr="005E197B">
        <w:rPr>
          <w:lang w:val="fr-FR"/>
        </w:rPr>
        <w:t>était de contrôler la conformité des procédures internes de LBC/F</w:t>
      </w:r>
      <w:r w:rsidR="001619B6" w:rsidRPr="005E197B">
        <w:rPr>
          <w:lang w:val="fr-FR"/>
        </w:rPr>
        <w:t xml:space="preserve">T au regard de </w:t>
      </w:r>
      <w:r w:rsidR="00D314CA" w:rsidRPr="005E197B">
        <w:rPr>
          <w:lang w:val="fr-FR"/>
        </w:rPr>
        <w:t>la réglementation belge en la matière</w:t>
      </w:r>
      <w:r w:rsidR="00170E74" w:rsidRPr="005E197B">
        <w:rPr>
          <w:lang w:val="fr-FR"/>
        </w:rPr>
        <w:t xml:space="preserve">. </w:t>
      </w:r>
    </w:p>
    <w:p w14:paraId="248FE769" w14:textId="77777777" w:rsidR="00214D28" w:rsidRPr="005E197B" w:rsidRDefault="00214D28" w:rsidP="00EF386A">
      <w:pPr>
        <w:jc w:val="both"/>
        <w:rPr>
          <w:lang w:val="fr-FR"/>
        </w:rPr>
      </w:pPr>
    </w:p>
    <w:p w14:paraId="248FE76A" w14:textId="77777777" w:rsidR="00B1572B" w:rsidRPr="005E197B" w:rsidRDefault="00975F12" w:rsidP="00EF386A">
      <w:pPr>
        <w:jc w:val="both"/>
        <w:rPr>
          <w:lang w:val="fr-FR"/>
        </w:rPr>
      </w:pPr>
      <w:r w:rsidRPr="005E197B">
        <w:rPr>
          <w:lang w:val="fr-FR"/>
        </w:rPr>
        <w:t>Au cours des années suivantes, de nouvelles questions et/ou de nouv</w:t>
      </w:r>
      <w:r w:rsidR="00132755" w:rsidRPr="005E197B">
        <w:rPr>
          <w:lang w:val="fr-FR"/>
        </w:rPr>
        <w:t xml:space="preserve">eaux chapitres sont </w:t>
      </w:r>
      <w:r w:rsidR="006C74DC">
        <w:rPr>
          <w:lang w:val="fr-FR"/>
        </w:rPr>
        <w:t xml:space="preserve">régulièrement </w:t>
      </w:r>
      <w:r w:rsidRPr="005E197B">
        <w:rPr>
          <w:lang w:val="fr-FR"/>
        </w:rPr>
        <w:t>venus compléter ce questionnaire périodique</w:t>
      </w:r>
      <w:r w:rsidR="00E90111" w:rsidRPr="005E197B">
        <w:rPr>
          <w:rStyle w:val="FootnoteReference"/>
          <w:lang w:val="fr-FR"/>
        </w:rPr>
        <w:footnoteReference w:id="3"/>
      </w:r>
      <w:r w:rsidR="00214D28" w:rsidRPr="005E197B">
        <w:rPr>
          <w:lang w:val="fr-FR"/>
        </w:rPr>
        <w:t xml:space="preserve">. </w:t>
      </w:r>
    </w:p>
    <w:p w14:paraId="248FE76B" w14:textId="77777777" w:rsidR="00E90111" w:rsidRPr="005E197B" w:rsidRDefault="00E90111" w:rsidP="00EF386A">
      <w:pPr>
        <w:jc w:val="both"/>
        <w:rPr>
          <w:lang w:val="fr-FR"/>
        </w:rPr>
      </w:pPr>
    </w:p>
    <w:p w14:paraId="248FE76C" w14:textId="57CAF684" w:rsidR="00214D28" w:rsidRPr="005E197B" w:rsidRDefault="00D75CDC" w:rsidP="00EF386A">
      <w:pPr>
        <w:jc w:val="both"/>
        <w:rPr>
          <w:lang w:val="fr-FR"/>
        </w:rPr>
      </w:pPr>
      <w:r w:rsidRPr="005E197B">
        <w:rPr>
          <w:lang w:val="fr-FR"/>
        </w:rPr>
        <w:t>Le chapitre VII</w:t>
      </w:r>
      <w:r w:rsidR="001F63C0" w:rsidRPr="005E197B">
        <w:rPr>
          <w:lang w:val="fr-FR"/>
        </w:rPr>
        <w:t>, dans lequel des informa</w:t>
      </w:r>
      <w:r w:rsidR="00993451" w:rsidRPr="005E197B">
        <w:rPr>
          <w:lang w:val="fr-FR"/>
        </w:rPr>
        <w:t xml:space="preserve">tions statistiques </w:t>
      </w:r>
      <w:r w:rsidR="006C74DC">
        <w:rPr>
          <w:lang w:val="fr-FR"/>
        </w:rPr>
        <w:t>avaie</w:t>
      </w:r>
      <w:r w:rsidR="00993451" w:rsidRPr="005E197B">
        <w:rPr>
          <w:lang w:val="fr-FR"/>
        </w:rPr>
        <w:t>nt</w:t>
      </w:r>
      <w:r w:rsidR="001F63C0" w:rsidRPr="005E197B">
        <w:rPr>
          <w:lang w:val="fr-FR"/>
        </w:rPr>
        <w:t xml:space="preserve"> été </w:t>
      </w:r>
      <w:r w:rsidR="00993451" w:rsidRPr="005E197B">
        <w:rPr>
          <w:lang w:val="fr-FR"/>
        </w:rPr>
        <w:t xml:space="preserve">aussi </w:t>
      </w:r>
      <w:r w:rsidR="001F63C0" w:rsidRPr="005E197B">
        <w:rPr>
          <w:lang w:val="fr-FR"/>
        </w:rPr>
        <w:t>demandées pour la première fois en 2015, a toutefois été supprimé du questionnaire envoyé</w:t>
      </w:r>
      <w:r w:rsidR="00132755" w:rsidRPr="005E197B">
        <w:rPr>
          <w:lang w:val="fr-FR"/>
        </w:rPr>
        <w:t xml:space="preserve"> </w:t>
      </w:r>
      <w:r w:rsidR="001F63C0" w:rsidRPr="005E197B">
        <w:rPr>
          <w:lang w:val="fr-FR"/>
        </w:rPr>
        <w:t xml:space="preserve">l’année dernière aux établissements en annexe à la circulaire </w:t>
      </w:r>
      <w:r w:rsidR="00B818FA" w:rsidRPr="005E197B">
        <w:rPr>
          <w:lang w:val="fr-FR"/>
        </w:rPr>
        <w:t>NBB_2016_42</w:t>
      </w:r>
      <w:r w:rsidR="00B818FA" w:rsidRPr="005E197B">
        <w:rPr>
          <w:rStyle w:val="FootnoteReference"/>
          <w:lang w:val="fr-FR"/>
        </w:rPr>
        <w:footnoteReference w:id="4"/>
      </w:r>
      <w:r w:rsidR="00B818FA" w:rsidRPr="005E197B">
        <w:rPr>
          <w:lang w:val="fr-FR"/>
        </w:rPr>
        <w:t xml:space="preserve">. </w:t>
      </w:r>
      <w:r w:rsidR="001914EE" w:rsidRPr="005E197B">
        <w:rPr>
          <w:lang w:val="fr-FR"/>
        </w:rPr>
        <w:t>Par cette dernière, l</w:t>
      </w:r>
      <w:r w:rsidR="00AF60F6" w:rsidRPr="005E197B">
        <w:rPr>
          <w:lang w:val="fr-FR"/>
        </w:rPr>
        <w:t>a Banque annonçait déjà</w:t>
      </w:r>
      <w:r w:rsidR="001914EE" w:rsidRPr="005E197B">
        <w:rPr>
          <w:lang w:val="fr-FR"/>
        </w:rPr>
        <w:t xml:space="preserve"> qu’</w:t>
      </w:r>
      <w:r w:rsidR="00AF60F6" w:rsidRPr="005E197B">
        <w:rPr>
          <w:lang w:val="fr-FR"/>
        </w:rPr>
        <w:t xml:space="preserve">elle solliciterait </w:t>
      </w:r>
      <w:r w:rsidR="001914EE" w:rsidRPr="005E197B">
        <w:rPr>
          <w:lang w:val="fr-FR"/>
        </w:rPr>
        <w:t>en 2017</w:t>
      </w:r>
      <w:r w:rsidR="00681E7D" w:rsidRPr="005E197B">
        <w:rPr>
          <w:lang w:val="fr-FR"/>
        </w:rPr>
        <w:t xml:space="preserve">, </w:t>
      </w:r>
      <w:r w:rsidR="006C74DC">
        <w:rPr>
          <w:lang w:val="fr-FR"/>
        </w:rPr>
        <w:t xml:space="preserve">par la voie </w:t>
      </w:r>
      <w:r w:rsidR="007651BC" w:rsidRPr="005E197B">
        <w:rPr>
          <w:lang w:val="fr-FR"/>
        </w:rPr>
        <w:t xml:space="preserve">d’un </w:t>
      </w:r>
      <w:proofErr w:type="spellStart"/>
      <w:r w:rsidR="007651BC" w:rsidRPr="005E197B">
        <w:rPr>
          <w:lang w:val="fr-FR"/>
        </w:rPr>
        <w:t>r</w:t>
      </w:r>
      <w:r w:rsidR="00505B77">
        <w:rPr>
          <w:lang w:val="fr-FR"/>
        </w:rPr>
        <w:t>eporting</w:t>
      </w:r>
      <w:proofErr w:type="spellEnd"/>
      <w:r w:rsidR="00AF60F6" w:rsidRPr="005E197B">
        <w:rPr>
          <w:lang w:val="fr-FR"/>
        </w:rPr>
        <w:t xml:space="preserve"> distinct</w:t>
      </w:r>
      <w:r w:rsidR="00681E7D" w:rsidRPr="005E197B">
        <w:rPr>
          <w:lang w:val="fr-FR"/>
        </w:rPr>
        <w:t>,</w:t>
      </w:r>
      <w:r w:rsidR="00AF60F6" w:rsidRPr="005E197B">
        <w:rPr>
          <w:lang w:val="fr-FR"/>
        </w:rPr>
        <w:t xml:space="preserve"> les informations statistiques dont elle doit disposer </w:t>
      </w:r>
      <w:r w:rsidR="006C74DC">
        <w:rPr>
          <w:lang w:val="fr-FR"/>
        </w:rPr>
        <w:t xml:space="preserve">pour </w:t>
      </w:r>
      <w:r w:rsidR="00AF60F6" w:rsidRPr="005E197B">
        <w:rPr>
          <w:lang w:val="fr-FR"/>
        </w:rPr>
        <w:t>renforcer son approche</w:t>
      </w:r>
      <w:r w:rsidR="00505B77">
        <w:rPr>
          <w:lang w:val="fr-FR"/>
        </w:rPr>
        <w:t xml:space="preserve"> de contrôle</w:t>
      </w:r>
      <w:r w:rsidR="00AF60F6" w:rsidRPr="005E197B">
        <w:rPr>
          <w:lang w:val="fr-FR"/>
        </w:rPr>
        <w:t xml:space="preserve"> fondée sur les</w:t>
      </w:r>
      <w:r w:rsidR="007651BC" w:rsidRPr="005E197B">
        <w:rPr>
          <w:lang w:val="fr-FR"/>
        </w:rPr>
        <w:t xml:space="preserve"> risques. Le </w:t>
      </w:r>
      <w:proofErr w:type="spellStart"/>
      <w:r w:rsidR="007651BC" w:rsidRPr="005E197B">
        <w:rPr>
          <w:lang w:val="fr-FR"/>
        </w:rPr>
        <w:t>r</w:t>
      </w:r>
      <w:r w:rsidR="00505B77">
        <w:rPr>
          <w:lang w:val="fr-FR"/>
        </w:rPr>
        <w:t>eporting</w:t>
      </w:r>
      <w:r w:rsidR="007651BC" w:rsidRPr="005E197B">
        <w:rPr>
          <w:lang w:val="fr-FR"/>
        </w:rPr>
        <w:t>t</w:t>
      </w:r>
      <w:proofErr w:type="spellEnd"/>
      <w:r w:rsidR="00CC6A3E" w:rsidRPr="005E197B">
        <w:rPr>
          <w:lang w:val="fr-FR"/>
        </w:rPr>
        <w:t xml:space="preserve"> en question</w:t>
      </w:r>
      <w:r w:rsidR="00AF60F6" w:rsidRPr="005E197B">
        <w:rPr>
          <w:lang w:val="fr-FR"/>
        </w:rPr>
        <w:t xml:space="preserve"> fait l’objet de la présente ci</w:t>
      </w:r>
      <w:r w:rsidR="00636445" w:rsidRPr="005E197B">
        <w:rPr>
          <w:lang w:val="fr-FR"/>
        </w:rPr>
        <w:t>rculaire.</w:t>
      </w:r>
    </w:p>
    <w:p w14:paraId="248FE76D" w14:textId="77777777" w:rsidR="00636445" w:rsidRPr="005E197B" w:rsidRDefault="00636445" w:rsidP="00EF386A">
      <w:pPr>
        <w:jc w:val="both"/>
        <w:rPr>
          <w:lang w:val="fr-FR"/>
        </w:rPr>
      </w:pPr>
    </w:p>
    <w:p w14:paraId="248FE76E" w14:textId="77777777" w:rsidR="00636445" w:rsidRPr="005E197B" w:rsidRDefault="00636445" w:rsidP="00EF386A">
      <w:pPr>
        <w:jc w:val="both"/>
        <w:rPr>
          <w:lang w:val="fr-FR"/>
        </w:rPr>
      </w:pPr>
    </w:p>
    <w:p w14:paraId="248FE76F" w14:textId="77777777" w:rsidR="00636445" w:rsidRPr="005E197B" w:rsidRDefault="00AF60F6" w:rsidP="00EF386A">
      <w:pPr>
        <w:pStyle w:val="ListParagraph"/>
        <w:numPr>
          <w:ilvl w:val="0"/>
          <w:numId w:val="32"/>
        </w:numPr>
        <w:jc w:val="both"/>
        <w:rPr>
          <w:u w:val="single"/>
          <w:lang w:val="fr-FR"/>
        </w:rPr>
      </w:pPr>
      <w:r w:rsidRPr="005E197B">
        <w:rPr>
          <w:u w:val="single"/>
          <w:lang w:val="fr-FR"/>
        </w:rPr>
        <w:t>Contexte </w:t>
      </w:r>
      <w:r w:rsidR="00636445" w:rsidRPr="005E197B">
        <w:rPr>
          <w:u w:val="single"/>
          <w:lang w:val="fr-FR"/>
        </w:rPr>
        <w:t xml:space="preserve">: </w:t>
      </w:r>
      <w:r w:rsidRPr="005E197B">
        <w:rPr>
          <w:u w:val="single"/>
          <w:lang w:val="fr-FR"/>
        </w:rPr>
        <w:t>un contrôle LBC/FT des établissements financiers fondé sur les risques</w:t>
      </w:r>
    </w:p>
    <w:p w14:paraId="248FE770" w14:textId="77777777" w:rsidR="00636445" w:rsidRPr="005E197B" w:rsidRDefault="00636445" w:rsidP="00EF386A">
      <w:pPr>
        <w:jc w:val="both"/>
        <w:rPr>
          <w:u w:val="single"/>
          <w:lang w:val="fr-FR"/>
        </w:rPr>
      </w:pPr>
    </w:p>
    <w:p w14:paraId="248FE771" w14:textId="77777777" w:rsidR="00A87983" w:rsidRPr="005E197B" w:rsidRDefault="009E454A" w:rsidP="00EF386A">
      <w:pPr>
        <w:jc w:val="both"/>
        <w:rPr>
          <w:lang w:val="fr-FR"/>
        </w:rPr>
      </w:pPr>
      <w:r w:rsidRPr="005E197B">
        <w:rPr>
          <w:lang w:val="fr-FR"/>
        </w:rPr>
        <w:t xml:space="preserve">Les </w:t>
      </w:r>
      <w:r w:rsidRPr="005E197B">
        <w:rPr>
          <w:rFonts w:cs="Arial"/>
          <w:lang w:val="fr-FR"/>
        </w:rPr>
        <w:t>«</w:t>
      </w:r>
      <w:r w:rsidRPr="005E197B">
        <w:rPr>
          <w:lang w:val="fr-FR"/>
        </w:rPr>
        <w:t> normes internationales en matière de lutte contre le blanchiment de capitaux et le financement du terro</w:t>
      </w:r>
      <w:r w:rsidR="003D2070" w:rsidRPr="005E197B">
        <w:rPr>
          <w:lang w:val="fr-FR"/>
        </w:rPr>
        <w:t>risme et de la prolifération </w:t>
      </w:r>
      <w:r w:rsidRPr="005E197B">
        <w:rPr>
          <w:rFonts w:cs="Arial"/>
          <w:lang w:val="fr-FR"/>
        </w:rPr>
        <w:t xml:space="preserve">» </w:t>
      </w:r>
      <w:r w:rsidR="00A87983" w:rsidRPr="005E197B">
        <w:rPr>
          <w:rFonts w:cs="Arial"/>
          <w:lang w:val="fr-FR"/>
        </w:rPr>
        <w:t>(connues également sous le nom de Recommandations du GAFI</w:t>
      </w:r>
      <w:r w:rsidR="003D2070" w:rsidRPr="005E197B">
        <w:rPr>
          <w:lang w:val="fr-FR"/>
        </w:rPr>
        <w:t>)</w:t>
      </w:r>
      <w:r w:rsidR="006C74DC">
        <w:rPr>
          <w:lang w:val="fr-FR"/>
        </w:rPr>
        <w:t>,</w:t>
      </w:r>
      <w:r w:rsidR="003D2070" w:rsidRPr="005E197B">
        <w:rPr>
          <w:lang w:val="fr-FR"/>
        </w:rPr>
        <w:t xml:space="preserve"> adopt</w:t>
      </w:r>
      <w:r w:rsidR="00A87983" w:rsidRPr="005E197B">
        <w:rPr>
          <w:lang w:val="fr-FR"/>
        </w:rPr>
        <w:t xml:space="preserve">ées en février 2012, mettent </w:t>
      </w:r>
      <w:r w:rsidR="00132755" w:rsidRPr="005E197B">
        <w:rPr>
          <w:lang w:val="fr-FR"/>
        </w:rPr>
        <w:t>fort</w:t>
      </w:r>
      <w:r w:rsidR="003D2070" w:rsidRPr="005E197B">
        <w:rPr>
          <w:lang w:val="fr-FR"/>
        </w:rPr>
        <w:t xml:space="preserve">ement l’accent sur </w:t>
      </w:r>
      <w:r w:rsidR="00A87983" w:rsidRPr="005E197B">
        <w:rPr>
          <w:lang w:val="fr-FR"/>
        </w:rPr>
        <w:t xml:space="preserve">la mise en </w:t>
      </w:r>
      <w:r w:rsidR="00A87983" w:rsidRPr="005E197B">
        <w:rPr>
          <w:rFonts w:cs="Arial"/>
          <w:lang w:val="fr-FR"/>
        </w:rPr>
        <w:t>œ</w:t>
      </w:r>
      <w:r w:rsidR="00A87983" w:rsidRPr="005E197B">
        <w:rPr>
          <w:lang w:val="fr-FR"/>
        </w:rPr>
        <w:t xml:space="preserve">uvre d’une approche fondée sur les risques. Ces normes internationales </w:t>
      </w:r>
      <w:r w:rsidR="003D2070" w:rsidRPr="005E197B">
        <w:rPr>
          <w:lang w:val="fr-FR"/>
        </w:rPr>
        <w:t>imposent aux</w:t>
      </w:r>
      <w:r w:rsidR="00A87983" w:rsidRPr="005E197B">
        <w:rPr>
          <w:lang w:val="fr-FR"/>
        </w:rPr>
        <w:t xml:space="preserve"> aut</w:t>
      </w:r>
      <w:r w:rsidR="003D2070" w:rsidRPr="005E197B">
        <w:rPr>
          <w:lang w:val="fr-FR"/>
        </w:rPr>
        <w:t xml:space="preserve">orités de contrôle concernées de </w:t>
      </w:r>
      <w:r w:rsidR="00A87983" w:rsidRPr="005E197B">
        <w:rPr>
          <w:lang w:val="fr-FR"/>
        </w:rPr>
        <w:t xml:space="preserve">disposer d’un modèle de contrôle LBC/FT qui leur permette d’exercer leurs compétences de </w:t>
      </w:r>
      <w:r w:rsidR="003D2070" w:rsidRPr="005E197B">
        <w:rPr>
          <w:lang w:val="fr-FR"/>
        </w:rPr>
        <w:t>contrôle sur la base</w:t>
      </w:r>
      <w:r w:rsidR="00A87983" w:rsidRPr="005E197B">
        <w:rPr>
          <w:lang w:val="fr-FR"/>
        </w:rPr>
        <w:t xml:space="preserve"> des risques auxquels sont exposés les établissements financiers soumis à leur </w:t>
      </w:r>
      <w:r w:rsidR="00D713B1" w:rsidRPr="005E197B">
        <w:rPr>
          <w:lang w:val="fr-FR"/>
        </w:rPr>
        <w:t>contrô</w:t>
      </w:r>
      <w:r w:rsidR="00A87983" w:rsidRPr="005E197B">
        <w:rPr>
          <w:lang w:val="fr-FR"/>
        </w:rPr>
        <w:t>le</w:t>
      </w:r>
      <w:r w:rsidR="00D713B1" w:rsidRPr="005E197B">
        <w:rPr>
          <w:lang w:val="fr-FR"/>
        </w:rPr>
        <w:t>.</w:t>
      </w:r>
    </w:p>
    <w:p w14:paraId="248FE772" w14:textId="77777777" w:rsidR="00A87983" w:rsidRPr="005E197B" w:rsidRDefault="00A87983" w:rsidP="00EF386A">
      <w:pPr>
        <w:jc w:val="both"/>
        <w:rPr>
          <w:lang w:val="fr-FR"/>
        </w:rPr>
      </w:pPr>
    </w:p>
    <w:p w14:paraId="248FE773" w14:textId="1E5ABB1E" w:rsidR="0018048D" w:rsidRPr="005E197B" w:rsidRDefault="00505B77" w:rsidP="00EF386A">
      <w:pPr>
        <w:jc w:val="both"/>
        <w:rPr>
          <w:lang w:val="fr-FR"/>
        </w:rPr>
      </w:pPr>
      <w:r>
        <w:rPr>
          <w:lang w:val="fr-FR"/>
        </w:rPr>
        <w:t>L</w:t>
      </w:r>
      <w:r w:rsidR="00993451" w:rsidRPr="005E197B">
        <w:rPr>
          <w:lang w:val="fr-FR"/>
        </w:rPr>
        <w:t>’obligation d</w:t>
      </w:r>
      <w:r w:rsidR="00681E7D" w:rsidRPr="005E197B">
        <w:rPr>
          <w:lang w:val="fr-FR"/>
        </w:rPr>
        <w:t>e disposer d’un modèle de contrô</w:t>
      </w:r>
      <w:r w:rsidR="00993451" w:rsidRPr="005E197B">
        <w:rPr>
          <w:lang w:val="fr-FR"/>
        </w:rPr>
        <w:t xml:space="preserve">le fondé sur les risques a également été </w:t>
      </w:r>
      <w:r>
        <w:rPr>
          <w:lang w:val="fr-FR"/>
        </w:rPr>
        <w:t xml:space="preserve">récemment </w:t>
      </w:r>
      <w:r w:rsidR="00993451" w:rsidRPr="005E197B">
        <w:rPr>
          <w:lang w:val="fr-FR"/>
        </w:rPr>
        <w:t xml:space="preserve">inscrite dans la réglementation </w:t>
      </w:r>
      <w:r w:rsidR="00D16837" w:rsidRPr="005E197B">
        <w:rPr>
          <w:lang w:val="fr-FR"/>
        </w:rPr>
        <w:t>LBC/FT européenne</w:t>
      </w:r>
      <w:r w:rsidR="0018048D" w:rsidRPr="005E197B">
        <w:rPr>
          <w:rStyle w:val="FootnoteReference"/>
          <w:lang w:val="fr-FR"/>
        </w:rPr>
        <w:footnoteReference w:id="5"/>
      </w:r>
      <w:r w:rsidR="0018048D" w:rsidRPr="005E197B">
        <w:rPr>
          <w:lang w:val="fr-FR"/>
        </w:rPr>
        <w:t xml:space="preserve"> </w:t>
      </w:r>
      <w:r w:rsidR="00993451" w:rsidRPr="005E197B">
        <w:rPr>
          <w:lang w:val="fr-FR"/>
        </w:rPr>
        <w:t>et constituera donc, après transposition en droit belge de la quatrième directive LBC/FT 2015/849 du 20 mai 2015</w:t>
      </w:r>
      <w:r w:rsidR="0018048D" w:rsidRPr="005E197B">
        <w:rPr>
          <w:lang w:val="fr-FR"/>
        </w:rPr>
        <w:t xml:space="preserve">, </w:t>
      </w:r>
      <w:r w:rsidR="00993451" w:rsidRPr="005E197B">
        <w:rPr>
          <w:lang w:val="fr-FR"/>
        </w:rPr>
        <w:t>l’une des pierres d’a</w:t>
      </w:r>
      <w:r w:rsidR="00681E7D" w:rsidRPr="005E197B">
        <w:rPr>
          <w:lang w:val="fr-FR"/>
        </w:rPr>
        <w:t>ngle de l’organisation du contrô</w:t>
      </w:r>
      <w:r w:rsidR="00993451" w:rsidRPr="005E197B">
        <w:rPr>
          <w:lang w:val="fr-FR"/>
        </w:rPr>
        <w:t>le LBC/FT sur les établissements financiers</w:t>
      </w:r>
      <w:r w:rsidR="00A907FA" w:rsidRPr="005E197B">
        <w:rPr>
          <w:lang w:val="fr-FR"/>
        </w:rPr>
        <w:t xml:space="preserve">. </w:t>
      </w:r>
    </w:p>
    <w:p w14:paraId="248FE774" w14:textId="77777777" w:rsidR="00A907FA" w:rsidRPr="005E197B" w:rsidRDefault="00A907FA" w:rsidP="00EF386A">
      <w:pPr>
        <w:jc w:val="both"/>
        <w:rPr>
          <w:lang w:val="fr-FR"/>
        </w:rPr>
      </w:pPr>
    </w:p>
    <w:p w14:paraId="248FE775" w14:textId="77777777" w:rsidR="00132755" w:rsidRPr="005E197B" w:rsidRDefault="00132755" w:rsidP="00EF386A">
      <w:pPr>
        <w:tabs>
          <w:tab w:val="clear" w:pos="284"/>
        </w:tabs>
        <w:spacing w:line="240" w:lineRule="auto"/>
        <w:jc w:val="both"/>
        <w:rPr>
          <w:lang w:val="fr-FR"/>
        </w:rPr>
      </w:pPr>
      <w:r w:rsidRPr="005E197B">
        <w:rPr>
          <w:lang w:val="fr-FR"/>
        </w:rPr>
        <w:br w:type="page"/>
      </w:r>
    </w:p>
    <w:p w14:paraId="248FE776" w14:textId="77777777" w:rsidR="00B614D1" w:rsidRPr="005E197B" w:rsidRDefault="00681E7D" w:rsidP="00EF386A">
      <w:pPr>
        <w:jc w:val="both"/>
        <w:rPr>
          <w:lang w:val="fr-FR"/>
        </w:rPr>
      </w:pPr>
      <w:r w:rsidRPr="005E197B">
        <w:rPr>
          <w:lang w:val="fr-FR"/>
        </w:rPr>
        <w:lastRenderedPageBreak/>
        <w:t xml:space="preserve">Eu égard à ces nouveaux éléments, les autorités européennes de </w:t>
      </w:r>
      <w:r w:rsidR="00702823" w:rsidRPr="005E197B">
        <w:rPr>
          <w:lang w:val="fr-FR"/>
        </w:rPr>
        <w:t>surveillanc</w:t>
      </w:r>
      <w:r w:rsidRPr="005E197B">
        <w:rPr>
          <w:lang w:val="fr-FR"/>
        </w:rPr>
        <w:t>e</w:t>
      </w:r>
      <w:r w:rsidRPr="005E197B">
        <w:rPr>
          <w:rStyle w:val="FootnoteReference"/>
          <w:lang w:val="fr-FR"/>
        </w:rPr>
        <w:footnoteReference w:id="6"/>
      </w:r>
      <w:r w:rsidRPr="005E197B">
        <w:rPr>
          <w:lang w:val="fr-FR"/>
        </w:rPr>
        <w:t xml:space="preserve"> (ci-après </w:t>
      </w:r>
      <w:r w:rsidRPr="005E197B">
        <w:rPr>
          <w:rFonts w:cs="Arial"/>
          <w:lang w:val="fr-FR"/>
        </w:rPr>
        <w:t>«</w:t>
      </w:r>
      <w:r w:rsidR="00702823" w:rsidRPr="005E197B">
        <w:rPr>
          <w:lang w:val="fr-FR"/>
        </w:rPr>
        <w:t> les AES</w:t>
      </w:r>
      <w:r w:rsidRPr="005E197B">
        <w:rPr>
          <w:lang w:val="fr-FR"/>
        </w:rPr>
        <w:t> </w:t>
      </w:r>
      <w:r w:rsidRPr="005E197B">
        <w:rPr>
          <w:rFonts w:cs="Arial"/>
          <w:lang w:val="fr-FR"/>
        </w:rPr>
        <w:t>»</w:t>
      </w:r>
      <w:r w:rsidR="00E919DC" w:rsidRPr="005E197B">
        <w:rPr>
          <w:lang w:val="fr-FR"/>
        </w:rPr>
        <w:t xml:space="preserve">) ont </w:t>
      </w:r>
      <w:r w:rsidRPr="005E197B">
        <w:rPr>
          <w:lang w:val="fr-FR"/>
        </w:rPr>
        <w:t xml:space="preserve">publié le 16 novembre 2016 des orientations </w:t>
      </w:r>
      <w:r w:rsidR="00E919DC" w:rsidRPr="005E197B">
        <w:rPr>
          <w:lang w:val="fr-FR"/>
        </w:rPr>
        <w:t xml:space="preserve">communes </w:t>
      </w:r>
      <w:r w:rsidRPr="005E197B">
        <w:rPr>
          <w:lang w:val="fr-FR"/>
        </w:rPr>
        <w:t xml:space="preserve">relatives à un contrôle </w:t>
      </w:r>
      <w:r w:rsidR="00A42DAB" w:rsidRPr="005E197B">
        <w:rPr>
          <w:lang w:val="fr-FR"/>
        </w:rPr>
        <w:t>LBC/FT des é</w:t>
      </w:r>
      <w:r w:rsidRPr="005E197B">
        <w:rPr>
          <w:lang w:val="fr-FR"/>
        </w:rPr>
        <w:t>tablissements financiers fondé sur les risques</w:t>
      </w:r>
      <w:r w:rsidR="00EE4A34" w:rsidRPr="005E197B">
        <w:rPr>
          <w:lang w:val="fr-FR"/>
        </w:rPr>
        <w:t xml:space="preserve">. </w:t>
      </w:r>
      <w:r w:rsidR="003933DE" w:rsidRPr="005E197B">
        <w:rPr>
          <w:lang w:val="fr-FR"/>
        </w:rPr>
        <w:t xml:space="preserve">Ces orientations </w:t>
      </w:r>
      <w:r w:rsidR="00702823" w:rsidRPr="005E197B">
        <w:rPr>
          <w:lang w:val="fr-FR"/>
        </w:rPr>
        <w:t>comprennent des recommandations c</w:t>
      </w:r>
      <w:r w:rsidR="00132755" w:rsidRPr="005E197B">
        <w:rPr>
          <w:lang w:val="fr-FR"/>
        </w:rPr>
        <w:t>oncrètes en vue de la mise au point</w:t>
      </w:r>
      <w:r w:rsidR="00702823" w:rsidRPr="005E197B">
        <w:rPr>
          <w:lang w:val="fr-FR"/>
        </w:rPr>
        <w:t xml:space="preserve"> par les autorités nationales de </w:t>
      </w:r>
      <w:r w:rsidR="00D47898" w:rsidRPr="005E197B">
        <w:rPr>
          <w:lang w:val="fr-FR"/>
        </w:rPr>
        <w:t>contrô</w:t>
      </w:r>
      <w:r w:rsidR="00702823" w:rsidRPr="005E197B">
        <w:rPr>
          <w:lang w:val="fr-FR"/>
        </w:rPr>
        <w:t xml:space="preserve">le LBC/FT d’un modèle de </w:t>
      </w:r>
      <w:r w:rsidR="00D47898" w:rsidRPr="005E197B">
        <w:rPr>
          <w:lang w:val="fr-FR"/>
        </w:rPr>
        <w:t>contrô</w:t>
      </w:r>
      <w:r w:rsidR="00702823" w:rsidRPr="005E197B">
        <w:rPr>
          <w:lang w:val="fr-FR"/>
        </w:rPr>
        <w:t>le fondé sur les risques</w:t>
      </w:r>
      <w:r w:rsidR="00EE4A34" w:rsidRPr="005E197B">
        <w:rPr>
          <w:lang w:val="fr-FR"/>
        </w:rPr>
        <w:t xml:space="preserve">. </w:t>
      </w:r>
      <w:r w:rsidR="00702823" w:rsidRPr="005E197B">
        <w:rPr>
          <w:lang w:val="fr-FR"/>
        </w:rPr>
        <w:t>Ces recommandations portent plus particulièrement sur </w:t>
      </w:r>
      <w:r w:rsidR="007649C4" w:rsidRPr="005E197B">
        <w:rPr>
          <w:lang w:val="fr-FR"/>
        </w:rPr>
        <w:t>:</w:t>
      </w:r>
    </w:p>
    <w:p w14:paraId="248FE777" w14:textId="77777777" w:rsidR="00382B97" w:rsidRPr="005E197B" w:rsidRDefault="00382B97" w:rsidP="00EF386A">
      <w:pPr>
        <w:pStyle w:val="ListParagraph"/>
        <w:jc w:val="both"/>
        <w:rPr>
          <w:lang w:val="fr-FR"/>
        </w:rPr>
      </w:pPr>
    </w:p>
    <w:p w14:paraId="248FE778" w14:textId="19C937C8" w:rsidR="00382B97" w:rsidRPr="005E197B" w:rsidRDefault="00702823" w:rsidP="00EF386A">
      <w:pPr>
        <w:pStyle w:val="ListParagraph"/>
        <w:numPr>
          <w:ilvl w:val="0"/>
          <w:numId w:val="34"/>
        </w:numPr>
        <w:jc w:val="both"/>
        <w:rPr>
          <w:lang w:val="fr-FR"/>
        </w:rPr>
      </w:pPr>
      <w:r w:rsidRPr="005E197B">
        <w:rPr>
          <w:rFonts w:cs="Arial"/>
          <w:lang w:val="fr-FR"/>
        </w:rPr>
        <w:t>É</w:t>
      </w:r>
      <w:r w:rsidR="00382B97" w:rsidRPr="005E197B">
        <w:rPr>
          <w:lang w:val="fr-FR"/>
        </w:rPr>
        <w:t>tap</w:t>
      </w:r>
      <w:r w:rsidRPr="005E197B">
        <w:rPr>
          <w:lang w:val="fr-FR"/>
        </w:rPr>
        <w:t>e</w:t>
      </w:r>
      <w:r w:rsidR="00382B97" w:rsidRPr="005E197B">
        <w:rPr>
          <w:lang w:val="fr-FR"/>
        </w:rPr>
        <w:t xml:space="preserve"> 1</w:t>
      </w:r>
      <w:r w:rsidRPr="005E197B">
        <w:rPr>
          <w:lang w:val="fr-FR"/>
        </w:rPr>
        <w:t> </w:t>
      </w:r>
      <w:r w:rsidR="00382B97" w:rsidRPr="005E197B">
        <w:rPr>
          <w:lang w:val="fr-FR"/>
        </w:rPr>
        <w:t xml:space="preserve">: </w:t>
      </w:r>
      <w:r w:rsidRPr="005E197B">
        <w:rPr>
          <w:lang w:val="fr-FR"/>
        </w:rPr>
        <w:t>l</w:t>
      </w:r>
      <w:r w:rsidR="00505B77">
        <w:rPr>
          <w:lang w:val="fr-FR"/>
        </w:rPr>
        <w:t>’identification</w:t>
      </w:r>
      <w:r w:rsidRPr="005E197B">
        <w:rPr>
          <w:lang w:val="fr-FR"/>
        </w:rPr>
        <w:t xml:space="preserve"> des différents facteurs de risque BC/FT; </w:t>
      </w:r>
    </w:p>
    <w:p w14:paraId="248FE779" w14:textId="77777777" w:rsidR="00382B97" w:rsidRPr="005E197B" w:rsidRDefault="00702823" w:rsidP="00EF386A">
      <w:pPr>
        <w:pStyle w:val="ListParagraph"/>
        <w:numPr>
          <w:ilvl w:val="0"/>
          <w:numId w:val="34"/>
        </w:numPr>
        <w:jc w:val="both"/>
        <w:rPr>
          <w:lang w:val="fr-FR"/>
        </w:rPr>
      </w:pPr>
      <w:r w:rsidRPr="005E197B">
        <w:rPr>
          <w:rFonts w:cs="Arial"/>
          <w:lang w:val="fr-FR"/>
        </w:rPr>
        <w:t>É</w:t>
      </w:r>
      <w:r w:rsidR="00382B97" w:rsidRPr="005E197B">
        <w:rPr>
          <w:lang w:val="fr-FR"/>
        </w:rPr>
        <w:t>tap</w:t>
      </w:r>
      <w:r w:rsidRPr="005E197B">
        <w:rPr>
          <w:lang w:val="fr-FR"/>
        </w:rPr>
        <w:t>e</w:t>
      </w:r>
      <w:r w:rsidR="00382B97" w:rsidRPr="005E197B">
        <w:rPr>
          <w:lang w:val="fr-FR"/>
        </w:rPr>
        <w:t xml:space="preserve"> 2</w:t>
      </w:r>
      <w:r w:rsidRPr="005E197B">
        <w:rPr>
          <w:lang w:val="fr-FR"/>
        </w:rPr>
        <w:t> </w:t>
      </w:r>
      <w:r w:rsidR="00382B97" w:rsidRPr="005E197B">
        <w:rPr>
          <w:lang w:val="fr-FR"/>
        </w:rPr>
        <w:t xml:space="preserve">: </w:t>
      </w:r>
      <w:r w:rsidRPr="005E197B">
        <w:rPr>
          <w:lang w:val="fr-FR"/>
        </w:rPr>
        <w:t>la réalisation d’une évaluation de risque</w:t>
      </w:r>
      <w:r w:rsidR="00382B97" w:rsidRPr="005E197B">
        <w:rPr>
          <w:lang w:val="fr-FR"/>
        </w:rPr>
        <w:t xml:space="preserve"> </w:t>
      </w:r>
      <w:r w:rsidRPr="005E197B">
        <w:rPr>
          <w:lang w:val="fr-FR"/>
        </w:rPr>
        <w:t xml:space="preserve">pour chaque établissement soumis au </w:t>
      </w:r>
      <w:r w:rsidR="00040219" w:rsidRPr="005E197B">
        <w:rPr>
          <w:lang w:val="fr-FR"/>
        </w:rPr>
        <w:t>contrô</w:t>
      </w:r>
      <w:r w:rsidRPr="005E197B">
        <w:rPr>
          <w:lang w:val="fr-FR"/>
        </w:rPr>
        <w:t>le</w:t>
      </w:r>
      <w:r w:rsidR="00382B97" w:rsidRPr="005E197B">
        <w:rPr>
          <w:lang w:val="fr-FR"/>
        </w:rPr>
        <w:t>;</w:t>
      </w:r>
    </w:p>
    <w:p w14:paraId="248FE77A" w14:textId="77777777" w:rsidR="00382B97" w:rsidRPr="005E197B" w:rsidRDefault="00702823" w:rsidP="00EF386A">
      <w:pPr>
        <w:pStyle w:val="ListParagraph"/>
        <w:numPr>
          <w:ilvl w:val="0"/>
          <w:numId w:val="34"/>
        </w:numPr>
        <w:jc w:val="both"/>
        <w:rPr>
          <w:lang w:val="fr-FR"/>
        </w:rPr>
      </w:pPr>
      <w:r w:rsidRPr="005E197B">
        <w:rPr>
          <w:rFonts w:cs="Arial"/>
          <w:lang w:val="fr-FR"/>
        </w:rPr>
        <w:t>É</w:t>
      </w:r>
      <w:r w:rsidR="00382B97" w:rsidRPr="005E197B">
        <w:rPr>
          <w:lang w:val="fr-FR"/>
        </w:rPr>
        <w:t>tap</w:t>
      </w:r>
      <w:r w:rsidRPr="005E197B">
        <w:rPr>
          <w:lang w:val="fr-FR"/>
        </w:rPr>
        <w:t>e</w:t>
      </w:r>
      <w:r w:rsidR="00382B97" w:rsidRPr="005E197B">
        <w:rPr>
          <w:lang w:val="fr-FR"/>
        </w:rPr>
        <w:t xml:space="preserve"> 3</w:t>
      </w:r>
      <w:r w:rsidRPr="005E197B">
        <w:rPr>
          <w:lang w:val="fr-FR"/>
        </w:rPr>
        <w:t> </w:t>
      </w:r>
      <w:r w:rsidR="00382B97" w:rsidRPr="005E197B">
        <w:rPr>
          <w:lang w:val="fr-FR"/>
        </w:rPr>
        <w:t xml:space="preserve">: </w:t>
      </w:r>
      <w:r w:rsidRPr="005E197B">
        <w:rPr>
          <w:lang w:val="fr-FR"/>
        </w:rPr>
        <w:t>l’exercic</w:t>
      </w:r>
      <w:r w:rsidR="00040219" w:rsidRPr="005E197B">
        <w:rPr>
          <w:lang w:val="fr-FR"/>
        </w:rPr>
        <w:t>e du contrô</w:t>
      </w:r>
      <w:r w:rsidRPr="005E197B">
        <w:rPr>
          <w:lang w:val="fr-FR"/>
        </w:rPr>
        <w:t xml:space="preserve">le </w:t>
      </w:r>
      <w:r w:rsidR="00040219" w:rsidRPr="005E197B">
        <w:rPr>
          <w:lang w:val="fr-FR"/>
        </w:rPr>
        <w:t>en tant que tel</w:t>
      </w:r>
      <w:r w:rsidRPr="005E197B">
        <w:rPr>
          <w:lang w:val="fr-FR"/>
        </w:rPr>
        <w:t>, et</w:t>
      </w:r>
    </w:p>
    <w:p w14:paraId="248FE77B" w14:textId="77777777" w:rsidR="00382B97" w:rsidRPr="005E197B" w:rsidRDefault="00702823" w:rsidP="00EF386A">
      <w:pPr>
        <w:pStyle w:val="ListParagraph"/>
        <w:numPr>
          <w:ilvl w:val="0"/>
          <w:numId w:val="34"/>
        </w:numPr>
        <w:jc w:val="both"/>
        <w:rPr>
          <w:lang w:val="fr-FR"/>
        </w:rPr>
      </w:pPr>
      <w:r w:rsidRPr="005E197B">
        <w:rPr>
          <w:rFonts w:cs="Arial"/>
          <w:lang w:val="fr-FR"/>
        </w:rPr>
        <w:t>É</w:t>
      </w:r>
      <w:r w:rsidR="00382B97" w:rsidRPr="005E197B">
        <w:rPr>
          <w:lang w:val="fr-FR"/>
        </w:rPr>
        <w:t>tap</w:t>
      </w:r>
      <w:r w:rsidRPr="005E197B">
        <w:rPr>
          <w:lang w:val="fr-FR"/>
        </w:rPr>
        <w:t>e</w:t>
      </w:r>
      <w:r w:rsidR="00382B97" w:rsidRPr="005E197B">
        <w:rPr>
          <w:lang w:val="fr-FR"/>
        </w:rPr>
        <w:t xml:space="preserve"> 4</w:t>
      </w:r>
      <w:r w:rsidRPr="005E197B">
        <w:rPr>
          <w:lang w:val="fr-FR"/>
        </w:rPr>
        <w:t> </w:t>
      </w:r>
      <w:r w:rsidR="00382B97" w:rsidRPr="005E197B">
        <w:rPr>
          <w:lang w:val="fr-FR"/>
        </w:rPr>
        <w:t xml:space="preserve">: </w:t>
      </w:r>
      <w:r w:rsidRPr="005E197B">
        <w:rPr>
          <w:lang w:val="fr-FR"/>
        </w:rPr>
        <w:t xml:space="preserve">l’évaluation, </w:t>
      </w:r>
      <w:r w:rsidR="00040219" w:rsidRPr="005E197B">
        <w:rPr>
          <w:lang w:val="fr-FR"/>
        </w:rPr>
        <w:t>l’ajustement</w:t>
      </w:r>
      <w:r w:rsidR="00382B97" w:rsidRPr="005E197B">
        <w:rPr>
          <w:lang w:val="fr-FR"/>
        </w:rPr>
        <w:t xml:space="preserve"> e</w:t>
      </w:r>
      <w:r w:rsidR="00040219" w:rsidRPr="005E197B">
        <w:rPr>
          <w:lang w:val="fr-FR"/>
        </w:rPr>
        <w:t>t le suivi du modèle de contrôle fondé sur les risques.</w:t>
      </w:r>
      <w:r w:rsidR="00132755" w:rsidRPr="005E197B">
        <w:rPr>
          <w:lang w:val="fr-FR"/>
        </w:rPr>
        <w:t xml:space="preserve"> </w:t>
      </w:r>
    </w:p>
    <w:p w14:paraId="248FE77C" w14:textId="77777777" w:rsidR="00382B97" w:rsidRPr="005E197B" w:rsidRDefault="00382B97" w:rsidP="00EF386A">
      <w:pPr>
        <w:jc w:val="both"/>
        <w:rPr>
          <w:lang w:val="fr-FR"/>
        </w:rPr>
      </w:pPr>
    </w:p>
    <w:p w14:paraId="248FE77D" w14:textId="25414E8F" w:rsidR="00382B97" w:rsidRPr="005E197B" w:rsidRDefault="00D47898" w:rsidP="00EF386A">
      <w:pPr>
        <w:jc w:val="both"/>
        <w:rPr>
          <w:lang w:val="fr-FR"/>
        </w:rPr>
      </w:pPr>
      <w:r w:rsidRPr="005E197B">
        <w:rPr>
          <w:lang w:val="fr-FR"/>
        </w:rPr>
        <w:t>Afin</w:t>
      </w:r>
      <w:r w:rsidR="00505B77">
        <w:rPr>
          <w:lang w:val="fr-FR"/>
        </w:rPr>
        <w:t xml:space="preserve"> de permettre à la</w:t>
      </w:r>
      <w:r w:rsidRPr="005E197B">
        <w:rPr>
          <w:lang w:val="fr-FR"/>
        </w:rPr>
        <w:t xml:space="preserve"> </w:t>
      </w:r>
      <w:proofErr w:type="spellStart"/>
      <w:r w:rsidRPr="005E197B">
        <w:rPr>
          <w:lang w:val="fr-FR"/>
        </w:rPr>
        <w:t>la</w:t>
      </w:r>
      <w:proofErr w:type="spellEnd"/>
      <w:r w:rsidRPr="005E197B">
        <w:rPr>
          <w:lang w:val="fr-FR"/>
        </w:rPr>
        <w:t xml:space="preserve"> Banque </w:t>
      </w:r>
      <w:r w:rsidR="00505B77">
        <w:rPr>
          <w:lang w:val="fr-FR"/>
        </w:rPr>
        <w:t>d</w:t>
      </w:r>
      <w:r w:rsidRPr="005E197B">
        <w:rPr>
          <w:lang w:val="fr-FR"/>
        </w:rPr>
        <w:t xml:space="preserve">e réaliser une évaluation de risque pour chacun des différents établissements financiers soumis à son contrôle (deuxième étape des orientations AES) et puisse fixer </w:t>
      </w:r>
      <w:r w:rsidR="00132755" w:rsidRPr="005E197B">
        <w:rPr>
          <w:lang w:val="fr-FR"/>
        </w:rPr>
        <w:t xml:space="preserve">en conséquence </w:t>
      </w:r>
      <w:r w:rsidRPr="005E197B">
        <w:rPr>
          <w:lang w:val="fr-FR"/>
        </w:rPr>
        <w:t>les</w:t>
      </w:r>
      <w:r w:rsidR="00C22E53" w:rsidRPr="005E197B">
        <w:rPr>
          <w:lang w:val="fr-FR"/>
        </w:rPr>
        <w:t xml:space="preserve"> priorités de celui-ci</w:t>
      </w:r>
      <w:r w:rsidRPr="005E197B">
        <w:rPr>
          <w:lang w:val="fr-FR"/>
        </w:rPr>
        <w:t>, il convient qu’elle dispose d’informations concernant, d’une part, les risques BC/FT inhérents auxquels les établissements sont exposés et, d’autre part, la qualité des mesures de maîtrise des risques prises par les établissements</w:t>
      </w:r>
      <w:r w:rsidR="00382B97" w:rsidRPr="005E197B">
        <w:rPr>
          <w:lang w:val="fr-FR"/>
        </w:rPr>
        <w:t xml:space="preserve">. </w:t>
      </w:r>
      <w:r w:rsidR="00587137">
        <w:rPr>
          <w:lang w:val="fr-FR"/>
        </w:rPr>
        <w:t>La conjonction de c</w:t>
      </w:r>
      <w:r w:rsidR="00C22E53" w:rsidRPr="005E197B">
        <w:rPr>
          <w:lang w:val="fr-FR"/>
        </w:rPr>
        <w:t xml:space="preserve">es deux évaluations </w:t>
      </w:r>
      <w:r w:rsidR="00587137">
        <w:rPr>
          <w:lang w:val="fr-FR"/>
        </w:rPr>
        <w:t xml:space="preserve">permet </w:t>
      </w:r>
      <w:r w:rsidR="00C22E53" w:rsidRPr="005E197B">
        <w:rPr>
          <w:lang w:val="fr-FR"/>
        </w:rPr>
        <w:t>de définir le risque BC/FT résiduel encouru par chaque établissement.</w:t>
      </w:r>
    </w:p>
    <w:p w14:paraId="248FE77E" w14:textId="77777777" w:rsidR="00382B97" w:rsidRPr="005E197B" w:rsidRDefault="00382B97" w:rsidP="00EF386A">
      <w:pPr>
        <w:jc w:val="both"/>
        <w:rPr>
          <w:lang w:val="fr-FR"/>
        </w:rPr>
      </w:pPr>
    </w:p>
    <w:p w14:paraId="248FE77F" w14:textId="556F8F1A" w:rsidR="00382B97" w:rsidRPr="005E197B" w:rsidRDefault="0071393D" w:rsidP="00EF386A">
      <w:pPr>
        <w:jc w:val="both"/>
        <w:rPr>
          <w:lang w:val="fr-FR"/>
        </w:rPr>
      </w:pPr>
      <w:r w:rsidRPr="005E197B">
        <w:rPr>
          <w:lang w:val="fr-FR"/>
        </w:rPr>
        <w:t>En t</w:t>
      </w:r>
      <w:r w:rsidR="005E7F83" w:rsidRPr="005E197B">
        <w:rPr>
          <w:lang w:val="fr-FR"/>
        </w:rPr>
        <w:t xml:space="preserve">enant compte des normes et des orientations internationales, européennes et nationales en la matière, la Banque sollicitera en 2017, </w:t>
      </w:r>
      <w:r w:rsidR="00C22E53" w:rsidRPr="005E197B">
        <w:rPr>
          <w:lang w:val="fr-FR"/>
        </w:rPr>
        <w:t xml:space="preserve">au </w:t>
      </w:r>
      <w:r w:rsidR="005E7F83" w:rsidRPr="005E197B">
        <w:rPr>
          <w:lang w:val="fr-FR"/>
        </w:rPr>
        <w:t xml:space="preserve">moyen du </w:t>
      </w:r>
      <w:r w:rsidR="00C22E53" w:rsidRPr="005E197B">
        <w:rPr>
          <w:lang w:val="fr-FR"/>
        </w:rPr>
        <w:t xml:space="preserve">questionnaire </w:t>
      </w:r>
      <w:r w:rsidR="005E7F83" w:rsidRPr="005E197B">
        <w:rPr>
          <w:lang w:val="fr-FR"/>
        </w:rPr>
        <w:t>joint à la présente circulaire, des informations spécifiques sur les risques BC/FT inhérents auxquels sont exposés les établissements financiers soumis à son contrôle</w:t>
      </w:r>
      <w:r w:rsidR="00F815AC" w:rsidRPr="005E197B">
        <w:rPr>
          <w:lang w:val="fr-FR"/>
        </w:rPr>
        <w:t xml:space="preserve">. </w:t>
      </w:r>
      <w:r w:rsidR="00901244" w:rsidRPr="005E197B">
        <w:rPr>
          <w:lang w:val="fr-FR"/>
        </w:rPr>
        <w:t xml:space="preserve">En les couplant avec les renseignements que les établissements financiers lui ont déjà transmis en début d’année au sujet de la conformité de leurs procédures internes avec </w:t>
      </w:r>
      <w:r w:rsidR="00191F32" w:rsidRPr="005E197B">
        <w:rPr>
          <w:lang w:val="fr-FR"/>
        </w:rPr>
        <w:t>la réglementation LBC/FT belge</w:t>
      </w:r>
      <w:r w:rsidR="00F815AC" w:rsidRPr="005E197B">
        <w:rPr>
          <w:lang w:val="fr-FR"/>
        </w:rPr>
        <w:t xml:space="preserve">, </w:t>
      </w:r>
      <w:r w:rsidR="00191F32" w:rsidRPr="005E197B">
        <w:rPr>
          <w:lang w:val="fr-FR"/>
        </w:rPr>
        <w:t xml:space="preserve">la Banque sera ainsi à même d’établir le risque BC/FT résiduel pesant sur chaque établissement, ce qui lui permettra de mettre ses </w:t>
      </w:r>
      <w:r w:rsidR="00587137">
        <w:rPr>
          <w:lang w:val="fr-FR"/>
        </w:rPr>
        <w:t xml:space="preserve">ressources </w:t>
      </w:r>
      <w:r w:rsidR="00191F32" w:rsidRPr="005E197B">
        <w:rPr>
          <w:lang w:val="fr-FR"/>
        </w:rPr>
        <w:t xml:space="preserve">en </w:t>
      </w:r>
      <w:r w:rsidR="00191F32" w:rsidRPr="005E197B">
        <w:rPr>
          <w:rFonts w:cs="Arial"/>
          <w:lang w:val="fr-FR"/>
        </w:rPr>
        <w:t>œ</w:t>
      </w:r>
      <w:r w:rsidR="00191F32" w:rsidRPr="005E197B">
        <w:rPr>
          <w:lang w:val="fr-FR"/>
        </w:rPr>
        <w:t>uvre le plus efficacement</w:t>
      </w:r>
      <w:r w:rsidR="00132755" w:rsidRPr="005E197B">
        <w:rPr>
          <w:lang w:val="fr-FR"/>
        </w:rPr>
        <w:t xml:space="preserve"> </w:t>
      </w:r>
      <w:r w:rsidR="00E9153E" w:rsidRPr="005E197B">
        <w:rPr>
          <w:lang w:val="fr-FR"/>
        </w:rPr>
        <w:t>possible</w:t>
      </w:r>
      <w:r w:rsidR="00132755" w:rsidRPr="005E197B">
        <w:rPr>
          <w:lang w:val="fr-FR"/>
        </w:rPr>
        <w:t xml:space="preserve"> </w:t>
      </w:r>
      <w:r w:rsidR="00587137">
        <w:rPr>
          <w:lang w:val="fr-FR"/>
        </w:rPr>
        <w:t xml:space="preserve">dans le </w:t>
      </w:r>
      <w:r w:rsidR="00942A58" w:rsidRPr="005E197B">
        <w:rPr>
          <w:lang w:val="fr-FR"/>
        </w:rPr>
        <w:t>contrôle d</w:t>
      </w:r>
      <w:r w:rsidR="00191F32" w:rsidRPr="005E197B">
        <w:rPr>
          <w:lang w:val="fr-FR"/>
        </w:rPr>
        <w:t>e</w:t>
      </w:r>
      <w:r w:rsidR="00942A58" w:rsidRPr="005E197B">
        <w:rPr>
          <w:lang w:val="fr-FR"/>
        </w:rPr>
        <w:t xml:space="preserve"> ceux </w:t>
      </w:r>
      <w:r w:rsidR="00587137">
        <w:rPr>
          <w:lang w:val="fr-FR"/>
        </w:rPr>
        <w:t xml:space="preserve">des </w:t>
      </w:r>
      <w:r w:rsidR="00191F32" w:rsidRPr="005E197B">
        <w:rPr>
          <w:lang w:val="fr-FR"/>
        </w:rPr>
        <w:t xml:space="preserve">établissements qui font face au risque BC/FT le plus </w:t>
      </w:r>
      <w:r w:rsidR="00505B77">
        <w:rPr>
          <w:lang w:val="fr-FR"/>
        </w:rPr>
        <w:t>élevé</w:t>
      </w:r>
      <w:r w:rsidR="00F815AC" w:rsidRPr="005E197B">
        <w:rPr>
          <w:lang w:val="fr-FR"/>
        </w:rPr>
        <w:t xml:space="preserve">. </w:t>
      </w:r>
    </w:p>
    <w:p w14:paraId="248FE780" w14:textId="77777777" w:rsidR="00F815AC" w:rsidRPr="005E197B" w:rsidRDefault="00F815AC" w:rsidP="00EF386A">
      <w:pPr>
        <w:jc w:val="both"/>
        <w:rPr>
          <w:lang w:val="fr-FR"/>
        </w:rPr>
      </w:pPr>
    </w:p>
    <w:p w14:paraId="248FE781" w14:textId="0CD55DFD" w:rsidR="00F73817" w:rsidRPr="005E197B" w:rsidRDefault="00942A58" w:rsidP="00EF386A">
      <w:pPr>
        <w:jc w:val="both"/>
        <w:rPr>
          <w:lang w:val="fr-FR"/>
        </w:rPr>
      </w:pPr>
      <w:r w:rsidRPr="005E197B">
        <w:rPr>
          <w:lang w:val="fr-FR"/>
        </w:rPr>
        <w:t>La Ban</w:t>
      </w:r>
      <w:r w:rsidR="009E5467" w:rsidRPr="005E197B">
        <w:rPr>
          <w:lang w:val="fr-FR"/>
        </w:rPr>
        <w:t>que signal</w:t>
      </w:r>
      <w:r w:rsidRPr="005E197B">
        <w:rPr>
          <w:lang w:val="fr-FR"/>
        </w:rPr>
        <w:t xml:space="preserve">e en outre par la présente que les informations transmises par les établissements financiers s’agissant, d’une part, des risques BC/FT inhérents auxquels ils sont exposés et, d’autre part, de la qualité des mesures qu’ils ont prises </w:t>
      </w:r>
      <w:r w:rsidR="00587137">
        <w:rPr>
          <w:lang w:val="fr-FR"/>
        </w:rPr>
        <w:t xml:space="preserve">pour </w:t>
      </w:r>
      <w:r w:rsidRPr="005E197B">
        <w:rPr>
          <w:lang w:val="fr-FR"/>
        </w:rPr>
        <w:t xml:space="preserve">maîtriser les risques, seront </w:t>
      </w:r>
      <w:r w:rsidR="009E5467" w:rsidRPr="005E197B">
        <w:rPr>
          <w:lang w:val="fr-FR"/>
        </w:rPr>
        <w:t xml:space="preserve">dans la pratique complétées </w:t>
      </w:r>
      <w:r w:rsidR="00587137" w:rsidRPr="005E197B">
        <w:rPr>
          <w:lang w:val="fr-FR"/>
        </w:rPr>
        <w:t xml:space="preserve">encore </w:t>
      </w:r>
      <w:r w:rsidR="009E5467" w:rsidRPr="005E197B">
        <w:rPr>
          <w:lang w:val="fr-FR"/>
        </w:rPr>
        <w:t xml:space="preserve">par d’autres sources d’information auxquelles la Banque a accès ou qu’elle peut se procurer et </w:t>
      </w:r>
      <w:r w:rsidR="00F27CB3" w:rsidRPr="005E197B">
        <w:rPr>
          <w:lang w:val="fr-FR"/>
        </w:rPr>
        <w:t xml:space="preserve">seront </w:t>
      </w:r>
      <w:r w:rsidR="009E5467" w:rsidRPr="005E197B">
        <w:rPr>
          <w:lang w:val="fr-FR"/>
        </w:rPr>
        <w:t>évaluées à la lumière de celles-ci;</w:t>
      </w:r>
      <w:r w:rsidR="00F815AC" w:rsidRPr="005E197B">
        <w:rPr>
          <w:lang w:val="fr-FR"/>
        </w:rPr>
        <w:t xml:space="preserve"> </w:t>
      </w:r>
      <w:r w:rsidR="009E5467" w:rsidRPr="005E197B">
        <w:rPr>
          <w:lang w:val="fr-FR"/>
        </w:rPr>
        <w:t>parmi ces sources, citons entre autres les constat</w:t>
      </w:r>
      <w:r w:rsidR="00505B77">
        <w:rPr>
          <w:lang w:val="fr-FR"/>
        </w:rPr>
        <w:t>ation</w:t>
      </w:r>
      <w:r w:rsidR="009E5467" w:rsidRPr="005E197B">
        <w:rPr>
          <w:lang w:val="fr-FR"/>
        </w:rPr>
        <w:t xml:space="preserve">s découlant d’inspections sur site, les contacts entre l’autorité de </w:t>
      </w:r>
      <w:r w:rsidR="009F2EEE" w:rsidRPr="005E197B">
        <w:rPr>
          <w:lang w:val="fr-FR"/>
        </w:rPr>
        <w:t>contrô</w:t>
      </w:r>
      <w:r w:rsidR="009E5467" w:rsidRPr="005E197B">
        <w:rPr>
          <w:lang w:val="fr-FR"/>
        </w:rPr>
        <w:t>le et les établissements financiers, les contacts avec les rév</w:t>
      </w:r>
      <w:r w:rsidR="00132755" w:rsidRPr="005E197B">
        <w:rPr>
          <w:lang w:val="fr-FR"/>
        </w:rPr>
        <w:t>iseurs</w:t>
      </w:r>
      <w:r w:rsidR="00505B77">
        <w:rPr>
          <w:lang w:val="fr-FR"/>
        </w:rPr>
        <w:t xml:space="preserve"> d’entreprises</w:t>
      </w:r>
      <w:r w:rsidR="00132755" w:rsidRPr="005E197B">
        <w:rPr>
          <w:lang w:val="fr-FR"/>
        </w:rPr>
        <w:t xml:space="preserve"> agréés et les rapports établis par</w:t>
      </w:r>
      <w:r w:rsidR="009E5467" w:rsidRPr="005E197B">
        <w:rPr>
          <w:lang w:val="fr-FR"/>
        </w:rPr>
        <w:t xml:space="preserve"> ceux-ci, </w:t>
      </w:r>
      <w:r w:rsidR="00F27CB3" w:rsidRPr="005E197B">
        <w:rPr>
          <w:lang w:val="fr-FR"/>
        </w:rPr>
        <w:t xml:space="preserve">les informations échangées avec la CTIF, les autorités de </w:t>
      </w:r>
      <w:r w:rsidR="00170E35" w:rsidRPr="005E197B">
        <w:rPr>
          <w:lang w:val="fr-FR"/>
        </w:rPr>
        <w:t>contrô</w:t>
      </w:r>
      <w:r w:rsidR="00F27CB3" w:rsidRPr="005E197B">
        <w:rPr>
          <w:lang w:val="fr-FR"/>
        </w:rPr>
        <w:t xml:space="preserve">le prudentiel et LBC/FT des autres </w:t>
      </w:r>
      <w:r w:rsidR="00F27CB3" w:rsidRPr="005E197B">
        <w:rPr>
          <w:rFonts w:cs="Arial"/>
          <w:lang w:val="fr-FR"/>
        </w:rPr>
        <w:t>É</w:t>
      </w:r>
      <w:r w:rsidR="00F27CB3" w:rsidRPr="005E197B">
        <w:rPr>
          <w:lang w:val="fr-FR"/>
        </w:rPr>
        <w:t xml:space="preserve">tats membres et de pays tiers, les informations communiquées par les autorités judiciaires, etc. </w:t>
      </w:r>
    </w:p>
    <w:p w14:paraId="248FE782" w14:textId="77777777" w:rsidR="00EB0851" w:rsidRPr="005E197B" w:rsidRDefault="00EB0851" w:rsidP="00EF386A">
      <w:pPr>
        <w:jc w:val="both"/>
        <w:rPr>
          <w:lang w:val="fr-FR"/>
        </w:rPr>
      </w:pPr>
    </w:p>
    <w:p w14:paraId="248FE783" w14:textId="33D1B967" w:rsidR="00F73817" w:rsidRPr="005E197B" w:rsidRDefault="00EC70E6" w:rsidP="00EF386A">
      <w:pPr>
        <w:pStyle w:val="ListParagraph"/>
        <w:numPr>
          <w:ilvl w:val="0"/>
          <w:numId w:val="32"/>
        </w:numPr>
        <w:jc w:val="both"/>
        <w:rPr>
          <w:u w:val="single"/>
          <w:lang w:val="fr-FR"/>
        </w:rPr>
      </w:pPr>
      <w:r w:rsidRPr="005E197B">
        <w:rPr>
          <w:u w:val="single"/>
          <w:lang w:val="fr-FR"/>
        </w:rPr>
        <w:t>In</w:t>
      </w:r>
      <w:r w:rsidR="00505B77">
        <w:rPr>
          <w:u w:val="single"/>
          <w:lang w:val="fr-FR"/>
        </w:rPr>
        <w:t>tégration</w:t>
      </w:r>
      <w:r w:rsidRPr="005E197B">
        <w:rPr>
          <w:u w:val="single"/>
          <w:lang w:val="fr-FR"/>
        </w:rPr>
        <w:t xml:space="preserve"> du questionnaire sur les risques BC/FT inhérents dans le prochain questionnaire </w:t>
      </w:r>
      <w:r w:rsidR="007651BC" w:rsidRPr="005E197B">
        <w:rPr>
          <w:u w:val="single"/>
          <w:lang w:val="fr-FR"/>
        </w:rPr>
        <w:t xml:space="preserve">LBC/FT </w:t>
      </w:r>
      <w:r w:rsidRPr="005E197B">
        <w:rPr>
          <w:u w:val="single"/>
          <w:lang w:val="fr-FR"/>
        </w:rPr>
        <w:t xml:space="preserve">périodique </w:t>
      </w:r>
    </w:p>
    <w:p w14:paraId="248FE784" w14:textId="77777777" w:rsidR="00EB0851" w:rsidRPr="005E197B" w:rsidRDefault="00EB0851" w:rsidP="00EF386A">
      <w:pPr>
        <w:jc w:val="both"/>
        <w:rPr>
          <w:u w:val="single"/>
          <w:lang w:val="fr-FR"/>
        </w:rPr>
      </w:pPr>
    </w:p>
    <w:p w14:paraId="248FE785" w14:textId="33B1B8CE" w:rsidR="00EB0851" w:rsidRPr="005E197B" w:rsidRDefault="007651BC" w:rsidP="00EF386A">
      <w:pPr>
        <w:jc w:val="both"/>
        <w:rPr>
          <w:lang w:val="fr-FR"/>
        </w:rPr>
      </w:pPr>
      <w:r w:rsidRPr="005E197B">
        <w:rPr>
          <w:lang w:val="fr-FR"/>
        </w:rPr>
        <w:t>L’attention a déjà été brièvement attirée plus haut sur le fait que le questionnaire faisant l’objet de la présente circulaire remplace</w:t>
      </w:r>
      <w:r w:rsidR="00132755" w:rsidRPr="005E197B">
        <w:rPr>
          <w:lang w:val="fr-FR"/>
        </w:rPr>
        <w:t xml:space="preserve"> et complète l’ancien chapitre VII</w:t>
      </w:r>
      <w:r w:rsidRPr="005E197B">
        <w:rPr>
          <w:lang w:val="fr-FR"/>
        </w:rPr>
        <w:t xml:space="preserve"> du questionnaire LBC/FT périodique</w:t>
      </w:r>
      <w:r w:rsidR="00EB0851" w:rsidRPr="005E197B">
        <w:rPr>
          <w:lang w:val="fr-FR"/>
        </w:rPr>
        <w:t xml:space="preserve">. </w:t>
      </w:r>
      <w:r w:rsidRPr="005E197B">
        <w:rPr>
          <w:lang w:val="fr-FR"/>
        </w:rPr>
        <w:t xml:space="preserve">Cette approche a été choisie </w:t>
      </w:r>
      <w:r w:rsidR="008E79FB">
        <w:rPr>
          <w:lang w:val="fr-FR"/>
        </w:rPr>
        <w:t xml:space="preserve">au motif </w:t>
      </w:r>
      <w:r w:rsidRPr="005E197B">
        <w:rPr>
          <w:lang w:val="fr-FR"/>
        </w:rPr>
        <w:t>qu</w:t>
      </w:r>
      <w:r w:rsidR="00132755" w:rsidRPr="005E197B">
        <w:rPr>
          <w:lang w:val="fr-FR"/>
        </w:rPr>
        <w:t>e</w:t>
      </w:r>
      <w:r w:rsidRPr="005E197B">
        <w:rPr>
          <w:lang w:val="fr-FR"/>
        </w:rPr>
        <w:t xml:space="preserve">, pour des raisons </w:t>
      </w:r>
      <w:r w:rsidR="009F2EEE" w:rsidRPr="005E197B">
        <w:rPr>
          <w:lang w:val="fr-FR"/>
        </w:rPr>
        <w:t xml:space="preserve">de technique informatique, </w:t>
      </w:r>
      <w:r w:rsidR="008E79FB" w:rsidRPr="005E197B">
        <w:rPr>
          <w:lang w:val="fr-FR"/>
        </w:rPr>
        <w:t xml:space="preserve">la Banque ne pouvait </w:t>
      </w:r>
      <w:r w:rsidR="00132755" w:rsidRPr="005E197B">
        <w:rPr>
          <w:lang w:val="fr-FR"/>
        </w:rPr>
        <w:t xml:space="preserve">pas </w:t>
      </w:r>
      <w:r w:rsidR="009F2EEE" w:rsidRPr="005E197B">
        <w:rPr>
          <w:lang w:val="fr-FR"/>
        </w:rPr>
        <w:t>encore intégrer le questionnaire sur les risques BC/FT inhérents dans le questionnaire périodique que les établissements financiers devaient transmettre à la Ban</w:t>
      </w:r>
      <w:r w:rsidR="00132755" w:rsidRPr="005E197B">
        <w:rPr>
          <w:lang w:val="fr-FR"/>
        </w:rPr>
        <w:t xml:space="preserve">que en janvier/février 2017 </w:t>
      </w:r>
      <w:r w:rsidR="00505B77">
        <w:rPr>
          <w:lang w:val="fr-FR"/>
        </w:rPr>
        <w:t>via</w:t>
      </w:r>
      <w:r w:rsidR="008E79FB">
        <w:rPr>
          <w:lang w:val="fr-FR"/>
        </w:rPr>
        <w:t xml:space="preserve"> </w:t>
      </w:r>
      <w:r w:rsidR="001520B9" w:rsidRPr="005E197B">
        <w:rPr>
          <w:lang w:val="fr-FR"/>
        </w:rPr>
        <w:t xml:space="preserve">OneGate. </w:t>
      </w:r>
    </w:p>
    <w:p w14:paraId="248FE787" w14:textId="77777777" w:rsidR="001520B9" w:rsidRPr="005E197B" w:rsidRDefault="001520B9" w:rsidP="00EF386A">
      <w:pPr>
        <w:jc w:val="both"/>
        <w:rPr>
          <w:lang w:val="fr-FR"/>
        </w:rPr>
      </w:pPr>
    </w:p>
    <w:p w14:paraId="248FE788" w14:textId="69FC72B2" w:rsidR="001520B9" w:rsidRPr="005E197B" w:rsidRDefault="00505B77" w:rsidP="00EF386A">
      <w:pPr>
        <w:jc w:val="both"/>
        <w:rPr>
          <w:lang w:val="fr-FR"/>
        </w:rPr>
      </w:pPr>
      <w:r>
        <w:rPr>
          <w:lang w:val="fr-FR"/>
        </w:rPr>
        <w:t>A partir de l’année prochaine, l</w:t>
      </w:r>
      <w:r w:rsidR="009F2EEE" w:rsidRPr="005E197B">
        <w:rPr>
          <w:lang w:val="fr-FR"/>
        </w:rPr>
        <w:t xml:space="preserve">a Banque </w:t>
      </w:r>
      <w:r w:rsidR="008E79FB">
        <w:rPr>
          <w:lang w:val="fr-FR"/>
        </w:rPr>
        <w:t xml:space="preserve">entend </w:t>
      </w:r>
      <w:r w:rsidR="009F2EEE" w:rsidRPr="005E197B">
        <w:rPr>
          <w:lang w:val="fr-FR"/>
        </w:rPr>
        <w:t xml:space="preserve">toutefois réintégrer dans le questionnaire LBC/FT périodique les informations </w:t>
      </w:r>
      <w:r w:rsidR="002554F9" w:rsidRPr="005E197B">
        <w:rPr>
          <w:lang w:val="fr-FR"/>
        </w:rPr>
        <w:t>demand</w:t>
      </w:r>
      <w:r w:rsidR="009F2EEE" w:rsidRPr="005E197B">
        <w:rPr>
          <w:lang w:val="fr-FR"/>
        </w:rPr>
        <w:t xml:space="preserve">ées aujourd’hui par </w:t>
      </w:r>
      <w:r w:rsidR="008E79FB">
        <w:rPr>
          <w:lang w:val="fr-FR"/>
        </w:rPr>
        <w:t xml:space="preserve">la voie </w:t>
      </w:r>
      <w:r w:rsidR="009F2EEE" w:rsidRPr="005E197B">
        <w:rPr>
          <w:lang w:val="fr-FR"/>
        </w:rPr>
        <w:t xml:space="preserve">du questionnaire faisant l’objet de la </w:t>
      </w:r>
      <w:r w:rsidR="009F2EEE" w:rsidRPr="005E197B">
        <w:rPr>
          <w:lang w:val="fr-FR"/>
        </w:rPr>
        <w:lastRenderedPageBreak/>
        <w:t>présente circulaire</w:t>
      </w:r>
      <w:r w:rsidR="002554F9" w:rsidRPr="005E197B">
        <w:rPr>
          <w:lang w:val="fr-FR"/>
        </w:rPr>
        <w:t>. Ainsi, à partir de 2018, tous</w:t>
      </w:r>
      <w:r w:rsidR="009F2EEE" w:rsidRPr="005E197B">
        <w:rPr>
          <w:lang w:val="fr-FR"/>
        </w:rPr>
        <w:t xml:space="preserve"> </w:t>
      </w:r>
      <w:r w:rsidR="002554F9" w:rsidRPr="005E197B">
        <w:rPr>
          <w:lang w:val="fr-FR"/>
        </w:rPr>
        <w:t>les rapports LBC/FT adressés à la Banque seront (en principe) regroupés en un seul et unique dossier qu</w:t>
      </w:r>
      <w:r w:rsidR="0071393D" w:rsidRPr="005E197B">
        <w:rPr>
          <w:lang w:val="fr-FR"/>
        </w:rPr>
        <w:t xml:space="preserve">i devra être introduit </w:t>
      </w:r>
      <w:r>
        <w:rPr>
          <w:lang w:val="fr-FR"/>
        </w:rPr>
        <w:t>via</w:t>
      </w:r>
      <w:r w:rsidR="008E79FB">
        <w:rPr>
          <w:lang w:val="fr-FR"/>
        </w:rPr>
        <w:t xml:space="preserve"> </w:t>
      </w:r>
      <w:r w:rsidR="002554F9" w:rsidRPr="005E197B">
        <w:rPr>
          <w:lang w:val="fr-FR"/>
        </w:rPr>
        <w:t xml:space="preserve">OneGate. </w:t>
      </w:r>
    </w:p>
    <w:p w14:paraId="248FE789" w14:textId="77777777" w:rsidR="002554F9" w:rsidRPr="005E197B" w:rsidRDefault="002554F9" w:rsidP="00EF386A">
      <w:pPr>
        <w:jc w:val="both"/>
        <w:rPr>
          <w:lang w:val="fr-FR"/>
        </w:rPr>
      </w:pPr>
    </w:p>
    <w:p w14:paraId="248FE78A" w14:textId="6CD19B7C" w:rsidR="001520B9" w:rsidRPr="005E197B" w:rsidRDefault="003D270F" w:rsidP="00EF386A">
      <w:pPr>
        <w:jc w:val="both"/>
        <w:rPr>
          <w:lang w:val="fr-FR"/>
        </w:rPr>
      </w:pPr>
      <w:r w:rsidRPr="005E197B">
        <w:rPr>
          <w:lang w:val="fr-FR"/>
        </w:rPr>
        <w:t xml:space="preserve">Dans ce cadre, la Banque </w:t>
      </w:r>
      <w:proofErr w:type="spellStart"/>
      <w:r w:rsidR="00505B77">
        <w:rPr>
          <w:lang w:val="fr-FR"/>
        </w:rPr>
        <w:t>inidique</w:t>
      </w:r>
      <w:proofErr w:type="spellEnd"/>
      <w:r w:rsidRPr="005E197B">
        <w:rPr>
          <w:lang w:val="fr-FR"/>
        </w:rPr>
        <w:t xml:space="preserve"> dès à présent</w:t>
      </w:r>
      <w:r w:rsidR="0004301D" w:rsidRPr="005E197B">
        <w:rPr>
          <w:lang w:val="fr-FR"/>
        </w:rPr>
        <w:t xml:space="preserve"> que les anciens chapitres I à VI</w:t>
      </w:r>
      <w:r w:rsidRPr="005E197B">
        <w:rPr>
          <w:lang w:val="fr-FR"/>
        </w:rPr>
        <w:t xml:space="preserve"> du questionnaire périodique, </w:t>
      </w:r>
      <w:r w:rsidR="005A0CF6">
        <w:rPr>
          <w:lang w:val="fr-FR"/>
        </w:rPr>
        <w:t xml:space="preserve">par lesquels </w:t>
      </w:r>
      <w:r w:rsidR="00505B77">
        <w:rPr>
          <w:lang w:val="fr-FR"/>
        </w:rPr>
        <w:t xml:space="preserve">elle </w:t>
      </w:r>
      <w:r w:rsidRPr="005E197B">
        <w:rPr>
          <w:lang w:val="fr-FR"/>
        </w:rPr>
        <w:t xml:space="preserve"> </w:t>
      </w:r>
      <w:r w:rsidR="00AA5A1C" w:rsidRPr="005E197B">
        <w:rPr>
          <w:lang w:val="fr-FR"/>
        </w:rPr>
        <w:t>contrô</w:t>
      </w:r>
      <w:r w:rsidRPr="005E197B">
        <w:rPr>
          <w:lang w:val="fr-FR"/>
        </w:rPr>
        <w:t>le depuis 2013 la conformité des procédures internes avec la réglementation LBC</w:t>
      </w:r>
      <w:r w:rsidR="008E79FB">
        <w:rPr>
          <w:lang w:val="fr-FR"/>
        </w:rPr>
        <w:t>/</w:t>
      </w:r>
      <w:r w:rsidRPr="005E197B">
        <w:rPr>
          <w:lang w:val="fr-FR"/>
        </w:rPr>
        <w:t xml:space="preserve">FT belge, seront </w:t>
      </w:r>
      <w:r w:rsidR="00AA5A1C" w:rsidRPr="005E197B">
        <w:rPr>
          <w:lang w:val="fr-FR"/>
        </w:rPr>
        <w:t>également remaniés en profondeur dans le prochain questio</w:t>
      </w:r>
      <w:r w:rsidR="0004301D" w:rsidRPr="005E197B">
        <w:rPr>
          <w:lang w:val="fr-FR"/>
        </w:rPr>
        <w:t xml:space="preserve">nnaire périodique. </w:t>
      </w:r>
      <w:r w:rsidR="005A0CF6">
        <w:rPr>
          <w:lang w:val="fr-FR"/>
        </w:rPr>
        <w:t xml:space="preserve">Le reporting ne visera plus </w:t>
      </w:r>
      <w:r w:rsidR="00AA5A1C" w:rsidRPr="005E197B">
        <w:rPr>
          <w:lang w:val="fr-FR"/>
        </w:rPr>
        <w:t xml:space="preserve">exclusivement </w:t>
      </w:r>
      <w:r w:rsidR="005A0CF6">
        <w:rPr>
          <w:lang w:val="fr-FR"/>
        </w:rPr>
        <w:t xml:space="preserve">à contrôler </w:t>
      </w:r>
      <w:r w:rsidR="00AA5A1C" w:rsidRPr="005E197B">
        <w:rPr>
          <w:lang w:val="fr-FR"/>
        </w:rPr>
        <w:t>la conform</w:t>
      </w:r>
      <w:r w:rsidR="00955C6B" w:rsidRPr="005E197B">
        <w:rPr>
          <w:lang w:val="fr-FR"/>
        </w:rPr>
        <w:t>ité des procéd</w:t>
      </w:r>
      <w:r w:rsidR="00480D4F" w:rsidRPr="005E197B">
        <w:rPr>
          <w:lang w:val="fr-FR"/>
        </w:rPr>
        <w:t>ures internes par rapport à</w:t>
      </w:r>
      <w:r w:rsidR="00AA5A1C" w:rsidRPr="005E197B">
        <w:rPr>
          <w:lang w:val="fr-FR"/>
        </w:rPr>
        <w:t xml:space="preserve"> l</w:t>
      </w:r>
      <w:r w:rsidR="00955C6B" w:rsidRPr="005E197B">
        <w:rPr>
          <w:lang w:val="fr-FR"/>
        </w:rPr>
        <w:t>a réglementation en vigueur</w:t>
      </w:r>
      <w:r w:rsidR="005A0CF6">
        <w:rPr>
          <w:lang w:val="fr-FR"/>
        </w:rPr>
        <w:t>,</w:t>
      </w:r>
      <w:r w:rsidR="005E5B34" w:rsidRPr="005E5B34">
        <w:rPr>
          <w:lang w:val="fr-FR"/>
        </w:rPr>
        <w:t xml:space="preserve"> </w:t>
      </w:r>
      <w:r w:rsidR="005A0CF6">
        <w:rPr>
          <w:lang w:val="fr-FR"/>
        </w:rPr>
        <w:t xml:space="preserve">mais servira désormais aussi à vérifier </w:t>
      </w:r>
      <w:r w:rsidR="005E5B34" w:rsidRPr="005E197B">
        <w:rPr>
          <w:lang w:val="fr-FR"/>
        </w:rPr>
        <w:t>la qualité des mesures de maîtrise des risques en général</w:t>
      </w:r>
      <w:r w:rsidR="00AA5A1C" w:rsidRPr="005E197B">
        <w:rPr>
          <w:lang w:val="fr-FR"/>
        </w:rPr>
        <w:t xml:space="preserve">. </w:t>
      </w:r>
      <w:r w:rsidR="006654E0" w:rsidRPr="005E197B">
        <w:rPr>
          <w:lang w:val="fr-FR"/>
        </w:rPr>
        <w:t>Il va sans dire que la conform</w:t>
      </w:r>
      <w:r w:rsidR="0004301D" w:rsidRPr="005E197B">
        <w:rPr>
          <w:lang w:val="fr-FR"/>
        </w:rPr>
        <w:t>ité des procédures internes au regard de</w:t>
      </w:r>
      <w:r w:rsidR="006654E0" w:rsidRPr="005E197B">
        <w:rPr>
          <w:lang w:val="fr-FR"/>
        </w:rPr>
        <w:t xml:space="preserve"> la réglementation LBC/FT belge </w:t>
      </w:r>
      <w:r w:rsidR="00480D4F" w:rsidRPr="005E197B">
        <w:rPr>
          <w:lang w:val="fr-FR"/>
        </w:rPr>
        <w:t>demeure dans ce cadre un facteur</w:t>
      </w:r>
      <w:r w:rsidR="00826444" w:rsidRPr="005E197B">
        <w:rPr>
          <w:lang w:val="fr-FR"/>
        </w:rPr>
        <w:t xml:space="preserve"> indispensable et crucial auquel la Banque continuera à l’avenir également de porter l’attention voulue. </w:t>
      </w:r>
    </w:p>
    <w:p w14:paraId="248FE78B" w14:textId="77777777" w:rsidR="00A63616" w:rsidRPr="005E197B" w:rsidRDefault="00A63616" w:rsidP="00EF386A">
      <w:pPr>
        <w:jc w:val="both"/>
        <w:rPr>
          <w:lang w:val="fr-FR"/>
        </w:rPr>
      </w:pPr>
    </w:p>
    <w:p w14:paraId="248FE78C" w14:textId="77777777" w:rsidR="00EB0851" w:rsidRPr="005E197B" w:rsidRDefault="00EB0851" w:rsidP="00EF386A">
      <w:pPr>
        <w:jc w:val="both"/>
        <w:rPr>
          <w:lang w:val="fr-FR"/>
        </w:rPr>
      </w:pPr>
    </w:p>
    <w:p w14:paraId="248FE78D" w14:textId="77777777" w:rsidR="004673C3" w:rsidRPr="005E197B" w:rsidRDefault="00571D46" w:rsidP="00EF386A">
      <w:pPr>
        <w:pStyle w:val="ListParagraph"/>
        <w:numPr>
          <w:ilvl w:val="0"/>
          <w:numId w:val="32"/>
        </w:numPr>
        <w:jc w:val="both"/>
        <w:rPr>
          <w:u w:val="single"/>
          <w:lang w:val="fr-FR"/>
        </w:rPr>
      </w:pPr>
      <w:r w:rsidRPr="005E197B">
        <w:rPr>
          <w:u w:val="single"/>
          <w:lang w:val="fr-FR"/>
        </w:rPr>
        <w:t>Calendrier</w:t>
      </w:r>
    </w:p>
    <w:p w14:paraId="248FE78E" w14:textId="77777777" w:rsidR="00EB0851" w:rsidRPr="005E197B" w:rsidRDefault="00EB0851" w:rsidP="00EF386A">
      <w:pPr>
        <w:jc w:val="both"/>
        <w:rPr>
          <w:lang w:val="fr-FR"/>
        </w:rPr>
      </w:pPr>
    </w:p>
    <w:p w14:paraId="248FE78F" w14:textId="77777777" w:rsidR="004673C3" w:rsidRPr="005E197B" w:rsidRDefault="0071393D" w:rsidP="00EF386A">
      <w:pPr>
        <w:jc w:val="both"/>
        <w:rPr>
          <w:lang w:val="fr-FR"/>
        </w:rPr>
      </w:pPr>
      <w:r w:rsidRPr="005E197B">
        <w:rPr>
          <w:lang w:val="fr-FR"/>
        </w:rPr>
        <w:t>Le</w:t>
      </w:r>
      <w:r w:rsidR="00BC30AE" w:rsidRPr="005E197B">
        <w:rPr>
          <w:lang w:val="fr-FR"/>
        </w:rPr>
        <w:t xml:space="preserve">s réponses au questionnaire </w:t>
      </w:r>
      <w:r w:rsidRPr="005E197B">
        <w:rPr>
          <w:lang w:val="fr-FR"/>
        </w:rPr>
        <w:t>fai</w:t>
      </w:r>
      <w:r w:rsidR="00BC30AE" w:rsidRPr="005E197B">
        <w:rPr>
          <w:lang w:val="fr-FR"/>
        </w:rPr>
        <w:t>san</w:t>
      </w:r>
      <w:r w:rsidRPr="005E197B">
        <w:rPr>
          <w:lang w:val="fr-FR"/>
        </w:rPr>
        <w:t xml:space="preserve">t l’objet de la présente circulaire </w:t>
      </w:r>
      <w:r w:rsidR="00BC30AE" w:rsidRPr="005E197B">
        <w:rPr>
          <w:lang w:val="fr-FR"/>
        </w:rPr>
        <w:t xml:space="preserve">doivent être </w:t>
      </w:r>
      <w:r w:rsidR="00D93AFF">
        <w:rPr>
          <w:lang w:val="fr-FR"/>
        </w:rPr>
        <w:t xml:space="preserve">fournies dans </w:t>
      </w:r>
      <w:r w:rsidR="00480D4F" w:rsidRPr="005E197B">
        <w:rPr>
          <w:lang w:val="fr-FR"/>
        </w:rPr>
        <w:t xml:space="preserve">Ecorporate </w:t>
      </w:r>
      <w:r w:rsidR="00BC30AE" w:rsidRPr="005E197B">
        <w:rPr>
          <w:lang w:val="fr-FR"/>
        </w:rPr>
        <w:t xml:space="preserve">selon les modalités usuelles </w:t>
      </w:r>
      <w:r w:rsidR="00BF4C7A" w:rsidRPr="005E197B">
        <w:rPr>
          <w:lang w:val="fr-FR"/>
        </w:rPr>
        <w:t xml:space="preserve">au plus tard </w:t>
      </w:r>
      <w:r w:rsidR="00BC30AE" w:rsidRPr="005E197B">
        <w:rPr>
          <w:lang w:val="fr-FR"/>
        </w:rPr>
        <w:t xml:space="preserve">le </w:t>
      </w:r>
      <w:r w:rsidR="00BC30AE" w:rsidRPr="005E197B">
        <w:rPr>
          <w:b/>
          <w:u w:val="single"/>
          <w:lang w:val="fr-FR"/>
        </w:rPr>
        <w:t>vendredi 30 juin 2017</w:t>
      </w:r>
      <w:r w:rsidR="00BC30AE" w:rsidRPr="005E197B">
        <w:rPr>
          <w:lang w:val="fr-FR"/>
        </w:rPr>
        <w:t xml:space="preserve">. </w:t>
      </w:r>
    </w:p>
    <w:p w14:paraId="248FE790" w14:textId="77777777" w:rsidR="004673C3" w:rsidRPr="005E197B" w:rsidRDefault="004673C3" w:rsidP="00EF386A">
      <w:pPr>
        <w:jc w:val="both"/>
        <w:rPr>
          <w:lang w:val="fr-FR"/>
        </w:rPr>
      </w:pPr>
    </w:p>
    <w:p w14:paraId="248FE791" w14:textId="77777777" w:rsidR="004673C3" w:rsidRPr="005E197B" w:rsidRDefault="00480D4F" w:rsidP="00EF386A">
      <w:pPr>
        <w:jc w:val="both"/>
        <w:rPr>
          <w:lang w:val="fr-FR"/>
        </w:rPr>
      </w:pPr>
      <w:r w:rsidRPr="005E197B">
        <w:rPr>
          <w:lang w:val="fr-FR"/>
        </w:rPr>
        <w:t>Les établissements n’aya</w:t>
      </w:r>
      <w:r w:rsidR="0071393D" w:rsidRPr="005E197B">
        <w:rPr>
          <w:lang w:val="fr-FR"/>
        </w:rPr>
        <w:t xml:space="preserve">nt pas accès à </w:t>
      </w:r>
      <w:r w:rsidR="004673C3" w:rsidRPr="005E197B">
        <w:rPr>
          <w:lang w:val="fr-FR"/>
        </w:rPr>
        <w:t xml:space="preserve">Ecorporate, </w:t>
      </w:r>
      <w:r w:rsidR="0071393D" w:rsidRPr="005E197B">
        <w:rPr>
          <w:lang w:val="fr-FR"/>
        </w:rPr>
        <w:t xml:space="preserve">c’est-à-dire les établissements de paiement étrangers et les établissements de monnaie électronique qui exercent une activité en Belgique au titre de la libre prestation de services et y maintiennent une </w:t>
      </w:r>
      <w:r w:rsidR="00BC30AE" w:rsidRPr="005E197B">
        <w:rPr>
          <w:lang w:val="fr-FR"/>
        </w:rPr>
        <w:t xml:space="preserve">présence physique en la personne </w:t>
      </w:r>
      <w:r w:rsidR="0071393D" w:rsidRPr="005E197B">
        <w:rPr>
          <w:lang w:val="fr-FR"/>
        </w:rPr>
        <w:t xml:space="preserve">d’agents et/ou de distributeurs qui les représentent, doivent faire parvenir le questionnaire complété à la Banque par courrier ou par courriel. </w:t>
      </w:r>
    </w:p>
    <w:p w14:paraId="248FE792" w14:textId="77777777" w:rsidR="0071393D" w:rsidRPr="005E197B" w:rsidRDefault="0071393D" w:rsidP="00EF386A">
      <w:pPr>
        <w:jc w:val="both"/>
        <w:rPr>
          <w:lang w:val="fr-FR"/>
        </w:rPr>
      </w:pPr>
    </w:p>
    <w:p w14:paraId="248FE793" w14:textId="77777777" w:rsidR="004673C3" w:rsidRPr="005E197B" w:rsidRDefault="00571D46" w:rsidP="00EF386A">
      <w:pPr>
        <w:pStyle w:val="ListParagraph"/>
        <w:numPr>
          <w:ilvl w:val="0"/>
          <w:numId w:val="37"/>
        </w:numPr>
        <w:autoSpaceDE w:val="0"/>
        <w:autoSpaceDN w:val="0"/>
        <w:adjustRightInd w:val="0"/>
        <w:spacing w:line="240" w:lineRule="auto"/>
        <w:jc w:val="both"/>
        <w:rPr>
          <w:rFonts w:cs="Arial"/>
          <w:lang w:val="fr-FR" w:eastAsia="nl-BE"/>
        </w:rPr>
      </w:pPr>
      <w:r w:rsidRPr="005E197B">
        <w:rPr>
          <w:lang w:val="fr-FR"/>
        </w:rPr>
        <w:t xml:space="preserve">Par courrier : </w:t>
      </w:r>
      <w:r w:rsidRPr="005E197B">
        <w:rPr>
          <w:lang w:val="fr-FR"/>
        </w:rPr>
        <w:tab/>
      </w:r>
      <w:r w:rsidRPr="005E197B">
        <w:rPr>
          <w:lang w:val="fr-FR"/>
        </w:rPr>
        <w:tab/>
        <w:t>Banque nationale de Belgique</w:t>
      </w:r>
    </w:p>
    <w:p w14:paraId="248FE794" w14:textId="77777777" w:rsidR="004673C3" w:rsidRPr="005E197B" w:rsidRDefault="004673C3" w:rsidP="00EF386A">
      <w:pPr>
        <w:autoSpaceDE w:val="0"/>
        <w:autoSpaceDN w:val="0"/>
        <w:adjustRightInd w:val="0"/>
        <w:spacing w:line="240" w:lineRule="auto"/>
        <w:ind w:left="1440"/>
        <w:jc w:val="both"/>
        <w:rPr>
          <w:rFonts w:cs="Arial"/>
          <w:lang w:val="fr-FR" w:eastAsia="nl-BE"/>
        </w:rPr>
      </w:pPr>
      <w:r w:rsidRPr="005E197B">
        <w:rPr>
          <w:rFonts w:cs="Arial"/>
          <w:lang w:val="fr-FR" w:eastAsia="nl-BE"/>
        </w:rPr>
        <w:tab/>
      </w:r>
      <w:r w:rsidRPr="005E197B">
        <w:rPr>
          <w:rFonts w:cs="Arial"/>
          <w:lang w:val="fr-FR" w:eastAsia="nl-BE"/>
        </w:rPr>
        <w:tab/>
      </w:r>
      <w:r w:rsidRPr="005E197B">
        <w:rPr>
          <w:rFonts w:cs="Arial"/>
          <w:lang w:val="fr-FR" w:eastAsia="nl-BE"/>
        </w:rPr>
        <w:tab/>
      </w:r>
      <w:r w:rsidRPr="005E197B">
        <w:rPr>
          <w:rFonts w:cs="Arial"/>
          <w:lang w:val="fr-FR" w:eastAsia="nl-BE"/>
        </w:rPr>
        <w:tab/>
      </w:r>
      <w:r w:rsidR="00BC30AE" w:rsidRPr="005E197B">
        <w:rPr>
          <w:rFonts w:cs="Arial"/>
          <w:lang w:val="fr-FR" w:eastAsia="nl-BE"/>
        </w:rPr>
        <w:t>Service Politique prudentielle et stabilité financière</w:t>
      </w:r>
    </w:p>
    <w:p w14:paraId="248FE795" w14:textId="77777777" w:rsidR="004673C3" w:rsidRPr="005E197B" w:rsidRDefault="004673C3" w:rsidP="00EF386A">
      <w:pPr>
        <w:autoSpaceDE w:val="0"/>
        <w:autoSpaceDN w:val="0"/>
        <w:adjustRightInd w:val="0"/>
        <w:spacing w:line="240" w:lineRule="auto"/>
        <w:ind w:left="1440"/>
        <w:jc w:val="both"/>
        <w:rPr>
          <w:rFonts w:cs="Arial"/>
          <w:lang w:val="fr-FR" w:eastAsia="nl-BE"/>
        </w:rPr>
      </w:pPr>
      <w:r w:rsidRPr="005E197B">
        <w:rPr>
          <w:rFonts w:cs="Arial"/>
          <w:lang w:val="fr-FR" w:eastAsia="nl-BE"/>
        </w:rPr>
        <w:tab/>
      </w:r>
      <w:r w:rsidRPr="005E197B">
        <w:rPr>
          <w:rFonts w:cs="Arial"/>
          <w:lang w:val="fr-FR" w:eastAsia="nl-BE"/>
        </w:rPr>
        <w:tab/>
      </w:r>
      <w:r w:rsidRPr="005E197B">
        <w:rPr>
          <w:rFonts w:cs="Arial"/>
          <w:lang w:val="fr-FR" w:eastAsia="nl-BE"/>
        </w:rPr>
        <w:tab/>
      </w:r>
      <w:r w:rsidRPr="005E197B">
        <w:rPr>
          <w:rFonts w:cs="Arial"/>
          <w:lang w:val="fr-FR" w:eastAsia="nl-BE"/>
        </w:rPr>
        <w:tab/>
      </w:r>
      <w:r w:rsidR="00BC30AE" w:rsidRPr="005E197B">
        <w:rPr>
          <w:rFonts w:cs="Arial"/>
          <w:lang w:val="fr-FR" w:eastAsia="nl-BE"/>
        </w:rPr>
        <w:t>Contrô</w:t>
      </w:r>
      <w:r w:rsidR="001E61C2" w:rsidRPr="005E197B">
        <w:rPr>
          <w:rFonts w:cs="Arial"/>
          <w:lang w:val="fr-FR" w:eastAsia="nl-BE"/>
        </w:rPr>
        <w:t>le AML</w:t>
      </w:r>
      <w:r w:rsidR="00BC30AE" w:rsidRPr="005E197B">
        <w:rPr>
          <w:rFonts w:cs="Arial"/>
          <w:lang w:val="fr-FR" w:eastAsia="nl-BE"/>
        </w:rPr>
        <w:t>/</w:t>
      </w:r>
      <w:r w:rsidR="001E61C2" w:rsidRPr="005E197B">
        <w:rPr>
          <w:rFonts w:cs="Arial"/>
          <w:lang w:val="fr-FR" w:eastAsia="nl-BE"/>
        </w:rPr>
        <w:t>C</w:t>
      </w:r>
      <w:r w:rsidR="00BC30AE" w:rsidRPr="005E197B">
        <w:rPr>
          <w:rFonts w:cs="Arial"/>
          <w:lang w:val="fr-FR" w:eastAsia="nl-BE"/>
        </w:rPr>
        <w:t xml:space="preserve">FT </w:t>
      </w:r>
    </w:p>
    <w:p w14:paraId="248FE796" w14:textId="77777777" w:rsidR="004673C3" w:rsidRPr="005E197B" w:rsidRDefault="004673C3" w:rsidP="00EF386A">
      <w:pPr>
        <w:autoSpaceDE w:val="0"/>
        <w:autoSpaceDN w:val="0"/>
        <w:adjustRightInd w:val="0"/>
        <w:spacing w:line="240" w:lineRule="auto"/>
        <w:ind w:left="1440"/>
        <w:jc w:val="both"/>
        <w:rPr>
          <w:rFonts w:cs="Arial"/>
          <w:lang w:val="fr-FR" w:eastAsia="nl-BE"/>
        </w:rPr>
      </w:pPr>
      <w:r w:rsidRPr="005E197B">
        <w:rPr>
          <w:rFonts w:cs="Arial"/>
          <w:lang w:val="fr-FR" w:eastAsia="nl-BE"/>
        </w:rPr>
        <w:tab/>
      </w:r>
      <w:r w:rsidRPr="005E197B">
        <w:rPr>
          <w:rFonts w:cs="Arial"/>
          <w:lang w:val="fr-FR" w:eastAsia="nl-BE"/>
        </w:rPr>
        <w:tab/>
      </w:r>
      <w:r w:rsidRPr="005E197B">
        <w:rPr>
          <w:rFonts w:cs="Arial"/>
          <w:lang w:val="fr-FR" w:eastAsia="nl-BE"/>
        </w:rPr>
        <w:tab/>
      </w:r>
      <w:r w:rsidRPr="005E197B">
        <w:rPr>
          <w:rFonts w:cs="Arial"/>
          <w:lang w:val="fr-FR" w:eastAsia="nl-BE"/>
        </w:rPr>
        <w:tab/>
      </w:r>
      <w:r w:rsidR="00571D46" w:rsidRPr="005E197B">
        <w:rPr>
          <w:rFonts w:cs="Arial"/>
          <w:lang w:val="fr-FR" w:eastAsia="nl-BE"/>
        </w:rPr>
        <w:t>Boulevard de Berlaimont</w:t>
      </w:r>
      <w:r w:rsidRPr="005E197B">
        <w:rPr>
          <w:rFonts w:cs="Arial"/>
          <w:lang w:val="fr-FR" w:eastAsia="nl-BE"/>
        </w:rPr>
        <w:t>, 14</w:t>
      </w:r>
    </w:p>
    <w:p w14:paraId="248FE797" w14:textId="77777777" w:rsidR="004673C3" w:rsidRPr="005E197B" w:rsidRDefault="004673C3" w:rsidP="00EF386A">
      <w:pPr>
        <w:autoSpaceDE w:val="0"/>
        <w:autoSpaceDN w:val="0"/>
        <w:adjustRightInd w:val="0"/>
        <w:spacing w:line="240" w:lineRule="auto"/>
        <w:ind w:left="1440"/>
        <w:jc w:val="both"/>
        <w:rPr>
          <w:rFonts w:cs="Arial"/>
          <w:lang w:val="fr-FR" w:eastAsia="nl-BE"/>
        </w:rPr>
      </w:pPr>
      <w:r w:rsidRPr="005E197B">
        <w:rPr>
          <w:rFonts w:cs="Arial"/>
          <w:lang w:val="fr-FR" w:eastAsia="nl-BE"/>
        </w:rPr>
        <w:tab/>
      </w:r>
      <w:r w:rsidRPr="005E197B">
        <w:rPr>
          <w:rFonts w:cs="Arial"/>
          <w:lang w:val="fr-FR" w:eastAsia="nl-BE"/>
        </w:rPr>
        <w:tab/>
      </w:r>
      <w:r w:rsidRPr="005E197B">
        <w:rPr>
          <w:rFonts w:cs="Arial"/>
          <w:lang w:val="fr-FR" w:eastAsia="nl-BE"/>
        </w:rPr>
        <w:tab/>
      </w:r>
      <w:r w:rsidRPr="005E197B">
        <w:rPr>
          <w:rFonts w:cs="Arial"/>
          <w:lang w:val="fr-FR" w:eastAsia="nl-BE"/>
        </w:rPr>
        <w:tab/>
      </w:r>
      <w:r w:rsidR="00571D46" w:rsidRPr="005E197B">
        <w:rPr>
          <w:rFonts w:cs="Arial"/>
          <w:lang w:val="fr-FR" w:eastAsia="nl-BE"/>
        </w:rPr>
        <w:t>1000 Bruxelles</w:t>
      </w:r>
    </w:p>
    <w:p w14:paraId="248FE798" w14:textId="77777777" w:rsidR="004673C3" w:rsidRPr="005E197B" w:rsidRDefault="004673C3" w:rsidP="00EF386A">
      <w:pPr>
        <w:autoSpaceDE w:val="0"/>
        <w:autoSpaceDN w:val="0"/>
        <w:adjustRightInd w:val="0"/>
        <w:spacing w:line="240" w:lineRule="auto"/>
        <w:jc w:val="both"/>
        <w:rPr>
          <w:rFonts w:cs="Arial"/>
          <w:lang w:val="fr-FR" w:eastAsia="nl-BE"/>
        </w:rPr>
      </w:pPr>
    </w:p>
    <w:p w14:paraId="248FE799" w14:textId="77777777" w:rsidR="004673C3" w:rsidRPr="005E197B" w:rsidRDefault="0071393D" w:rsidP="00EF386A">
      <w:pPr>
        <w:pStyle w:val="ListParagraph"/>
        <w:numPr>
          <w:ilvl w:val="0"/>
          <w:numId w:val="37"/>
        </w:numPr>
        <w:autoSpaceDE w:val="0"/>
        <w:autoSpaceDN w:val="0"/>
        <w:adjustRightInd w:val="0"/>
        <w:spacing w:line="240" w:lineRule="auto"/>
        <w:jc w:val="both"/>
        <w:rPr>
          <w:rFonts w:cs="Arial"/>
          <w:lang w:val="fr-FR" w:eastAsia="nl-BE"/>
        </w:rPr>
      </w:pPr>
      <w:r w:rsidRPr="005E197B">
        <w:rPr>
          <w:rFonts w:cs="Arial"/>
          <w:lang w:val="fr-FR" w:eastAsia="nl-BE"/>
        </w:rPr>
        <w:t>Par courriel </w:t>
      </w:r>
      <w:r w:rsidR="004673C3" w:rsidRPr="005E197B">
        <w:rPr>
          <w:rFonts w:cs="Arial"/>
          <w:lang w:val="fr-FR" w:eastAsia="nl-BE"/>
        </w:rPr>
        <w:t xml:space="preserve">: </w:t>
      </w:r>
      <w:r w:rsidR="004673C3" w:rsidRPr="005E197B">
        <w:rPr>
          <w:rFonts w:cs="Arial"/>
          <w:lang w:val="fr-FR" w:eastAsia="nl-BE"/>
        </w:rPr>
        <w:tab/>
      </w:r>
      <w:r w:rsidR="004673C3" w:rsidRPr="005E197B">
        <w:rPr>
          <w:rFonts w:cs="Arial"/>
          <w:lang w:val="fr-FR" w:eastAsia="nl-BE"/>
        </w:rPr>
        <w:tab/>
      </w:r>
      <w:hyperlink r:id="rId15" w:history="1">
        <w:r w:rsidR="004673C3" w:rsidRPr="005E197B">
          <w:rPr>
            <w:rStyle w:val="Hyperlink"/>
            <w:rFonts w:cs="Arial"/>
            <w:lang w:val="fr-FR" w:eastAsia="nl-BE"/>
          </w:rPr>
          <w:t>Supervision.ta.aml@nbb.be</w:t>
        </w:r>
      </w:hyperlink>
    </w:p>
    <w:p w14:paraId="248FE79A" w14:textId="77777777" w:rsidR="004673C3" w:rsidRPr="005E197B" w:rsidRDefault="004673C3" w:rsidP="00EF386A">
      <w:pPr>
        <w:autoSpaceDE w:val="0"/>
        <w:autoSpaceDN w:val="0"/>
        <w:adjustRightInd w:val="0"/>
        <w:spacing w:line="240" w:lineRule="auto"/>
        <w:jc w:val="both"/>
        <w:rPr>
          <w:rFonts w:cs="Arial"/>
          <w:lang w:val="fr-FR" w:eastAsia="nl-BE"/>
        </w:rPr>
      </w:pPr>
    </w:p>
    <w:p w14:paraId="248FE79B" w14:textId="77777777" w:rsidR="004673C3" w:rsidRPr="005E197B" w:rsidRDefault="004673C3" w:rsidP="00EF386A">
      <w:pPr>
        <w:jc w:val="both"/>
        <w:rPr>
          <w:lang w:val="fr-FR"/>
        </w:rPr>
      </w:pPr>
    </w:p>
    <w:p w14:paraId="248FE79C" w14:textId="77777777" w:rsidR="004673C3" w:rsidRPr="005E197B" w:rsidRDefault="00EB65A6" w:rsidP="00EF386A">
      <w:pPr>
        <w:pStyle w:val="ListParagraph"/>
        <w:numPr>
          <w:ilvl w:val="0"/>
          <w:numId w:val="32"/>
        </w:numPr>
        <w:jc w:val="both"/>
        <w:rPr>
          <w:lang w:val="fr-FR"/>
        </w:rPr>
      </w:pPr>
      <w:r w:rsidRPr="005E197B">
        <w:rPr>
          <w:u w:val="single"/>
          <w:lang w:val="fr-FR"/>
        </w:rPr>
        <w:t>Aspect</w:t>
      </w:r>
      <w:r w:rsidR="00BF4C7A" w:rsidRPr="005E197B">
        <w:rPr>
          <w:u w:val="single"/>
          <w:lang w:val="fr-FR"/>
        </w:rPr>
        <w:t>s pratiques</w:t>
      </w:r>
    </w:p>
    <w:p w14:paraId="248FE79D" w14:textId="77777777" w:rsidR="00772658" w:rsidRPr="005E197B" w:rsidRDefault="00772658" w:rsidP="00EF386A">
      <w:pPr>
        <w:jc w:val="both"/>
        <w:rPr>
          <w:lang w:val="fr-FR"/>
        </w:rPr>
      </w:pPr>
    </w:p>
    <w:p w14:paraId="248FE79E" w14:textId="5162CE19" w:rsidR="00044873" w:rsidRPr="005E197B" w:rsidRDefault="001E61C2" w:rsidP="00EF386A">
      <w:pPr>
        <w:jc w:val="both"/>
        <w:rPr>
          <w:lang w:val="fr-FR"/>
        </w:rPr>
      </w:pPr>
      <w:r w:rsidRPr="005E197B">
        <w:rPr>
          <w:lang w:val="fr-FR"/>
        </w:rPr>
        <w:t>La Banque a choisi d</w:t>
      </w:r>
      <w:r w:rsidR="00505B77">
        <w:rPr>
          <w:lang w:val="fr-FR"/>
        </w:rPr>
        <w:t>’établir</w:t>
      </w:r>
      <w:r w:rsidR="00BF4C7A" w:rsidRPr="005E197B">
        <w:rPr>
          <w:lang w:val="fr-FR"/>
        </w:rPr>
        <w:t xml:space="preserve"> un questionnaire distinct pour chaque catégorie d’ét</w:t>
      </w:r>
      <w:r w:rsidR="004E28BD" w:rsidRPr="005E197B">
        <w:rPr>
          <w:lang w:val="fr-FR"/>
        </w:rPr>
        <w:t>ablissements soumis à son contrô</w:t>
      </w:r>
      <w:r w:rsidR="00BF4C7A" w:rsidRPr="005E197B">
        <w:rPr>
          <w:lang w:val="fr-FR"/>
        </w:rPr>
        <w:t>le, qui tient compte, dans la mesure du possible, des activités spécifiques exercées dans les différents secteurs. Au total, quatre questionnai</w:t>
      </w:r>
      <w:r w:rsidRPr="005E197B">
        <w:rPr>
          <w:lang w:val="fr-FR"/>
        </w:rPr>
        <w:t>res distinct</w:t>
      </w:r>
      <w:r w:rsidR="00BF4C7A" w:rsidRPr="005E197B">
        <w:rPr>
          <w:lang w:val="fr-FR"/>
        </w:rPr>
        <w:t>s s’adress</w:t>
      </w:r>
      <w:r w:rsidR="00505B77">
        <w:rPr>
          <w:lang w:val="fr-FR"/>
        </w:rPr>
        <w:t>a</w:t>
      </w:r>
      <w:r w:rsidR="00BF4C7A" w:rsidRPr="005E197B">
        <w:rPr>
          <w:lang w:val="fr-FR"/>
        </w:rPr>
        <w:t xml:space="preserve">nt aux </w:t>
      </w:r>
      <w:r w:rsidR="002128A1" w:rsidRPr="005E197B">
        <w:rPr>
          <w:lang w:val="fr-FR"/>
        </w:rPr>
        <w:t>catégories d’établissements suivantes</w:t>
      </w:r>
      <w:r w:rsidR="00505B77">
        <w:rPr>
          <w:lang w:val="fr-FR"/>
        </w:rPr>
        <w:t xml:space="preserve"> ont été élaborés</w:t>
      </w:r>
      <w:r w:rsidR="002128A1" w:rsidRPr="005E197B">
        <w:rPr>
          <w:lang w:val="fr-FR"/>
        </w:rPr>
        <w:t xml:space="preserve"> : (a) les établissements de crédit, (b) les sociétés de bourse, (c) les entreprises d’assurance-vie et (d) les établissements de paiement et les établissements de monnaie électronique. </w:t>
      </w:r>
    </w:p>
    <w:p w14:paraId="248FE79F" w14:textId="77777777" w:rsidR="002128A1" w:rsidRPr="005E197B" w:rsidRDefault="002128A1" w:rsidP="00EF386A">
      <w:pPr>
        <w:jc w:val="both"/>
        <w:rPr>
          <w:lang w:val="fr-FR"/>
        </w:rPr>
      </w:pPr>
    </w:p>
    <w:p w14:paraId="248FE7A0" w14:textId="77777777" w:rsidR="00044873" w:rsidRPr="005E197B" w:rsidRDefault="00BF4C7A" w:rsidP="00EF386A">
      <w:pPr>
        <w:jc w:val="both"/>
        <w:rPr>
          <w:lang w:val="fr-FR"/>
        </w:rPr>
      </w:pPr>
      <w:r w:rsidRPr="005E197B">
        <w:rPr>
          <w:lang w:val="fr-FR"/>
        </w:rPr>
        <w:t>Tous les questi</w:t>
      </w:r>
      <w:r w:rsidR="004E28BD" w:rsidRPr="005E197B">
        <w:rPr>
          <w:lang w:val="fr-FR"/>
        </w:rPr>
        <w:t>onnaires sont disponibles en née</w:t>
      </w:r>
      <w:r w:rsidRPr="005E197B">
        <w:rPr>
          <w:lang w:val="fr-FR"/>
        </w:rPr>
        <w:t xml:space="preserve">rlandais, en français et en anglais. </w:t>
      </w:r>
    </w:p>
    <w:p w14:paraId="248FE7A1" w14:textId="77777777" w:rsidR="00044873" w:rsidRPr="005E197B" w:rsidRDefault="00044873" w:rsidP="00EF386A">
      <w:pPr>
        <w:jc w:val="both"/>
        <w:rPr>
          <w:lang w:val="fr-FR"/>
        </w:rPr>
      </w:pPr>
    </w:p>
    <w:p w14:paraId="248FE7A2" w14:textId="77777777" w:rsidR="00772658" w:rsidRPr="005E197B" w:rsidRDefault="002128A1" w:rsidP="00EF386A">
      <w:pPr>
        <w:jc w:val="both"/>
        <w:rPr>
          <w:lang w:val="fr-FR"/>
        </w:rPr>
      </w:pPr>
      <w:r w:rsidRPr="005E197B">
        <w:rPr>
          <w:lang w:val="fr-FR"/>
        </w:rPr>
        <w:t>Contrairement au questionnaire LBC/FT périodique, les différents questionnaires ne vous seront pas adressés sous forme papier</w:t>
      </w:r>
      <w:r w:rsidR="00772658" w:rsidRPr="005E197B">
        <w:rPr>
          <w:lang w:val="fr-FR"/>
        </w:rPr>
        <w:t xml:space="preserve">. </w:t>
      </w:r>
      <w:r w:rsidRPr="005E197B">
        <w:rPr>
          <w:lang w:val="fr-FR"/>
        </w:rPr>
        <w:t xml:space="preserve">Il vous revient donc de télécharger le questionnaire adéquat sur le site internet de la Banque. Il va de soi que l’agrément que votre établissement a reçu auprès de la Banque </w:t>
      </w:r>
      <w:r w:rsidR="00A819E9" w:rsidRPr="005E197B">
        <w:rPr>
          <w:lang w:val="fr-FR"/>
        </w:rPr>
        <w:t>est déterminant en la matière.</w:t>
      </w:r>
      <w:r w:rsidR="00044873" w:rsidRPr="005E197B">
        <w:rPr>
          <w:lang w:val="fr-FR"/>
        </w:rPr>
        <w:t xml:space="preserve"> </w:t>
      </w:r>
      <w:r w:rsidR="00A819E9" w:rsidRPr="005E197B">
        <w:rPr>
          <w:lang w:val="fr-FR"/>
        </w:rPr>
        <w:t xml:space="preserve">Les organismes de liquidation et les organismes assimilés à des organismes de liquidation doivent répondre au questionnaire consacré aux établissements de crédit. </w:t>
      </w:r>
    </w:p>
    <w:p w14:paraId="248FE7A3" w14:textId="77777777" w:rsidR="00772658" w:rsidRPr="005E197B" w:rsidRDefault="00772658" w:rsidP="00EF386A">
      <w:pPr>
        <w:jc w:val="both"/>
        <w:rPr>
          <w:lang w:val="fr-FR"/>
        </w:rPr>
      </w:pPr>
    </w:p>
    <w:p w14:paraId="248FE7A4" w14:textId="77777777" w:rsidR="002B7051" w:rsidRPr="005E197B" w:rsidRDefault="002B7051" w:rsidP="00EF386A">
      <w:pPr>
        <w:tabs>
          <w:tab w:val="clear" w:pos="284"/>
        </w:tabs>
        <w:spacing w:line="240" w:lineRule="auto"/>
        <w:jc w:val="both"/>
        <w:rPr>
          <w:lang w:val="fr-FR"/>
        </w:rPr>
      </w:pPr>
      <w:r w:rsidRPr="005E197B">
        <w:rPr>
          <w:lang w:val="fr-FR"/>
        </w:rPr>
        <w:br w:type="page"/>
      </w:r>
    </w:p>
    <w:p w14:paraId="248FE7A5" w14:textId="77777777" w:rsidR="00772658" w:rsidRPr="005E197B" w:rsidRDefault="004804D8" w:rsidP="00EF386A">
      <w:pPr>
        <w:jc w:val="both"/>
        <w:rPr>
          <w:lang w:val="fr-FR"/>
        </w:rPr>
      </w:pPr>
      <w:r w:rsidRPr="005E197B">
        <w:rPr>
          <w:lang w:val="fr-FR"/>
        </w:rPr>
        <w:lastRenderedPageBreak/>
        <w:t>Les questionnaires s</w:t>
      </w:r>
      <w:r w:rsidR="002B7051" w:rsidRPr="005E197B">
        <w:rPr>
          <w:lang w:val="fr-FR"/>
        </w:rPr>
        <w:t>e présentent s</w:t>
      </w:r>
      <w:r w:rsidRPr="005E197B">
        <w:rPr>
          <w:lang w:val="fr-FR"/>
        </w:rPr>
        <w:t xml:space="preserve">ous la forme de fichiers Word </w:t>
      </w:r>
      <w:r w:rsidR="002B7051" w:rsidRPr="005E197B">
        <w:rPr>
          <w:lang w:val="fr-FR"/>
        </w:rPr>
        <w:t xml:space="preserve">et </w:t>
      </w:r>
      <w:r w:rsidRPr="005E197B">
        <w:rPr>
          <w:lang w:val="fr-FR"/>
        </w:rPr>
        <w:t>se trouvent aux adresses suivantes sur le site internet de la Banque </w:t>
      </w:r>
      <w:r w:rsidR="00772658" w:rsidRPr="005E197B">
        <w:rPr>
          <w:lang w:val="fr-FR"/>
        </w:rPr>
        <w:t>:</w:t>
      </w:r>
    </w:p>
    <w:p w14:paraId="248FE7A6" w14:textId="77777777" w:rsidR="00772658" w:rsidRPr="005E197B" w:rsidRDefault="00772658" w:rsidP="00EF386A">
      <w:pPr>
        <w:jc w:val="both"/>
        <w:rPr>
          <w:lang w:val="fr-FR"/>
        </w:rPr>
      </w:pPr>
    </w:p>
    <w:p w14:paraId="248FE7A7" w14:textId="77777777" w:rsidR="00772658" w:rsidRPr="005E197B" w:rsidRDefault="004804D8" w:rsidP="00EF386A">
      <w:pPr>
        <w:pStyle w:val="ListParagraph"/>
        <w:numPr>
          <w:ilvl w:val="0"/>
          <w:numId w:val="38"/>
        </w:numPr>
        <w:jc w:val="both"/>
        <w:rPr>
          <w:lang w:val="fr-FR"/>
        </w:rPr>
      </w:pPr>
      <w:r w:rsidRPr="005E197B">
        <w:rPr>
          <w:lang w:val="fr-FR"/>
        </w:rPr>
        <w:t>Allez sur</w:t>
      </w:r>
      <w:r w:rsidR="00772658" w:rsidRPr="005E197B">
        <w:rPr>
          <w:lang w:val="fr-FR"/>
        </w:rPr>
        <w:t xml:space="preserve"> </w:t>
      </w:r>
      <w:hyperlink r:id="rId16" w:history="1">
        <w:r w:rsidR="00772658" w:rsidRPr="005E197B">
          <w:rPr>
            <w:rStyle w:val="Hyperlink"/>
            <w:lang w:val="fr-FR"/>
          </w:rPr>
          <w:t>www.nbb.be</w:t>
        </w:r>
      </w:hyperlink>
    </w:p>
    <w:p w14:paraId="248FE7A8" w14:textId="77777777" w:rsidR="00772658" w:rsidRPr="005E197B" w:rsidRDefault="00772658" w:rsidP="00EF386A">
      <w:pPr>
        <w:jc w:val="both"/>
        <w:rPr>
          <w:lang w:val="fr-FR"/>
        </w:rPr>
      </w:pPr>
    </w:p>
    <w:p w14:paraId="248FE7A9" w14:textId="77777777" w:rsidR="00772658" w:rsidRPr="005E197B" w:rsidRDefault="004804D8" w:rsidP="00EF386A">
      <w:pPr>
        <w:pStyle w:val="ListParagraph"/>
        <w:numPr>
          <w:ilvl w:val="0"/>
          <w:numId w:val="38"/>
        </w:numPr>
        <w:jc w:val="both"/>
        <w:rPr>
          <w:lang w:val="fr-FR"/>
        </w:rPr>
      </w:pPr>
      <w:r w:rsidRPr="005E197B">
        <w:rPr>
          <w:lang w:val="fr-FR"/>
        </w:rPr>
        <w:t>Allez sur </w:t>
      </w:r>
      <w:r w:rsidR="00772658" w:rsidRPr="005E197B">
        <w:rPr>
          <w:lang w:val="fr-FR"/>
        </w:rPr>
        <w:t>:</w:t>
      </w:r>
    </w:p>
    <w:p w14:paraId="248FE7AA" w14:textId="77777777" w:rsidR="002B7051" w:rsidRPr="005E197B" w:rsidRDefault="002B7051" w:rsidP="00EF386A">
      <w:pPr>
        <w:jc w:val="both"/>
        <w:rPr>
          <w:lang w:val="fr-FR"/>
        </w:rPr>
      </w:pPr>
    </w:p>
    <w:tbl>
      <w:tblPr>
        <w:tblStyle w:val="TableGrid"/>
        <w:tblW w:w="0" w:type="auto"/>
        <w:tblInd w:w="817" w:type="dxa"/>
        <w:tblLook w:val="04A0" w:firstRow="1" w:lastRow="0" w:firstColumn="1" w:lastColumn="0" w:noHBand="0" w:noVBand="1"/>
      </w:tblPr>
      <w:tblGrid>
        <w:gridCol w:w="3827"/>
        <w:gridCol w:w="4927"/>
      </w:tblGrid>
      <w:tr w:rsidR="00044873" w:rsidRPr="005E197B" w14:paraId="248FE7AD" w14:textId="77777777" w:rsidTr="00044873">
        <w:tc>
          <w:tcPr>
            <w:tcW w:w="3827" w:type="dxa"/>
          </w:tcPr>
          <w:p w14:paraId="248FE7AB" w14:textId="77777777" w:rsidR="00044873" w:rsidRPr="005E197B" w:rsidRDefault="004804D8" w:rsidP="00EF386A">
            <w:pPr>
              <w:pStyle w:val="ListParagraph"/>
              <w:numPr>
                <w:ilvl w:val="0"/>
                <w:numId w:val="40"/>
              </w:numPr>
              <w:spacing w:before="120" w:after="120"/>
              <w:contextualSpacing w:val="0"/>
              <w:jc w:val="both"/>
              <w:rPr>
                <w:lang w:val="fr-FR"/>
              </w:rPr>
            </w:pPr>
            <w:r w:rsidRPr="005E197B">
              <w:rPr>
                <w:rFonts w:cs="Arial"/>
                <w:lang w:val="fr-FR"/>
              </w:rPr>
              <w:t>É</w:t>
            </w:r>
            <w:r w:rsidRPr="005E197B">
              <w:rPr>
                <w:lang w:val="fr-FR"/>
              </w:rPr>
              <w:t>tablissements de crédit</w:t>
            </w:r>
          </w:p>
        </w:tc>
        <w:tc>
          <w:tcPr>
            <w:tcW w:w="4927" w:type="dxa"/>
          </w:tcPr>
          <w:p w14:paraId="248FE7AC" w14:textId="77777777" w:rsidR="002B7051" w:rsidRPr="005E197B" w:rsidRDefault="004804D8" w:rsidP="00EF386A">
            <w:pPr>
              <w:spacing w:before="120" w:after="120"/>
              <w:jc w:val="both"/>
              <w:rPr>
                <w:lang w:val="fr-FR"/>
              </w:rPr>
            </w:pPr>
            <w:r w:rsidRPr="005E197B">
              <w:rPr>
                <w:lang w:val="fr-FR"/>
              </w:rPr>
              <w:t>C</w:t>
            </w:r>
            <w:r w:rsidR="002B7051" w:rsidRPr="005E197B">
              <w:rPr>
                <w:lang w:val="fr-FR"/>
              </w:rPr>
              <w:t>ontrô</w:t>
            </w:r>
            <w:r w:rsidRPr="005E197B">
              <w:rPr>
                <w:lang w:val="fr-FR"/>
              </w:rPr>
              <w:t>le prudentiel</w:t>
            </w:r>
            <w:r w:rsidR="009B1A1D" w:rsidRPr="005E197B">
              <w:rPr>
                <w:lang w:val="fr-FR"/>
              </w:rPr>
              <w:t xml:space="preserve"> </w:t>
            </w:r>
            <w:r w:rsidR="009B1A1D" w:rsidRPr="005E197B">
              <w:rPr>
                <w:lang w:val="fr-FR"/>
              </w:rPr>
              <w:sym w:font="Wingdings" w:char="F0E0"/>
            </w:r>
            <w:r w:rsidR="009B1A1D" w:rsidRPr="005E197B">
              <w:rPr>
                <w:lang w:val="fr-FR"/>
              </w:rPr>
              <w:t xml:space="preserve"> </w:t>
            </w:r>
            <w:r w:rsidRPr="005E197B">
              <w:rPr>
                <w:lang w:val="fr-FR"/>
              </w:rPr>
              <w:t>Domaines de contrôle</w:t>
            </w:r>
            <w:r w:rsidR="009B1A1D" w:rsidRPr="005E197B">
              <w:rPr>
                <w:lang w:val="fr-FR"/>
              </w:rPr>
              <w:t xml:space="preserve"> </w:t>
            </w:r>
            <w:r w:rsidR="009B1A1D" w:rsidRPr="005E197B">
              <w:rPr>
                <w:lang w:val="fr-FR"/>
              </w:rPr>
              <w:sym w:font="Wingdings" w:char="F0E0"/>
            </w:r>
            <w:r w:rsidRPr="005E197B">
              <w:rPr>
                <w:lang w:val="fr-FR"/>
              </w:rPr>
              <w:t xml:space="preserve"> </w:t>
            </w:r>
            <w:r w:rsidRPr="005E197B">
              <w:rPr>
                <w:rFonts w:cs="Arial"/>
                <w:lang w:val="fr-FR"/>
              </w:rPr>
              <w:t>É</w:t>
            </w:r>
            <w:r w:rsidRPr="005E197B">
              <w:rPr>
                <w:lang w:val="fr-FR"/>
              </w:rPr>
              <w:t>tablissements de crédit</w:t>
            </w:r>
            <w:r w:rsidR="009B1A1D" w:rsidRPr="005E197B">
              <w:rPr>
                <w:lang w:val="fr-FR"/>
              </w:rPr>
              <w:t xml:space="preserve"> </w:t>
            </w:r>
            <w:r w:rsidR="009B1A1D" w:rsidRPr="005E197B">
              <w:rPr>
                <w:lang w:val="fr-FR"/>
              </w:rPr>
              <w:sym w:font="Wingdings" w:char="F0E0"/>
            </w:r>
            <w:r w:rsidRPr="005E197B">
              <w:rPr>
                <w:lang w:val="fr-FR"/>
              </w:rPr>
              <w:t xml:space="preserve"> Circulaires et </w:t>
            </w:r>
            <w:r w:rsidR="002B7051" w:rsidRPr="005E197B">
              <w:rPr>
                <w:lang w:val="fr-FR"/>
              </w:rPr>
              <w:t>communications</w:t>
            </w:r>
            <w:r w:rsidR="009B1A1D" w:rsidRPr="005E197B">
              <w:rPr>
                <w:lang w:val="fr-FR"/>
              </w:rPr>
              <w:t xml:space="preserve"> </w:t>
            </w:r>
            <w:r w:rsidR="009B1A1D" w:rsidRPr="005E197B">
              <w:rPr>
                <w:lang w:val="fr-FR"/>
              </w:rPr>
              <w:sym w:font="Wingdings" w:char="F0E0"/>
            </w:r>
            <w:r w:rsidR="009B1A1D" w:rsidRPr="005E197B">
              <w:rPr>
                <w:lang w:val="fr-FR"/>
              </w:rPr>
              <w:t xml:space="preserve"> </w:t>
            </w:r>
            <w:r w:rsidR="002B7051" w:rsidRPr="005E197B">
              <w:rPr>
                <w:lang w:val="fr-FR"/>
              </w:rPr>
              <w:t>Blanchiment</w:t>
            </w:r>
            <w:r w:rsidR="009B1A1D" w:rsidRPr="005E197B">
              <w:rPr>
                <w:lang w:val="fr-FR"/>
              </w:rPr>
              <w:t xml:space="preserve"> </w:t>
            </w:r>
            <w:r w:rsidR="009B1A1D" w:rsidRPr="005E197B">
              <w:rPr>
                <w:lang w:val="fr-FR"/>
              </w:rPr>
              <w:sym w:font="Wingdings" w:char="F0E0"/>
            </w:r>
            <w:r w:rsidR="009B1A1D" w:rsidRPr="005E197B">
              <w:rPr>
                <w:lang w:val="fr-FR"/>
              </w:rPr>
              <w:t xml:space="preserve"> </w:t>
            </w:r>
            <w:r w:rsidR="002B7051" w:rsidRPr="005E197B">
              <w:rPr>
                <w:lang w:val="fr-FR"/>
              </w:rPr>
              <w:t xml:space="preserve">cliquez sur la présente circulaire </w:t>
            </w:r>
          </w:p>
        </w:tc>
      </w:tr>
      <w:tr w:rsidR="00044873" w:rsidRPr="005E197B" w14:paraId="248FE7B0" w14:textId="77777777" w:rsidTr="00044873">
        <w:tc>
          <w:tcPr>
            <w:tcW w:w="3827" w:type="dxa"/>
          </w:tcPr>
          <w:p w14:paraId="248FE7AE" w14:textId="77777777" w:rsidR="00044873" w:rsidRPr="005E197B" w:rsidRDefault="002B7051" w:rsidP="00EF386A">
            <w:pPr>
              <w:pStyle w:val="ListParagraph"/>
              <w:numPr>
                <w:ilvl w:val="0"/>
                <w:numId w:val="40"/>
              </w:numPr>
              <w:spacing w:before="120" w:after="120"/>
              <w:contextualSpacing w:val="0"/>
              <w:jc w:val="both"/>
              <w:rPr>
                <w:lang w:val="fr-FR"/>
              </w:rPr>
            </w:pPr>
            <w:r w:rsidRPr="005E197B">
              <w:rPr>
                <w:lang w:val="fr-FR"/>
              </w:rPr>
              <w:t>Entreprises d’assurance-vie</w:t>
            </w:r>
          </w:p>
        </w:tc>
        <w:tc>
          <w:tcPr>
            <w:tcW w:w="4927" w:type="dxa"/>
          </w:tcPr>
          <w:p w14:paraId="248FE7AF" w14:textId="77777777" w:rsidR="00044873" w:rsidRPr="005E197B" w:rsidRDefault="002B7051" w:rsidP="00EF386A">
            <w:pPr>
              <w:spacing w:before="120" w:after="120"/>
              <w:jc w:val="both"/>
              <w:rPr>
                <w:lang w:val="fr-FR"/>
              </w:rPr>
            </w:pPr>
            <w:r w:rsidRPr="005E197B">
              <w:rPr>
                <w:lang w:val="fr-FR"/>
              </w:rPr>
              <w:t xml:space="preserve">Contrôle prudentiel </w:t>
            </w:r>
            <w:r w:rsidRPr="005E197B">
              <w:rPr>
                <w:lang w:val="fr-FR"/>
              </w:rPr>
              <w:sym w:font="Wingdings" w:char="F0E0"/>
            </w:r>
            <w:r w:rsidRPr="005E197B">
              <w:rPr>
                <w:lang w:val="fr-FR"/>
              </w:rPr>
              <w:t xml:space="preserve"> Domaines de contrôle </w:t>
            </w:r>
            <w:r w:rsidRPr="005E197B">
              <w:rPr>
                <w:lang w:val="fr-FR"/>
              </w:rPr>
              <w:sym w:font="Wingdings" w:char="F0E0"/>
            </w:r>
            <w:r w:rsidRPr="005E197B">
              <w:rPr>
                <w:lang w:val="fr-FR"/>
              </w:rPr>
              <w:t xml:space="preserve"> </w:t>
            </w:r>
            <w:r w:rsidRPr="005E197B">
              <w:rPr>
                <w:rFonts w:cs="Arial"/>
                <w:lang w:val="fr-FR"/>
              </w:rPr>
              <w:t>Entreprises d’assurance ou de réassurance</w:t>
            </w:r>
            <w:r w:rsidRPr="005E197B">
              <w:rPr>
                <w:lang w:val="fr-FR"/>
              </w:rPr>
              <w:t xml:space="preserve"> </w:t>
            </w:r>
            <w:r w:rsidRPr="005E197B">
              <w:rPr>
                <w:lang w:val="fr-FR"/>
              </w:rPr>
              <w:sym w:font="Wingdings" w:char="F0E0"/>
            </w:r>
            <w:r w:rsidRPr="005E197B">
              <w:rPr>
                <w:lang w:val="fr-FR"/>
              </w:rPr>
              <w:t xml:space="preserve"> Circulaires et communications </w:t>
            </w:r>
            <w:r w:rsidRPr="005E197B">
              <w:rPr>
                <w:lang w:val="fr-FR"/>
              </w:rPr>
              <w:sym w:font="Wingdings" w:char="F0E0"/>
            </w:r>
            <w:r w:rsidRPr="005E197B">
              <w:rPr>
                <w:lang w:val="fr-FR"/>
              </w:rPr>
              <w:t xml:space="preserve"> Blanchiment </w:t>
            </w:r>
            <w:r w:rsidRPr="005E197B">
              <w:rPr>
                <w:lang w:val="fr-FR"/>
              </w:rPr>
              <w:sym w:font="Wingdings" w:char="F0E0"/>
            </w:r>
            <w:r w:rsidRPr="005E197B">
              <w:rPr>
                <w:lang w:val="fr-FR"/>
              </w:rPr>
              <w:t xml:space="preserve"> cliquez sur la présente circulaire </w:t>
            </w:r>
          </w:p>
        </w:tc>
      </w:tr>
      <w:tr w:rsidR="00044873" w:rsidRPr="005E197B" w14:paraId="248FE7B3" w14:textId="77777777" w:rsidTr="00044873">
        <w:tc>
          <w:tcPr>
            <w:tcW w:w="3827" w:type="dxa"/>
          </w:tcPr>
          <w:p w14:paraId="248FE7B1" w14:textId="77777777" w:rsidR="00044873" w:rsidRPr="005E197B" w:rsidRDefault="002B7051" w:rsidP="00EF386A">
            <w:pPr>
              <w:pStyle w:val="ListParagraph"/>
              <w:numPr>
                <w:ilvl w:val="0"/>
                <w:numId w:val="40"/>
              </w:numPr>
              <w:spacing w:before="120" w:after="120"/>
              <w:contextualSpacing w:val="0"/>
              <w:jc w:val="both"/>
              <w:rPr>
                <w:lang w:val="fr-FR"/>
              </w:rPr>
            </w:pPr>
            <w:r w:rsidRPr="005E197B">
              <w:rPr>
                <w:lang w:val="fr-FR"/>
              </w:rPr>
              <w:t>Sociétés de bourse</w:t>
            </w:r>
          </w:p>
        </w:tc>
        <w:tc>
          <w:tcPr>
            <w:tcW w:w="4927" w:type="dxa"/>
          </w:tcPr>
          <w:p w14:paraId="248FE7B2" w14:textId="77777777" w:rsidR="00044873" w:rsidRPr="005E197B" w:rsidRDefault="002B7051" w:rsidP="00EF386A">
            <w:pPr>
              <w:spacing w:before="120" w:after="120"/>
              <w:jc w:val="both"/>
              <w:rPr>
                <w:lang w:val="fr-FR"/>
              </w:rPr>
            </w:pPr>
            <w:r w:rsidRPr="005E197B">
              <w:rPr>
                <w:lang w:val="fr-FR"/>
              </w:rPr>
              <w:t xml:space="preserve">Contrôle prudentiel </w:t>
            </w:r>
            <w:r w:rsidRPr="005E197B">
              <w:rPr>
                <w:lang w:val="fr-FR"/>
              </w:rPr>
              <w:sym w:font="Wingdings" w:char="F0E0"/>
            </w:r>
            <w:r w:rsidRPr="005E197B">
              <w:rPr>
                <w:lang w:val="fr-FR"/>
              </w:rPr>
              <w:t xml:space="preserve"> Domaines de contrôle </w:t>
            </w:r>
            <w:r w:rsidRPr="005E197B">
              <w:rPr>
                <w:lang w:val="fr-FR"/>
              </w:rPr>
              <w:sym w:font="Wingdings" w:char="F0E0"/>
            </w:r>
            <w:r w:rsidRPr="005E197B">
              <w:rPr>
                <w:lang w:val="fr-FR"/>
              </w:rPr>
              <w:t xml:space="preserve"> </w:t>
            </w:r>
            <w:r w:rsidRPr="005E197B">
              <w:rPr>
                <w:rFonts w:cs="Arial"/>
                <w:lang w:val="fr-FR"/>
              </w:rPr>
              <w:t>Entreprises d’assurance ou de réassurance</w:t>
            </w:r>
            <w:r w:rsidRPr="005E197B">
              <w:rPr>
                <w:lang w:val="fr-FR"/>
              </w:rPr>
              <w:t xml:space="preserve"> </w:t>
            </w:r>
            <w:r w:rsidRPr="005E197B">
              <w:rPr>
                <w:lang w:val="fr-FR"/>
              </w:rPr>
              <w:sym w:font="Wingdings" w:char="F0E0"/>
            </w:r>
            <w:r w:rsidRPr="005E197B">
              <w:rPr>
                <w:lang w:val="fr-FR"/>
              </w:rPr>
              <w:t xml:space="preserve"> Circulaires et communications </w:t>
            </w:r>
            <w:r w:rsidRPr="005E197B">
              <w:rPr>
                <w:lang w:val="fr-FR"/>
              </w:rPr>
              <w:sym w:font="Wingdings" w:char="F0E0"/>
            </w:r>
            <w:r w:rsidRPr="005E197B">
              <w:rPr>
                <w:lang w:val="fr-FR"/>
              </w:rPr>
              <w:t xml:space="preserve"> Blanchiment </w:t>
            </w:r>
            <w:r w:rsidRPr="005E197B">
              <w:rPr>
                <w:lang w:val="fr-FR"/>
              </w:rPr>
              <w:sym w:font="Wingdings" w:char="F0E0"/>
            </w:r>
            <w:r w:rsidRPr="005E197B">
              <w:rPr>
                <w:lang w:val="fr-FR"/>
              </w:rPr>
              <w:t xml:space="preserve"> cliquez sur la présente circulaire</w:t>
            </w:r>
            <w:r w:rsidR="00132755" w:rsidRPr="005E197B">
              <w:rPr>
                <w:lang w:val="fr-FR"/>
              </w:rPr>
              <w:t xml:space="preserve"> </w:t>
            </w:r>
          </w:p>
        </w:tc>
      </w:tr>
      <w:tr w:rsidR="00044873" w:rsidRPr="005E197B" w14:paraId="248FE7B6" w14:textId="77777777" w:rsidTr="00EF386A">
        <w:trPr>
          <w:trHeight w:val="1005"/>
        </w:trPr>
        <w:tc>
          <w:tcPr>
            <w:tcW w:w="3827" w:type="dxa"/>
          </w:tcPr>
          <w:p w14:paraId="248FE7B4" w14:textId="77777777" w:rsidR="00044873" w:rsidRPr="005E197B" w:rsidRDefault="002B7051" w:rsidP="00EF386A">
            <w:pPr>
              <w:pStyle w:val="ListParagraph"/>
              <w:numPr>
                <w:ilvl w:val="0"/>
                <w:numId w:val="40"/>
              </w:numPr>
              <w:tabs>
                <w:tab w:val="clear" w:pos="284"/>
                <w:tab w:val="left" w:pos="317"/>
              </w:tabs>
              <w:spacing w:before="120" w:after="120"/>
              <w:ind w:left="317" w:hanging="317"/>
              <w:contextualSpacing w:val="0"/>
              <w:jc w:val="both"/>
              <w:rPr>
                <w:lang w:val="fr-FR"/>
              </w:rPr>
            </w:pPr>
            <w:r w:rsidRPr="005E197B">
              <w:rPr>
                <w:rFonts w:cs="Arial"/>
                <w:lang w:val="fr-FR"/>
              </w:rPr>
              <w:t>É</w:t>
            </w:r>
            <w:r w:rsidRPr="005E197B">
              <w:rPr>
                <w:lang w:val="fr-FR"/>
              </w:rPr>
              <w:t xml:space="preserve">tablissements de paiement et établissements de monnaie électronique </w:t>
            </w:r>
          </w:p>
        </w:tc>
        <w:tc>
          <w:tcPr>
            <w:tcW w:w="4927" w:type="dxa"/>
          </w:tcPr>
          <w:p w14:paraId="248FE7B5" w14:textId="77777777" w:rsidR="00044873" w:rsidRPr="005E197B" w:rsidRDefault="002B7051" w:rsidP="00EF386A">
            <w:pPr>
              <w:spacing w:before="120" w:after="120"/>
              <w:jc w:val="both"/>
              <w:rPr>
                <w:lang w:val="fr-FR"/>
              </w:rPr>
            </w:pPr>
            <w:r w:rsidRPr="005E197B">
              <w:rPr>
                <w:lang w:val="fr-FR"/>
              </w:rPr>
              <w:t xml:space="preserve">Contrôle prudentiel </w:t>
            </w:r>
            <w:r w:rsidRPr="005E197B">
              <w:rPr>
                <w:lang w:val="fr-FR"/>
              </w:rPr>
              <w:sym w:font="Wingdings" w:char="F0E0"/>
            </w:r>
            <w:r w:rsidRPr="005E197B">
              <w:rPr>
                <w:lang w:val="fr-FR"/>
              </w:rPr>
              <w:t xml:space="preserve"> Domaines de contrôle </w:t>
            </w:r>
            <w:r w:rsidRPr="005E197B">
              <w:rPr>
                <w:lang w:val="fr-FR"/>
              </w:rPr>
              <w:sym w:font="Wingdings" w:char="F0E0"/>
            </w:r>
            <w:r w:rsidRPr="005E197B">
              <w:rPr>
                <w:lang w:val="fr-FR"/>
              </w:rPr>
              <w:t xml:space="preserve"> </w:t>
            </w:r>
            <w:r w:rsidRPr="005E197B">
              <w:rPr>
                <w:rFonts w:cs="Arial"/>
                <w:lang w:val="fr-FR"/>
              </w:rPr>
              <w:t>Entreprises d’assurance ou de réassurance</w:t>
            </w:r>
            <w:r w:rsidRPr="005E197B">
              <w:rPr>
                <w:lang w:val="fr-FR"/>
              </w:rPr>
              <w:t xml:space="preserve"> </w:t>
            </w:r>
            <w:r w:rsidRPr="005E197B">
              <w:rPr>
                <w:lang w:val="fr-FR"/>
              </w:rPr>
              <w:sym w:font="Wingdings" w:char="F0E0"/>
            </w:r>
            <w:r w:rsidRPr="005E197B">
              <w:rPr>
                <w:lang w:val="fr-FR"/>
              </w:rPr>
              <w:t xml:space="preserve"> Circulaires et communications </w:t>
            </w:r>
            <w:r w:rsidRPr="005E197B">
              <w:rPr>
                <w:lang w:val="fr-FR"/>
              </w:rPr>
              <w:sym w:font="Wingdings" w:char="F0E0"/>
            </w:r>
            <w:r w:rsidRPr="005E197B">
              <w:rPr>
                <w:lang w:val="fr-FR"/>
              </w:rPr>
              <w:t xml:space="preserve"> Blanchiment </w:t>
            </w:r>
            <w:r w:rsidRPr="005E197B">
              <w:rPr>
                <w:lang w:val="fr-FR"/>
              </w:rPr>
              <w:sym w:font="Wingdings" w:char="F0E0"/>
            </w:r>
            <w:r w:rsidRPr="005E197B">
              <w:rPr>
                <w:lang w:val="fr-FR"/>
              </w:rPr>
              <w:t xml:space="preserve"> cliquez sur la présente circulaire </w:t>
            </w:r>
          </w:p>
        </w:tc>
      </w:tr>
    </w:tbl>
    <w:p w14:paraId="67DBA9C0" w14:textId="77777777" w:rsidR="00EF386A" w:rsidRDefault="00EF386A" w:rsidP="00EF386A">
      <w:pPr>
        <w:jc w:val="both"/>
        <w:rPr>
          <w:lang w:val="fr-FR"/>
        </w:rPr>
      </w:pPr>
    </w:p>
    <w:p w14:paraId="248FE7B7" w14:textId="77777777" w:rsidR="009B1A1D" w:rsidRPr="005E197B" w:rsidRDefault="002B7051" w:rsidP="00EF386A">
      <w:pPr>
        <w:jc w:val="both"/>
        <w:rPr>
          <w:lang w:val="fr-FR"/>
        </w:rPr>
      </w:pPr>
      <w:r w:rsidRPr="005E197B">
        <w:rPr>
          <w:lang w:val="fr-FR"/>
        </w:rPr>
        <w:t>Pour toute question relative à ces questionnaires, veuillez prendre</w:t>
      </w:r>
      <w:r w:rsidR="00F44BFC" w:rsidRPr="005E197B">
        <w:rPr>
          <w:lang w:val="fr-FR"/>
        </w:rPr>
        <w:t xml:space="preserve"> contact avec l’équipe de contrô</w:t>
      </w:r>
      <w:r w:rsidRPr="005E197B">
        <w:rPr>
          <w:lang w:val="fr-FR"/>
        </w:rPr>
        <w:t>le LBC/FT de la Banque à l’adresse</w:t>
      </w:r>
      <w:r w:rsidR="00A63271" w:rsidRPr="005E197B">
        <w:rPr>
          <w:lang w:val="fr-FR"/>
        </w:rPr>
        <w:t xml:space="preserve"> suivante :</w:t>
      </w:r>
      <w:r w:rsidR="009B1A1D" w:rsidRPr="005E197B">
        <w:rPr>
          <w:lang w:val="fr-FR"/>
        </w:rPr>
        <w:t xml:space="preserve"> </w:t>
      </w:r>
      <w:hyperlink r:id="rId17" w:history="1">
        <w:r w:rsidR="009B1A1D" w:rsidRPr="005E197B">
          <w:rPr>
            <w:rStyle w:val="Hyperlink"/>
            <w:lang w:val="fr-FR"/>
          </w:rPr>
          <w:t>supervision.ta.aml@nbb.be</w:t>
        </w:r>
      </w:hyperlink>
      <w:r w:rsidR="009B1A1D" w:rsidRPr="005E197B">
        <w:rPr>
          <w:lang w:val="fr-FR"/>
        </w:rPr>
        <w:t xml:space="preserve">. </w:t>
      </w:r>
    </w:p>
    <w:p w14:paraId="248FE7B8" w14:textId="77777777" w:rsidR="00794D8C" w:rsidRPr="005E197B" w:rsidRDefault="00794D8C" w:rsidP="00EF386A">
      <w:pPr>
        <w:jc w:val="both"/>
        <w:rPr>
          <w:lang w:val="fr-FR"/>
        </w:rPr>
      </w:pPr>
    </w:p>
    <w:p w14:paraId="248FE7B9" w14:textId="77777777" w:rsidR="00794D8C" w:rsidRPr="005E197B" w:rsidRDefault="00794D8C" w:rsidP="00EF386A">
      <w:pPr>
        <w:jc w:val="both"/>
        <w:rPr>
          <w:lang w:val="fr-FR"/>
        </w:rPr>
      </w:pPr>
    </w:p>
    <w:p w14:paraId="248FE7BA" w14:textId="77777777" w:rsidR="00794D8C" w:rsidRPr="005E197B" w:rsidRDefault="00BC59C3" w:rsidP="00EF386A">
      <w:pPr>
        <w:pStyle w:val="ListParagraph"/>
        <w:numPr>
          <w:ilvl w:val="0"/>
          <w:numId w:val="32"/>
        </w:numPr>
        <w:jc w:val="both"/>
        <w:rPr>
          <w:lang w:val="fr-FR"/>
        </w:rPr>
      </w:pPr>
      <w:r w:rsidRPr="005E197B">
        <w:rPr>
          <w:u w:val="single"/>
          <w:lang w:val="fr-FR"/>
        </w:rPr>
        <w:t>Méthodologie de réponse</w:t>
      </w:r>
      <w:r w:rsidR="00A63271" w:rsidRPr="005E197B">
        <w:rPr>
          <w:u w:val="single"/>
          <w:lang w:val="fr-FR"/>
        </w:rPr>
        <w:t xml:space="preserve"> au questionnaire</w:t>
      </w:r>
    </w:p>
    <w:p w14:paraId="248FE7BB" w14:textId="77777777" w:rsidR="00794D8C" w:rsidRPr="005E197B" w:rsidRDefault="00794D8C" w:rsidP="00EF386A">
      <w:pPr>
        <w:jc w:val="both"/>
        <w:rPr>
          <w:lang w:val="fr-FR"/>
        </w:rPr>
      </w:pPr>
    </w:p>
    <w:p w14:paraId="248FE7BC" w14:textId="77777777" w:rsidR="00794D8C" w:rsidRPr="005E197B" w:rsidRDefault="0057169E" w:rsidP="00EF386A">
      <w:pPr>
        <w:pStyle w:val="ListParagraph"/>
        <w:numPr>
          <w:ilvl w:val="0"/>
          <w:numId w:val="42"/>
        </w:numPr>
        <w:jc w:val="both"/>
        <w:rPr>
          <w:u w:val="single"/>
          <w:lang w:val="fr-FR"/>
        </w:rPr>
      </w:pPr>
      <w:r w:rsidRPr="005E197B">
        <w:rPr>
          <w:i/>
          <w:u w:val="single"/>
          <w:lang w:val="fr-FR"/>
        </w:rPr>
        <w:t>Champs à remplir</w:t>
      </w:r>
    </w:p>
    <w:p w14:paraId="248FE7BD" w14:textId="77777777" w:rsidR="00353B86" w:rsidRPr="005E197B" w:rsidRDefault="00353B86" w:rsidP="00EF386A">
      <w:pPr>
        <w:jc w:val="both"/>
        <w:rPr>
          <w:u w:val="single"/>
          <w:lang w:val="fr-FR"/>
        </w:rPr>
      </w:pPr>
    </w:p>
    <w:p w14:paraId="248FE7BE" w14:textId="77777777" w:rsidR="00353B86" w:rsidRPr="005E197B" w:rsidRDefault="0057169E" w:rsidP="00EF386A">
      <w:pPr>
        <w:jc w:val="both"/>
        <w:rPr>
          <w:lang w:val="fr-FR"/>
        </w:rPr>
      </w:pPr>
      <w:r w:rsidRPr="005E197B">
        <w:rPr>
          <w:lang w:val="fr-FR"/>
        </w:rPr>
        <w:t xml:space="preserve">Dans le questionnaire, les cases que votre établissement doit remplir sont toujours indiquées en vert. Ceci signifie que la Banque attend en principe une réponse de votre établissement dans chacune des cases vertes. </w:t>
      </w:r>
    </w:p>
    <w:p w14:paraId="248FE7BF" w14:textId="77777777" w:rsidR="0057169E" w:rsidRPr="005E197B" w:rsidRDefault="0057169E" w:rsidP="00EF386A">
      <w:pPr>
        <w:jc w:val="both"/>
        <w:rPr>
          <w:lang w:val="fr-FR"/>
        </w:rPr>
      </w:pPr>
    </w:p>
    <w:p w14:paraId="248FE7C0" w14:textId="07B5509E" w:rsidR="00353B86" w:rsidRPr="005E197B" w:rsidRDefault="0057169E" w:rsidP="00EF386A">
      <w:pPr>
        <w:jc w:val="both"/>
        <w:rPr>
          <w:lang w:val="fr-FR"/>
        </w:rPr>
      </w:pPr>
      <w:r w:rsidRPr="005E197B">
        <w:rPr>
          <w:lang w:val="fr-FR"/>
        </w:rPr>
        <w:t>Toutefois, to</w:t>
      </w:r>
      <w:r w:rsidR="001E61C2" w:rsidRPr="005E197B">
        <w:rPr>
          <w:lang w:val="fr-FR"/>
        </w:rPr>
        <w:t>us les établissements ne sont</w:t>
      </w:r>
      <w:r w:rsidRPr="005E197B">
        <w:rPr>
          <w:lang w:val="fr-FR"/>
        </w:rPr>
        <w:t xml:space="preserve"> pas </w:t>
      </w:r>
      <w:r w:rsidR="001E61C2" w:rsidRPr="005E197B">
        <w:rPr>
          <w:lang w:val="fr-FR"/>
        </w:rPr>
        <w:t xml:space="preserve">tenus de toujours </w:t>
      </w:r>
      <w:r w:rsidRPr="005E197B">
        <w:rPr>
          <w:lang w:val="fr-FR"/>
        </w:rPr>
        <w:t xml:space="preserve">apporter une réponse à tous les chapitres </w:t>
      </w:r>
      <w:r w:rsidR="00132755" w:rsidRPr="005E197B">
        <w:rPr>
          <w:lang w:val="fr-FR"/>
        </w:rPr>
        <w:t>du questionnaire</w:t>
      </w:r>
      <w:r w:rsidRPr="005E197B">
        <w:rPr>
          <w:lang w:val="fr-FR"/>
        </w:rPr>
        <w:t>. Il en va en particulier ainsi du questionnaire destiné aux établissements de paiement et aux établissements de monnaie électronique</w:t>
      </w:r>
      <w:r w:rsidR="00353B86" w:rsidRPr="005E197B">
        <w:rPr>
          <w:lang w:val="fr-FR"/>
        </w:rPr>
        <w:t xml:space="preserve">. </w:t>
      </w:r>
      <w:r w:rsidRPr="005E197B">
        <w:rPr>
          <w:lang w:val="fr-FR"/>
        </w:rPr>
        <w:t>Eu égard à la diversité d’activit</w:t>
      </w:r>
      <w:r w:rsidR="001E61C2" w:rsidRPr="005E197B">
        <w:rPr>
          <w:lang w:val="fr-FR"/>
        </w:rPr>
        <w:t>és menées par ces derniers</w:t>
      </w:r>
      <w:r w:rsidRPr="005E197B">
        <w:rPr>
          <w:lang w:val="fr-FR"/>
        </w:rPr>
        <w:t xml:space="preserve">, il est fait mention dans différents chapitres </w:t>
      </w:r>
      <w:r w:rsidR="00D967DE" w:rsidRPr="005E197B">
        <w:rPr>
          <w:lang w:val="fr-FR"/>
        </w:rPr>
        <w:t>des établissements desquels la Banque attend une réponse aux questions posées. Ainsi, les questions relatives à l’activité de transfert de fonds</w:t>
      </w:r>
      <w:r w:rsidR="00505B77">
        <w:rPr>
          <w:lang w:val="fr-FR"/>
        </w:rPr>
        <w:t xml:space="preserve"> (money remittance)</w:t>
      </w:r>
      <w:r w:rsidR="00D967DE" w:rsidRPr="005E197B">
        <w:rPr>
          <w:lang w:val="fr-FR"/>
        </w:rPr>
        <w:t xml:space="preserve"> ne nécessitent-elles de réponse que de la part des établissements disposant d’un agrément </w:t>
      </w:r>
      <w:r w:rsidR="00353B86" w:rsidRPr="005E197B">
        <w:rPr>
          <w:lang w:val="fr-FR"/>
        </w:rPr>
        <w:t>PI6.</w:t>
      </w:r>
    </w:p>
    <w:p w14:paraId="248FE7C1" w14:textId="77777777" w:rsidR="00A928C4" w:rsidRPr="005E197B" w:rsidRDefault="00A928C4" w:rsidP="00EF386A">
      <w:pPr>
        <w:jc w:val="both"/>
        <w:rPr>
          <w:lang w:val="fr-FR"/>
        </w:rPr>
      </w:pPr>
    </w:p>
    <w:p w14:paraId="248FE7C2" w14:textId="77777777" w:rsidR="00A928C4" w:rsidRPr="005E197B" w:rsidRDefault="00D967DE" w:rsidP="00EF386A">
      <w:pPr>
        <w:jc w:val="both"/>
        <w:rPr>
          <w:lang w:val="fr-FR"/>
        </w:rPr>
      </w:pPr>
      <w:r w:rsidRPr="005E197B">
        <w:rPr>
          <w:lang w:val="fr-FR"/>
        </w:rPr>
        <w:t>Il sera à chaque fois indiqué</w:t>
      </w:r>
      <w:r w:rsidR="00864834">
        <w:rPr>
          <w:lang w:val="fr-FR"/>
        </w:rPr>
        <w:t>,</w:t>
      </w:r>
      <w:r w:rsidRPr="005E197B">
        <w:rPr>
          <w:lang w:val="fr-FR"/>
        </w:rPr>
        <w:t xml:space="preserve"> dans le questionnaire même</w:t>
      </w:r>
      <w:r w:rsidR="00864834">
        <w:rPr>
          <w:lang w:val="fr-FR"/>
        </w:rPr>
        <w:t>,</w:t>
      </w:r>
      <w:r w:rsidRPr="005E197B">
        <w:rPr>
          <w:lang w:val="fr-FR"/>
        </w:rPr>
        <w:t xml:space="preserve"> si certains chapitres ne doivent être remplis que par des établissements exerçant une activité spécifique. </w:t>
      </w:r>
    </w:p>
    <w:p w14:paraId="248FE7C3" w14:textId="77777777" w:rsidR="001E61C2" w:rsidRPr="005E197B" w:rsidRDefault="001E61C2" w:rsidP="00EF386A">
      <w:pPr>
        <w:tabs>
          <w:tab w:val="clear" w:pos="284"/>
        </w:tabs>
        <w:spacing w:line="240" w:lineRule="auto"/>
        <w:jc w:val="both"/>
        <w:rPr>
          <w:lang w:val="fr-FR"/>
        </w:rPr>
      </w:pPr>
      <w:r w:rsidRPr="005E197B">
        <w:rPr>
          <w:lang w:val="fr-FR"/>
        </w:rPr>
        <w:br w:type="page"/>
      </w:r>
    </w:p>
    <w:p w14:paraId="248FE7C4" w14:textId="77777777" w:rsidR="007C5D66" w:rsidRPr="005E197B" w:rsidRDefault="007C5D66" w:rsidP="00EF386A">
      <w:pPr>
        <w:jc w:val="both"/>
        <w:rPr>
          <w:lang w:val="fr-FR"/>
        </w:rPr>
      </w:pPr>
    </w:p>
    <w:p w14:paraId="248FE7C5" w14:textId="77777777" w:rsidR="007C5D66" w:rsidRPr="005E197B" w:rsidRDefault="00D967DE" w:rsidP="00EF386A">
      <w:pPr>
        <w:pStyle w:val="ListParagraph"/>
        <w:numPr>
          <w:ilvl w:val="0"/>
          <w:numId w:val="42"/>
        </w:numPr>
        <w:jc w:val="both"/>
        <w:rPr>
          <w:i/>
          <w:u w:val="single"/>
          <w:lang w:val="fr-FR"/>
        </w:rPr>
      </w:pPr>
      <w:r w:rsidRPr="005E197B">
        <w:rPr>
          <w:i/>
          <w:u w:val="single"/>
          <w:lang w:val="fr-FR"/>
        </w:rPr>
        <w:t>Répondre aux questions</w:t>
      </w:r>
    </w:p>
    <w:p w14:paraId="248FE7C6" w14:textId="77777777" w:rsidR="007C5D66" w:rsidRPr="005E197B" w:rsidRDefault="007C5D66" w:rsidP="00EF386A">
      <w:pPr>
        <w:jc w:val="both"/>
        <w:rPr>
          <w:i/>
          <w:u w:val="single"/>
          <w:lang w:val="fr-FR"/>
        </w:rPr>
      </w:pPr>
    </w:p>
    <w:p w14:paraId="248FE7C7" w14:textId="77777777" w:rsidR="00A928C4" w:rsidRPr="005E197B" w:rsidRDefault="00D967DE" w:rsidP="00EF386A">
      <w:pPr>
        <w:jc w:val="both"/>
        <w:rPr>
          <w:lang w:val="fr-FR"/>
        </w:rPr>
      </w:pPr>
      <w:r w:rsidRPr="005E197B">
        <w:rPr>
          <w:lang w:val="fr-FR"/>
        </w:rPr>
        <w:t xml:space="preserve">Les </w:t>
      </w:r>
      <w:r w:rsidR="001C425F" w:rsidRPr="005E197B">
        <w:rPr>
          <w:lang w:val="fr-FR"/>
        </w:rPr>
        <w:t xml:space="preserve">différents </w:t>
      </w:r>
      <w:r w:rsidRPr="005E197B">
        <w:rPr>
          <w:lang w:val="fr-FR"/>
        </w:rPr>
        <w:t>questionnaires peuv</w:t>
      </w:r>
      <w:r w:rsidR="001C425F" w:rsidRPr="005E197B">
        <w:rPr>
          <w:lang w:val="fr-FR"/>
        </w:rPr>
        <w:t xml:space="preserve">ent comprendre </w:t>
      </w:r>
      <w:r w:rsidR="00761AE9" w:rsidRPr="005E197B">
        <w:rPr>
          <w:lang w:val="fr-FR"/>
        </w:rPr>
        <w:t>deux sortes de questions</w:t>
      </w:r>
      <w:r w:rsidR="001C425F" w:rsidRPr="005E197B">
        <w:rPr>
          <w:lang w:val="fr-FR"/>
        </w:rPr>
        <w:t>.</w:t>
      </w:r>
    </w:p>
    <w:p w14:paraId="248FE7C8" w14:textId="77777777" w:rsidR="00A928C4" w:rsidRPr="005E197B" w:rsidRDefault="00A928C4" w:rsidP="00EF386A">
      <w:pPr>
        <w:jc w:val="both"/>
        <w:rPr>
          <w:lang w:val="fr-FR"/>
        </w:rPr>
      </w:pPr>
    </w:p>
    <w:p w14:paraId="248FE7C9" w14:textId="722EDCDE" w:rsidR="007C5D66" w:rsidRPr="005E197B" w:rsidRDefault="00D475E7" w:rsidP="00EF386A">
      <w:pPr>
        <w:jc w:val="both"/>
        <w:rPr>
          <w:lang w:val="fr-FR"/>
        </w:rPr>
      </w:pPr>
      <w:r w:rsidRPr="005E197B">
        <w:rPr>
          <w:lang w:val="fr-FR"/>
        </w:rPr>
        <w:t>Dans le premier cas, il s’agit de questions auxquelles</w:t>
      </w:r>
      <w:r w:rsidR="00761AE9" w:rsidRPr="005E197B">
        <w:rPr>
          <w:lang w:val="fr-FR"/>
        </w:rPr>
        <w:t xml:space="preserve"> votre établissement doit</w:t>
      </w:r>
      <w:r w:rsidRPr="005E197B">
        <w:rPr>
          <w:lang w:val="fr-FR"/>
        </w:rPr>
        <w:t xml:space="preserve"> donner une réponse prédéfinie par la Banque. Il suff</w:t>
      </w:r>
      <w:r w:rsidR="00761AE9" w:rsidRPr="005E197B">
        <w:rPr>
          <w:lang w:val="fr-FR"/>
        </w:rPr>
        <w:t xml:space="preserve">ira alors </w:t>
      </w:r>
      <w:r w:rsidRPr="005E197B">
        <w:rPr>
          <w:lang w:val="fr-FR"/>
        </w:rPr>
        <w:t>de choisir la réponse appropriée</w:t>
      </w:r>
      <w:r w:rsidR="004A0404" w:rsidRPr="005E197B">
        <w:rPr>
          <w:lang w:val="fr-FR"/>
        </w:rPr>
        <w:t xml:space="preserve"> en </w:t>
      </w:r>
      <w:r w:rsidRPr="005E197B">
        <w:rPr>
          <w:lang w:val="fr-FR"/>
        </w:rPr>
        <w:t>sélection</w:t>
      </w:r>
      <w:r w:rsidR="004A0404" w:rsidRPr="005E197B">
        <w:rPr>
          <w:lang w:val="fr-FR"/>
        </w:rPr>
        <w:t>nant</w:t>
      </w:r>
      <w:r w:rsidRPr="005E197B">
        <w:rPr>
          <w:lang w:val="fr-FR"/>
        </w:rPr>
        <w:t xml:space="preserve"> </w:t>
      </w:r>
      <w:r w:rsidR="004A0404" w:rsidRPr="005E197B">
        <w:rPr>
          <w:lang w:val="fr-FR"/>
        </w:rPr>
        <w:t xml:space="preserve">ou en cochant par un clic la case </w:t>
      </w:r>
      <w:r w:rsidRPr="005E197B">
        <w:rPr>
          <w:lang w:val="fr-FR"/>
        </w:rPr>
        <w:t xml:space="preserve">correspondante. </w:t>
      </w:r>
    </w:p>
    <w:p w14:paraId="248FE7CA" w14:textId="77777777" w:rsidR="004A0404" w:rsidRPr="005E197B" w:rsidRDefault="004A0404" w:rsidP="00EF386A">
      <w:pPr>
        <w:jc w:val="both"/>
        <w:rPr>
          <w:lang w:val="fr-FR"/>
        </w:rPr>
      </w:pPr>
    </w:p>
    <w:p w14:paraId="248FE7CB" w14:textId="3BB573AB" w:rsidR="007C5D66" w:rsidRPr="005E197B" w:rsidRDefault="00AC48BC" w:rsidP="00EF386A">
      <w:pPr>
        <w:jc w:val="both"/>
        <w:rPr>
          <w:lang w:val="fr-FR"/>
        </w:rPr>
      </w:pPr>
      <w:r w:rsidRPr="005E197B">
        <w:rPr>
          <w:lang w:val="fr-FR"/>
        </w:rPr>
        <w:t xml:space="preserve">Dans le second cas, la Banque pose des questions pour lesquelles aucune réponse prédéfinie n’est proposée (comme lorsque des informations statistiques sont demandées). Votre établissement devra </w:t>
      </w:r>
      <w:r w:rsidR="003873BD" w:rsidRPr="005E197B">
        <w:rPr>
          <w:b/>
          <w:u w:val="single"/>
          <w:lang w:val="fr-FR"/>
        </w:rPr>
        <w:t>toujours choisir l’</w:t>
      </w:r>
      <w:r w:rsidR="00F3767C" w:rsidRPr="005E197B">
        <w:rPr>
          <w:b/>
          <w:u w:val="single"/>
          <w:lang w:val="fr-FR"/>
        </w:rPr>
        <w:t>une des</w:t>
      </w:r>
      <w:r w:rsidR="00505B77">
        <w:rPr>
          <w:b/>
          <w:u w:val="single"/>
          <w:lang w:val="fr-FR"/>
        </w:rPr>
        <w:t xml:space="preserve"> modalités de</w:t>
      </w:r>
      <w:r w:rsidR="00F3767C" w:rsidRPr="005E197B">
        <w:rPr>
          <w:b/>
          <w:u w:val="single"/>
          <w:lang w:val="fr-FR"/>
        </w:rPr>
        <w:t xml:space="preserve"> </w:t>
      </w:r>
      <w:r w:rsidR="003873BD" w:rsidRPr="005E197B">
        <w:rPr>
          <w:b/>
          <w:u w:val="single"/>
          <w:lang w:val="fr-FR"/>
        </w:rPr>
        <w:t>réponse</w:t>
      </w:r>
      <w:r w:rsidR="00F3767C" w:rsidRPr="005E197B">
        <w:rPr>
          <w:b/>
          <w:u w:val="single"/>
          <w:lang w:val="fr-FR"/>
        </w:rPr>
        <w:t xml:space="preserve">s </w:t>
      </w:r>
      <w:r w:rsidR="003873BD" w:rsidRPr="005E197B">
        <w:rPr>
          <w:b/>
          <w:u w:val="single"/>
          <w:lang w:val="fr-FR"/>
        </w:rPr>
        <w:t>suivantes</w:t>
      </w:r>
      <w:r w:rsidRPr="005E197B">
        <w:rPr>
          <w:lang w:val="fr-FR"/>
        </w:rPr>
        <w:t xml:space="preserve"> </w:t>
      </w:r>
      <w:r w:rsidR="003873BD" w:rsidRPr="005E197B">
        <w:rPr>
          <w:lang w:val="fr-FR"/>
        </w:rPr>
        <w:t xml:space="preserve">: </w:t>
      </w:r>
    </w:p>
    <w:p w14:paraId="248FE7CC" w14:textId="77777777" w:rsidR="007C5D66" w:rsidRPr="005E197B" w:rsidRDefault="007C5D66" w:rsidP="00EF386A">
      <w:pPr>
        <w:jc w:val="both"/>
        <w:rPr>
          <w:lang w:val="fr-FR"/>
        </w:rPr>
      </w:pPr>
    </w:p>
    <w:p w14:paraId="248FE7CD" w14:textId="77777777" w:rsidR="007C5D66" w:rsidRPr="005E197B" w:rsidRDefault="0080725B" w:rsidP="00EF386A">
      <w:pPr>
        <w:pStyle w:val="ListParagraph"/>
        <w:numPr>
          <w:ilvl w:val="0"/>
          <w:numId w:val="34"/>
        </w:numPr>
        <w:jc w:val="both"/>
        <w:rPr>
          <w:lang w:val="fr-FR"/>
        </w:rPr>
      </w:pPr>
      <w:r w:rsidRPr="005E197B">
        <w:rPr>
          <w:lang w:val="fr-FR"/>
        </w:rPr>
        <w:t>Soit v</w:t>
      </w:r>
      <w:r w:rsidR="003873BD" w:rsidRPr="005E197B">
        <w:rPr>
          <w:lang w:val="fr-FR"/>
        </w:rPr>
        <w:t>otre établissement possède les information</w:t>
      </w:r>
      <w:r w:rsidR="00F3767C" w:rsidRPr="005E197B">
        <w:rPr>
          <w:lang w:val="fr-FR"/>
        </w:rPr>
        <w:t>s demandées : i</w:t>
      </w:r>
      <w:r w:rsidR="003873BD" w:rsidRPr="005E197B">
        <w:rPr>
          <w:lang w:val="fr-FR"/>
        </w:rPr>
        <w:t>l vous suffit alors de donner la bonne réponse.</w:t>
      </w:r>
      <w:r w:rsidR="00132755" w:rsidRPr="005E197B">
        <w:rPr>
          <w:lang w:val="fr-FR"/>
        </w:rPr>
        <w:t xml:space="preserve"> </w:t>
      </w:r>
    </w:p>
    <w:p w14:paraId="248FE7CE" w14:textId="77777777" w:rsidR="007C5D66" w:rsidRPr="005E197B" w:rsidRDefault="007C5D66" w:rsidP="00EF386A">
      <w:pPr>
        <w:jc w:val="both"/>
        <w:rPr>
          <w:lang w:val="fr-FR"/>
        </w:rPr>
      </w:pPr>
      <w:r w:rsidRPr="005E197B">
        <w:rPr>
          <w:lang w:val="fr-FR"/>
        </w:rPr>
        <w:tab/>
      </w:r>
    </w:p>
    <w:p w14:paraId="248FE7CF" w14:textId="51189F34" w:rsidR="007C5D66" w:rsidRPr="005E197B" w:rsidRDefault="00A25E45" w:rsidP="00EF386A">
      <w:pPr>
        <w:ind w:left="1080"/>
        <w:jc w:val="both"/>
        <w:rPr>
          <w:lang w:val="fr-FR"/>
        </w:rPr>
      </w:pPr>
      <w:r w:rsidRPr="00805257">
        <w:rPr>
          <w:lang w:val="fr-FR"/>
        </w:rPr>
        <w:t xml:space="preserve">Si vous renseignez un </w:t>
      </w:r>
      <w:r w:rsidR="007A42A4" w:rsidRPr="00805257">
        <w:rPr>
          <w:lang w:val="fr-FR"/>
        </w:rPr>
        <w:t>nombre, il convient de le mentionner jusqu’au chiffre des unités</w:t>
      </w:r>
      <w:r w:rsidR="007C5D66" w:rsidRPr="001C1F69">
        <w:rPr>
          <w:lang w:val="fr-FR"/>
        </w:rPr>
        <w:t>.</w:t>
      </w:r>
      <w:r w:rsidR="007C5D66" w:rsidRPr="005E197B">
        <w:rPr>
          <w:lang w:val="fr-FR"/>
        </w:rPr>
        <w:t xml:space="preserve"> </w:t>
      </w:r>
      <w:r w:rsidR="00E2099E" w:rsidRPr="005E197B">
        <w:rPr>
          <w:lang w:val="fr-FR"/>
        </w:rPr>
        <w:t xml:space="preserve">Si votre établissement compte par exemple un million quatre cent </w:t>
      </w:r>
      <w:r w:rsidR="00864834">
        <w:rPr>
          <w:lang w:val="fr-FR"/>
        </w:rPr>
        <w:t xml:space="preserve">mille </w:t>
      </w:r>
      <w:r w:rsidR="00E2099E" w:rsidRPr="005E197B">
        <w:rPr>
          <w:lang w:val="fr-FR"/>
        </w:rPr>
        <w:t xml:space="preserve">septante clients, la réponse de votre établissement devra apparaître de la manière suivante : </w:t>
      </w:r>
      <w:r w:rsidR="00E2099E" w:rsidRPr="005E197B">
        <w:rPr>
          <w:rFonts w:cs="Arial"/>
          <w:lang w:val="fr-FR"/>
        </w:rPr>
        <w:t>«</w:t>
      </w:r>
      <w:r w:rsidR="00E2099E" w:rsidRPr="005E197B">
        <w:rPr>
          <w:lang w:val="fr-FR"/>
        </w:rPr>
        <w:t> </w:t>
      </w:r>
      <w:r w:rsidR="007C5D66" w:rsidRPr="005E197B">
        <w:rPr>
          <w:b/>
          <w:lang w:val="fr-FR"/>
        </w:rPr>
        <w:t>1.400.070</w:t>
      </w:r>
      <w:r w:rsidR="00E2099E" w:rsidRPr="005E197B">
        <w:rPr>
          <w:lang w:val="fr-FR"/>
        </w:rPr>
        <w:t> </w:t>
      </w:r>
      <w:r w:rsidR="00E2099E" w:rsidRPr="005E197B">
        <w:rPr>
          <w:rFonts w:cs="Arial"/>
          <w:lang w:val="fr-FR"/>
        </w:rPr>
        <w:t>»</w:t>
      </w:r>
      <w:r w:rsidR="007C5D66" w:rsidRPr="005E197B">
        <w:rPr>
          <w:lang w:val="fr-FR"/>
        </w:rPr>
        <w:t>.</w:t>
      </w:r>
      <w:r w:rsidR="00A928C4" w:rsidRPr="005E197B">
        <w:rPr>
          <w:lang w:val="fr-FR"/>
        </w:rPr>
        <w:t xml:space="preserve"> </w:t>
      </w:r>
    </w:p>
    <w:p w14:paraId="248FE7D0" w14:textId="77777777" w:rsidR="00A928C4" w:rsidRPr="005E197B" w:rsidRDefault="00A928C4" w:rsidP="00EF386A">
      <w:pPr>
        <w:ind w:left="1080"/>
        <w:jc w:val="both"/>
        <w:rPr>
          <w:lang w:val="fr-FR"/>
        </w:rPr>
      </w:pPr>
    </w:p>
    <w:p w14:paraId="248FE7D1" w14:textId="77777777" w:rsidR="007C5D66" w:rsidRPr="005E197B" w:rsidRDefault="0080725B" w:rsidP="00EF386A">
      <w:pPr>
        <w:pStyle w:val="ListParagraph"/>
        <w:numPr>
          <w:ilvl w:val="0"/>
          <w:numId w:val="34"/>
        </w:numPr>
        <w:jc w:val="both"/>
        <w:rPr>
          <w:lang w:val="fr-FR"/>
        </w:rPr>
      </w:pPr>
      <w:r w:rsidRPr="005E197B">
        <w:rPr>
          <w:lang w:val="fr-FR"/>
        </w:rPr>
        <w:t>Soit</w:t>
      </w:r>
      <w:r w:rsidR="00F3767C" w:rsidRPr="005E197B">
        <w:rPr>
          <w:lang w:val="fr-FR"/>
        </w:rPr>
        <w:t xml:space="preserve"> l</w:t>
      </w:r>
      <w:r w:rsidR="00A6660A" w:rsidRPr="005E197B">
        <w:rPr>
          <w:lang w:val="fr-FR"/>
        </w:rPr>
        <w:t>a question ne s’applique pas à votre établissement</w:t>
      </w:r>
      <w:r w:rsidR="00F3767C" w:rsidRPr="005E197B">
        <w:rPr>
          <w:lang w:val="fr-FR"/>
        </w:rPr>
        <w:t> :</w:t>
      </w:r>
      <w:r w:rsidR="007C5D66" w:rsidRPr="005E197B">
        <w:rPr>
          <w:lang w:val="fr-FR"/>
        </w:rPr>
        <w:t xml:space="preserve"> </w:t>
      </w:r>
      <w:r w:rsidR="00F3767C" w:rsidRPr="005E197B">
        <w:rPr>
          <w:lang w:val="fr-FR"/>
        </w:rPr>
        <w:t>répond</w:t>
      </w:r>
      <w:r w:rsidR="001F53A1" w:rsidRPr="005E197B">
        <w:rPr>
          <w:lang w:val="fr-FR"/>
        </w:rPr>
        <w:t xml:space="preserve">ez </w:t>
      </w:r>
      <w:r w:rsidR="001F53A1" w:rsidRPr="005E197B">
        <w:rPr>
          <w:rFonts w:cs="Arial"/>
          <w:lang w:val="fr-FR"/>
        </w:rPr>
        <w:t>«</w:t>
      </w:r>
      <w:r w:rsidR="001F53A1" w:rsidRPr="005E197B">
        <w:rPr>
          <w:lang w:val="fr-FR"/>
        </w:rPr>
        <w:t> </w:t>
      </w:r>
      <w:r w:rsidR="00864834">
        <w:rPr>
          <w:lang w:val="fr-FR"/>
        </w:rPr>
        <w:t>Non applicable</w:t>
      </w:r>
      <w:r w:rsidR="001F53A1" w:rsidRPr="005E197B">
        <w:rPr>
          <w:lang w:val="fr-FR"/>
        </w:rPr>
        <w:t> </w:t>
      </w:r>
      <w:r w:rsidR="001F53A1" w:rsidRPr="005E197B">
        <w:rPr>
          <w:rFonts w:cs="Arial"/>
          <w:lang w:val="fr-FR"/>
        </w:rPr>
        <w:t>»</w:t>
      </w:r>
      <w:r w:rsidR="001F53A1" w:rsidRPr="005E197B">
        <w:rPr>
          <w:lang w:val="fr-FR"/>
        </w:rPr>
        <w:t xml:space="preserve"> dans la case </w:t>
      </w:r>
      <w:r w:rsidR="00F3767C" w:rsidRPr="005E197B">
        <w:rPr>
          <w:lang w:val="fr-FR"/>
        </w:rPr>
        <w:t>prévue à cet effet</w:t>
      </w:r>
      <w:r w:rsidR="007C5D66" w:rsidRPr="005E197B">
        <w:rPr>
          <w:lang w:val="fr-FR"/>
        </w:rPr>
        <w:t>.</w:t>
      </w:r>
    </w:p>
    <w:p w14:paraId="248FE7D2" w14:textId="77777777" w:rsidR="007C5D66" w:rsidRPr="005E197B" w:rsidRDefault="007C5D66" w:rsidP="00EF386A">
      <w:pPr>
        <w:jc w:val="both"/>
        <w:rPr>
          <w:lang w:val="fr-FR"/>
        </w:rPr>
      </w:pPr>
    </w:p>
    <w:p w14:paraId="248FE7D3" w14:textId="38A077B1" w:rsidR="007C5D66" w:rsidRPr="005E197B" w:rsidRDefault="0080725B" w:rsidP="00EF386A">
      <w:pPr>
        <w:pStyle w:val="ListParagraph"/>
        <w:numPr>
          <w:ilvl w:val="0"/>
          <w:numId w:val="34"/>
        </w:numPr>
        <w:jc w:val="both"/>
        <w:rPr>
          <w:lang w:val="fr-FR"/>
        </w:rPr>
      </w:pPr>
      <w:r w:rsidRPr="005E197B">
        <w:rPr>
          <w:lang w:val="fr-FR"/>
        </w:rPr>
        <w:t>Soit</w:t>
      </w:r>
      <w:r w:rsidR="001F53A1" w:rsidRPr="005E197B">
        <w:rPr>
          <w:lang w:val="fr-FR"/>
        </w:rPr>
        <w:t xml:space="preserve"> la question s’applique bie</w:t>
      </w:r>
      <w:r w:rsidR="00761AE9" w:rsidRPr="005E197B">
        <w:rPr>
          <w:lang w:val="fr-FR"/>
        </w:rPr>
        <w:t xml:space="preserve">n à votre établissement mais </w:t>
      </w:r>
      <w:r w:rsidR="00505B77">
        <w:rPr>
          <w:lang w:val="fr-FR"/>
        </w:rPr>
        <w:t>vous</w:t>
      </w:r>
      <w:r w:rsidR="001F53A1" w:rsidRPr="005E197B">
        <w:rPr>
          <w:lang w:val="fr-FR"/>
        </w:rPr>
        <w:t xml:space="preserve"> ne di</w:t>
      </w:r>
      <w:r w:rsidR="00F3767C" w:rsidRPr="005E197B">
        <w:rPr>
          <w:lang w:val="fr-FR"/>
        </w:rPr>
        <w:t>spose</w:t>
      </w:r>
      <w:r w:rsidR="00505B77">
        <w:rPr>
          <w:lang w:val="fr-FR"/>
        </w:rPr>
        <w:t>z</w:t>
      </w:r>
      <w:r w:rsidR="00F3767C" w:rsidRPr="005E197B">
        <w:rPr>
          <w:lang w:val="fr-FR"/>
        </w:rPr>
        <w:t xml:space="preserve"> pas des données demandées : répond</w:t>
      </w:r>
      <w:r w:rsidR="001F53A1" w:rsidRPr="005E197B">
        <w:rPr>
          <w:lang w:val="fr-FR"/>
        </w:rPr>
        <w:t xml:space="preserve">ez </w:t>
      </w:r>
      <w:r w:rsidR="001F53A1" w:rsidRPr="005E197B">
        <w:rPr>
          <w:rFonts w:cs="Arial"/>
          <w:lang w:val="fr-FR"/>
        </w:rPr>
        <w:t>«</w:t>
      </w:r>
      <w:r w:rsidR="001F53A1" w:rsidRPr="005E197B">
        <w:rPr>
          <w:lang w:val="fr-FR"/>
        </w:rPr>
        <w:t> Non disponible </w:t>
      </w:r>
      <w:r w:rsidR="001F53A1" w:rsidRPr="005E197B">
        <w:rPr>
          <w:rFonts w:cs="Arial"/>
          <w:lang w:val="fr-FR"/>
        </w:rPr>
        <w:t>»</w:t>
      </w:r>
      <w:r w:rsidR="001F53A1" w:rsidRPr="005E197B">
        <w:rPr>
          <w:lang w:val="fr-FR"/>
        </w:rPr>
        <w:t xml:space="preserve"> </w:t>
      </w:r>
      <w:r w:rsidR="00F3767C" w:rsidRPr="005E197B">
        <w:rPr>
          <w:lang w:val="fr-FR"/>
        </w:rPr>
        <w:t xml:space="preserve">dans la case prévue à cet effet. </w:t>
      </w:r>
    </w:p>
    <w:p w14:paraId="248FE7D4" w14:textId="77777777" w:rsidR="00572C5D" w:rsidRPr="005E197B" w:rsidRDefault="00572C5D" w:rsidP="00EF386A">
      <w:pPr>
        <w:pStyle w:val="ListParagraph"/>
        <w:jc w:val="both"/>
        <w:rPr>
          <w:lang w:val="fr-FR"/>
        </w:rPr>
      </w:pPr>
    </w:p>
    <w:p w14:paraId="248FE7D5" w14:textId="77777777" w:rsidR="00572C5D" w:rsidRPr="005E197B" w:rsidRDefault="00F3767C" w:rsidP="00EF386A">
      <w:pPr>
        <w:pStyle w:val="ListParagraph"/>
        <w:numPr>
          <w:ilvl w:val="0"/>
          <w:numId w:val="34"/>
        </w:numPr>
        <w:jc w:val="both"/>
        <w:rPr>
          <w:lang w:val="fr-FR"/>
        </w:rPr>
      </w:pPr>
      <w:r w:rsidRPr="005E197B">
        <w:rPr>
          <w:lang w:val="fr-FR"/>
        </w:rPr>
        <w:t xml:space="preserve">Dans des circonstances </w:t>
      </w:r>
      <w:r w:rsidRPr="00A36786">
        <w:rPr>
          <w:b/>
          <w:u w:val="single"/>
          <w:lang w:val="fr-FR"/>
        </w:rPr>
        <w:t>exceptionnelles</w:t>
      </w:r>
      <w:r w:rsidRPr="005E197B">
        <w:rPr>
          <w:lang w:val="fr-FR"/>
        </w:rPr>
        <w:t xml:space="preserve"> uniquement, si aucune des trois réponses précédentes ne reflète fidèlement la situation de votre établissement, vous pouvez en indiquer une autre dans la case prévue à cet effet</w:t>
      </w:r>
      <w:r w:rsidR="00572C5D" w:rsidRPr="005E197B">
        <w:rPr>
          <w:lang w:val="fr-FR"/>
        </w:rPr>
        <w:t>.</w:t>
      </w:r>
    </w:p>
    <w:p w14:paraId="248FE7D6" w14:textId="77777777" w:rsidR="00572C5D" w:rsidRPr="005E197B" w:rsidRDefault="00572C5D" w:rsidP="00EF386A">
      <w:pPr>
        <w:pStyle w:val="ListParagraph"/>
        <w:jc w:val="both"/>
        <w:rPr>
          <w:lang w:val="fr-FR"/>
        </w:rPr>
      </w:pPr>
    </w:p>
    <w:p w14:paraId="248FE7D7" w14:textId="77777777" w:rsidR="00572C5D" w:rsidRPr="005E197B" w:rsidRDefault="00A6660A" w:rsidP="00EF386A">
      <w:pPr>
        <w:jc w:val="both"/>
        <w:rPr>
          <w:lang w:val="fr-FR"/>
        </w:rPr>
      </w:pPr>
      <w:r w:rsidRPr="005E197B">
        <w:rPr>
          <w:lang w:val="fr-FR"/>
        </w:rPr>
        <w:t>La Banque</w:t>
      </w:r>
      <w:r w:rsidR="00572C5D" w:rsidRPr="005E197B">
        <w:rPr>
          <w:lang w:val="fr-FR"/>
        </w:rPr>
        <w:t xml:space="preserve"> </w:t>
      </w:r>
      <w:r w:rsidRPr="005E197B">
        <w:rPr>
          <w:lang w:val="fr-FR"/>
        </w:rPr>
        <w:t xml:space="preserve">prie les établissements </w:t>
      </w:r>
      <w:r w:rsidR="00F3767C" w:rsidRPr="005E197B">
        <w:rPr>
          <w:lang w:val="fr-FR"/>
        </w:rPr>
        <w:t xml:space="preserve">de respecter strictement les instructions ci-dessus. Au cas où le questionnaire ne serait pas rempli de la manière indiquée </w:t>
      </w:r>
      <w:r w:rsidR="00AD5F0F" w:rsidRPr="005E197B">
        <w:rPr>
          <w:lang w:val="fr-FR"/>
        </w:rPr>
        <w:t>plus haut,</w:t>
      </w:r>
      <w:r w:rsidR="00F3767C" w:rsidRPr="005E197B">
        <w:rPr>
          <w:lang w:val="fr-FR"/>
        </w:rPr>
        <w:t xml:space="preserve"> la Banque pourra refuser le formulaire de réponse </w:t>
      </w:r>
      <w:r w:rsidR="00565A9E" w:rsidRPr="005E197B">
        <w:rPr>
          <w:lang w:val="fr-FR"/>
        </w:rPr>
        <w:t xml:space="preserve">et il sera demandé à votre établissement d’introduire un nouveau formulaire correctement rempli. </w:t>
      </w:r>
    </w:p>
    <w:p w14:paraId="248FE7D8" w14:textId="77777777" w:rsidR="00565A9E" w:rsidRPr="005E197B" w:rsidRDefault="00565A9E" w:rsidP="00EF386A">
      <w:pPr>
        <w:jc w:val="both"/>
        <w:rPr>
          <w:lang w:val="fr-FR"/>
        </w:rPr>
      </w:pPr>
    </w:p>
    <w:p w14:paraId="248FE7D9" w14:textId="77777777" w:rsidR="00572C5D" w:rsidRPr="005E197B" w:rsidRDefault="005E07AD" w:rsidP="00EF386A">
      <w:pPr>
        <w:pStyle w:val="ListParagraph"/>
        <w:numPr>
          <w:ilvl w:val="0"/>
          <w:numId w:val="42"/>
        </w:numPr>
        <w:jc w:val="both"/>
        <w:rPr>
          <w:i/>
          <w:u w:val="single"/>
          <w:lang w:val="fr-FR"/>
        </w:rPr>
      </w:pPr>
      <w:r w:rsidRPr="005E197B">
        <w:rPr>
          <w:i/>
          <w:u w:val="single"/>
          <w:lang w:val="fr-FR"/>
        </w:rPr>
        <w:t>Cases de commentaire</w:t>
      </w:r>
    </w:p>
    <w:p w14:paraId="248FE7DA" w14:textId="77777777" w:rsidR="00572C5D" w:rsidRPr="005E197B" w:rsidRDefault="00572C5D" w:rsidP="00EF386A">
      <w:pPr>
        <w:jc w:val="both"/>
        <w:rPr>
          <w:i/>
          <w:u w:val="single"/>
          <w:lang w:val="fr-FR"/>
        </w:rPr>
      </w:pPr>
    </w:p>
    <w:p w14:paraId="248FE7DB" w14:textId="77777777" w:rsidR="00572C5D" w:rsidRPr="005E197B" w:rsidRDefault="005E07AD" w:rsidP="00EF386A">
      <w:pPr>
        <w:jc w:val="both"/>
        <w:rPr>
          <w:lang w:val="fr-FR"/>
        </w:rPr>
      </w:pPr>
      <w:r w:rsidRPr="005E197B">
        <w:rPr>
          <w:lang w:val="fr-FR"/>
        </w:rPr>
        <w:t xml:space="preserve">Tout comme dans le questionnaire LBC/FT périodique, la Banque prévoit dans le questionnaire </w:t>
      </w:r>
      <w:r w:rsidR="004C5D8F" w:rsidRPr="005E197B">
        <w:rPr>
          <w:lang w:val="fr-FR"/>
        </w:rPr>
        <w:t xml:space="preserve">visé ici </w:t>
      </w:r>
      <w:r w:rsidRPr="005E197B">
        <w:rPr>
          <w:lang w:val="fr-FR"/>
        </w:rPr>
        <w:t>le moyen pour les établissements d’apporter des écla</w:t>
      </w:r>
      <w:r w:rsidR="00726EF3" w:rsidRPr="005E197B">
        <w:rPr>
          <w:lang w:val="fr-FR"/>
        </w:rPr>
        <w:t>i</w:t>
      </w:r>
      <w:r w:rsidRPr="005E197B">
        <w:rPr>
          <w:lang w:val="fr-FR"/>
        </w:rPr>
        <w:t xml:space="preserve">rcissements ou des précisions à leur réponse dans une case de commentaire. </w:t>
      </w:r>
    </w:p>
    <w:p w14:paraId="248FE7DC" w14:textId="77777777" w:rsidR="004C5D8F" w:rsidRPr="005E197B" w:rsidRDefault="004C5D8F" w:rsidP="00EF386A">
      <w:pPr>
        <w:jc w:val="both"/>
        <w:rPr>
          <w:lang w:val="fr-FR"/>
        </w:rPr>
      </w:pPr>
    </w:p>
    <w:p w14:paraId="248FE7DD" w14:textId="77777777" w:rsidR="00AD5F0F" w:rsidRPr="005E197B" w:rsidRDefault="004C5D8F" w:rsidP="00EF386A">
      <w:pPr>
        <w:jc w:val="both"/>
        <w:rPr>
          <w:lang w:val="fr-FR"/>
        </w:rPr>
      </w:pPr>
      <w:r w:rsidRPr="005E197B">
        <w:rPr>
          <w:lang w:val="fr-FR"/>
        </w:rPr>
        <w:t xml:space="preserve">S’agissant </w:t>
      </w:r>
      <w:r w:rsidR="00726EF3" w:rsidRPr="005E197B">
        <w:rPr>
          <w:lang w:val="fr-FR"/>
        </w:rPr>
        <w:t xml:space="preserve">du présent questionnaire, les commentaires ne sont </w:t>
      </w:r>
      <w:r w:rsidRPr="005E197B">
        <w:rPr>
          <w:lang w:val="fr-FR"/>
        </w:rPr>
        <w:t xml:space="preserve">pas strictement </w:t>
      </w:r>
      <w:r w:rsidR="00726EF3" w:rsidRPr="005E197B">
        <w:rPr>
          <w:lang w:val="fr-FR"/>
        </w:rPr>
        <w:t>limités à 150 caractères</w:t>
      </w:r>
      <w:r w:rsidR="00572C5D" w:rsidRPr="005E197B">
        <w:rPr>
          <w:lang w:val="fr-FR"/>
        </w:rPr>
        <w:t xml:space="preserve">. </w:t>
      </w:r>
      <w:r w:rsidR="00726EF3" w:rsidRPr="005E197B">
        <w:rPr>
          <w:lang w:val="fr-FR"/>
        </w:rPr>
        <w:t xml:space="preserve">La Banque prie néanmoins les établissements financiers de </w:t>
      </w:r>
      <w:r w:rsidRPr="005E197B">
        <w:rPr>
          <w:lang w:val="fr-FR"/>
        </w:rPr>
        <w:t xml:space="preserve">rester aussi concis que possible dans </w:t>
      </w:r>
      <w:r w:rsidR="00726EF3" w:rsidRPr="005E197B">
        <w:rPr>
          <w:lang w:val="fr-FR"/>
        </w:rPr>
        <w:t>leurs explic</w:t>
      </w:r>
      <w:r w:rsidRPr="005E197B">
        <w:rPr>
          <w:lang w:val="fr-FR"/>
        </w:rPr>
        <w:t>ations et/ou leurs commentaires</w:t>
      </w:r>
      <w:r w:rsidR="00726EF3" w:rsidRPr="005E197B">
        <w:rPr>
          <w:lang w:val="fr-FR"/>
        </w:rPr>
        <w:t xml:space="preserve">. </w:t>
      </w:r>
      <w:r w:rsidR="00AD5F0F" w:rsidRPr="005E197B">
        <w:rPr>
          <w:lang w:val="fr-FR"/>
        </w:rPr>
        <w:t>I</w:t>
      </w:r>
      <w:r w:rsidR="00726EF3" w:rsidRPr="005E197B">
        <w:rPr>
          <w:lang w:val="fr-FR"/>
        </w:rPr>
        <w:t>l</w:t>
      </w:r>
      <w:r w:rsidR="00AD5F0F" w:rsidRPr="005E197B">
        <w:rPr>
          <w:lang w:val="fr-FR"/>
        </w:rPr>
        <w:t xml:space="preserve"> </w:t>
      </w:r>
      <w:r w:rsidR="00726EF3" w:rsidRPr="005E197B">
        <w:rPr>
          <w:lang w:val="fr-FR"/>
        </w:rPr>
        <w:t xml:space="preserve">est conseillé de pratiquer le style télégraphique </w:t>
      </w:r>
      <w:r w:rsidR="00371E65" w:rsidRPr="005E197B">
        <w:rPr>
          <w:lang w:val="fr-FR"/>
        </w:rPr>
        <w:t>et les commentaires fo</w:t>
      </w:r>
      <w:r w:rsidR="00AD5F0F" w:rsidRPr="005E197B">
        <w:rPr>
          <w:lang w:val="fr-FR"/>
        </w:rPr>
        <w:t>u</w:t>
      </w:r>
      <w:r w:rsidR="00371E65" w:rsidRPr="005E197B">
        <w:rPr>
          <w:lang w:val="fr-FR"/>
        </w:rPr>
        <w:t>r</w:t>
      </w:r>
      <w:r w:rsidR="00AD5F0F" w:rsidRPr="005E197B">
        <w:rPr>
          <w:lang w:val="fr-FR"/>
        </w:rPr>
        <w:t>nis ne pourront en aucun</w:t>
      </w:r>
      <w:r w:rsidR="00371E65" w:rsidRPr="005E197B">
        <w:rPr>
          <w:lang w:val="fr-FR"/>
        </w:rPr>
        <w:t>e</w:t>
      </w:r>
      <w:r w:rsidR="00AD5F0F" w:rsidRPr="005E197B">
        <w:rPr>
          <w:lang w:val="fr-FR"/>
        </w:rPr>
        <w:t xml:space="preserve"> façon dépasser une longueur raisonnable. Si tel était malgré tout le cas, la Banque pourra refuser le formulaire de réponse déposé et il sera demandé à votre établissement d’introduire un nouveau formulaire correctement rempli. </w:t>
      </w:r>
    </w:p>
    <w:p w14:paraId="248FE7DE" w14:textId="77777777" w:rsidR="007E65A4" w:rsidRPr="005E197B" w:rsidRDefault="007E65A4" w:rsidP="00EF386A">
      <w:pPr>
        <w:jc w:val="both"/>
        <w:rPr>
          <w:lang w:val="fr-FR"/>
        </w:rPr>
      </w:pPr>
    </w:p>
    <w:p w14:paraId="248FE7DF" w14:textId="77777777" w:rsidR="007E65A4" w:rsidRPr="005E197B" w:rsidRDefault="004C5D8F" w:rsidP="00EF386A">
      <w:pPr>
        <w:jc w:val="both"/>
        <w:rPr>
          <w:lang w:val="fr-FR"/>
        </w:rPr>
      </w:pPr>
      <w:r w:rsidRPr="005E197B">
        <w:rPr>
          <w:lang w:val="fr-FR"/>
        </w:rPr>
        <w:t>Précis</w:t>
      </w:r>
      <w:r w:rsidR="00AD5F0F" w:rsidRPr="005E197B">
        <w:rPr>
          <w:lang w:val="fr-FR"/>
        </w:rPr>
        <w:t>ons encore qu’il est</w:t>
      </w:r>
      <w:r w:rsidRPr="005E197B">
        <w:rPr>
          <w:lang w:val="fr-FR"/>
        </w:rPr>
        <w:t xml:space="preserve"> par ailleurs obligatoire</w:t>
      </w:r>
      <w:r w:rsidR="003543CC">
        <w:rPr>
          <w:lang w:val="fr-FR"/>
        </w:rPr>
        <w:t>,</w:t>
      </w:r>
      <w:r w:rsidRPr="005E197B">
        <w:rPr>
          <w:lang w:val="fr-FR"/>
        </w:rPr>
        <w:t xml:space="preserve"> dans l</w:t>
      </w:r>
      <w:r w:rsidR="00AD5F0F" w:rsidRPr="005E197B">
        <w:rPr>
          <w:lang w:val="fr-FR"/>
        </w:rPr>
        <w:t xml:space="preserve">e </w:t>
      </w:r>
      <w:r w:rsidRPr="005E197B">
        <w:rPr>
          <w:lang w:val="fr-FR"/>
        </w:rPr>
        <w:t xml:space="preserve">présent </w:t>
      </w:r>
      <w:r w:rsidR="00AD5F0F" w:rsidRPr="005E197B">
        <w:rPr>
          <w:lang w:val="fr-FR"/>
        </w:rPr>
        <w:t>questionnaire</w:t>
      </w:r>
      <w:r w:rsidR="003543CC">
        <w:rPr>
          <w:lang w:val="fr-FR"/>
        </w:rPr>
        <w:t>,</w:t>
      </w:r>
      <w:r w:rsidR="00AD5F0F" w:rsidRPr="005E197B">
        <w:rPr>
          <w:lang w:val="fr-FR"/>
        </w:rPr>
        <w:t xml:space="preserve"> d’assortir chaque réponse </w:t>
      </w:r>
      <w:r w:rsidR="00AD5F0F" w:rsidRPr="005E197B">
        <w:rPr>
          <w:rFonts w:cs="Arial"/>
          <w:lang w:val="fr-FR"/>
        </w:rPr>
        <w:t>«</w:t>
      </w:r>
      <w:r w:rsidR="00AD5F0F" w:rsidRPr="005E197B">
        <w:rPr>
          <w:lang w:val="fr-FR"/>
        </w:rPr>
        <w:t> </w:t>
      </w:r>
      <w:r w:rsidR="003543CC">
        <w:rPr>
          <w:lang w:val="fr-FR"/>
        </w:rPr>
        <w:t>Non applicable</w:t>
      </w:r>
      <w:r w:rsidR="00AD5F0F" w:rsidRPr="005E197B">
        <w:rPr>
          <w:lang w:val="fr-FR"/>
        </w:rPr>
        <w:t> </w:t>
      </w:r>
      <w:r w:rsidR="00AD5F0F" w:rsidRPr="005E197B">
        <w:rPr>
          <w:rFonts w:cs="Arial"/>
          <w:lang w:val="fr-FR"/>
        </w:rPr>
        <w:t>»</w:t>
      </w:r>
      <w:r w:rsidR="00AD5F0F" w:rsidRPr="005E197B">
        <w:rPr>
          <w:lang w:val="fr-FR"/>
        </w:rPr>
        <w:t xml:space="preserve"> d’un commentaire. Celui-ci doit permettre à la Banque de comprendre pourquoi la question posée ne concerne pas votre établissement</w:t>
      </w:r>
      <w:r w:rsidR="007E65A4" w:rsidRPr="005E197B">
        <w:rPr>
          <w:lang w:val="fr-FR"/>
        </w:rPr>
        <w:t xml:space="preserve">. </w:t>
      </w:r>
    </w:p>
    <w:p w14:paraId="248FE7E0" w14:textId="77777777" w:rsidR="00572C5D" w:rsidRPr="005E197B" w:rsidRDefault="00572C5D" w:rsidP="00EF386A">
      <w:pPr>
        <w:jc w:val="both"/>
        <w:rPr>
          <w:lang w:val="fr-FR"/>
        </w:rPr>
      </w:pPr>
    </w:p>
    <w:p w14:paraId="248FE7E1" w14:textId="77777777" w:rsidR="00572C5D" w:rsidRPr="005E197B" w:rsidRDefault="00572C5D" w:rsidP="00EF386A">
      <w:pPr>
        <w:jc w:val="both"/>
        <w:rPr>
          <w:lang w:val="fr-FR"/>
        </w:rPr>
      </w:pPr>
    </w:p>
    <w:p w14:paraId="27D1CB50" w14:textId="77777777" w:rsidR="00EF386A" w:rsidRDefault="00EF386A">
      <w:pPr>
        <w:tabs>
          <w:tab w:val="clear" w:pos="284"/>
        </w:tabs>
        <w:spacing w:line="240" w:lineRule="auto"/>
        <w:rPr>
          <w:i/>
          <w:u w:val="single"/>
          <w:lang w:val="fr-FR"/>
        </w:rPr>
      </w:pPr>
      <w:r>
        <w:rPr>
          <w:i/>
          <w:u w:val="single"/>
          <w:lang w:val="fr-FR"/>
        </w:rPr>
        <w:br w:type="page"/>
      </w:r>
    </w:p>
    <w:p w14:paraId="248FE7E2" w14:textId="4B26BA9C" w:rsidR="00572C5D" w:rsidRPr="005E197B" w:rsidRDefault="00AD5F0F" w:rsidP="00EF386A">
      <w:pPr>
        <w:pStyle w:val="ListParagraph"/>
        <w:numPr>
          <w:ilvl w:val="0"/>
          <w:numId w:val="42"/>
        </w:numPr>
        <w:jc w:val="both"/>
        <w:rPr>
          <w:i/>
          <w:u w:val="single"/>
          <w:lang w:val="fr-FR"/>
        </w:rPr>
      </w:pPr>
      <w:r w:rsidRPr="005E197B">
        <w:rPr>
          <w:i/>
          <w:u w:val="single"/>
          <w:lang w:val="fr-FR"/>
        </w:rPr>
        <w:lastRenderedPageBreak/>
        <w:t xml:space="preserve">Que faire si votre établissement ne peut pas fournir une statistique demandée </w:t>
      </w:r>
      <w:r w:rsidR="006B5DDA" w:rsidRPr="005E197B">
        <w:rPr>
          <w:i/>
          <w:u w:val="single"/>
          <w:lang w:val="fr-FR"/>
        </w:rPr>
        <w:t xml:space="preserve">avec une certitude absolue </w:t>
      </w:r>
      <w:r w:rsidRPr="005E197B">
        <w:rPr>
          <w:i/>
          <w:u w:val="single"/>
          <w:lang w:val="fr-FR"/>
        </w:rPr>
        <w:t xml:space="preserve">et qu’il ne peut en faire qu’une estimation raisonnable ? </w:t>
      </w:r>
    </w:p>
    <w:p w14:paraId="248FE7E3" w14:textId="77777777" w:rsidR="00572C5D" w:rsidRPr="005E197B" w:rsidRDefault="00572C5D" w:rsidP="00EF386A">
      <w:pPr>
        <w:jc w:val="both"/>
        <w:rPr>
          <w:i/>
          <w:lang w:val="fr-FR"/>
        </w:rPr>
      </w:pPr>
    </w:p>
    <w:p w14:paraId="248FE7E4" w14:textId="45B86CF6" w:rsidR="00572C5D" w:rsidRPr="005E197B" w:rsidRDefault="00C9110F" w:rsidP="00EF386A">
      <w:pPr>
        <w:jc w:val="both"/>
        <w:rPr>
          <w:lang w:val="fr-FR"/>
        </w:rPr>
      </w:pPr>
      <w:r w:rsidRPr="005E197B">
        <w:rPr>
          <w:lang w:val="fr-FR"/>
        </w:rPr>
        <w:t xml:space="preserve">Comme déjà mentionné plus haut, </w:t>
      </w:r>
      <w:r w:rsidR="003B5C10">
        <w:rPr>
          <w:lang w:val="fr-FR"/>
        </w:rPr>
        <w:t xml:space="preserve">la finalité </w:t>
      </w:r>
      <w:r w:rsidRPr="005E197B">
        <w:rPr>
          <w:lang w:val="fr-FR"/>
        </w:rPr>
        <w:t>de</w:t>
      </w:r>
      <w:r w:rsidR="003B5C10">
        <w:rPr>
          <w:lang w:val="fr-FR"/>
        </w:rPr>
        <w:t xml:space="preserve"> ce</w:t>
      </w:r>
      <w:r w:rsidRPr="005E197B">
        <w:rPr>
          <w:lang w:val="fr-FR"/>
        </w:rPr>
        <w:t>s questionnaires</w:t>
      </w:r>
      <w:r w:rsidR="003B5C10">
        <w:rPr>
          <w:lang w:val="fr-FR"/>
        </w:rPr>
        <w:t xml:space="preserve">, </w:t>
      </w:r>
      <w:r w:rsidR="00DA752C">
        <w:rPr>
          <w:lang w:val="fr-FR"/>
        </w:rPr>
        <w:t>dans le chef de</w:t>
      </w:r>
      <w:r w:rsidR="003B5C10">
        <w:rPr>
          <w:lang w:val="fr-FR"/>
        </w:rPr>
        <w:t xml:space="preserve"> la Banque,</w:t>
      </w:r>
      <w:r w:rsidRPr="005E197B">
        <w:rPr>
          <w:lang w:val="fr-FR"/>
        </w:rPr>
        <w:t xml:space="preserve"> </w:t>
      </w:r>
      <w:r w:rsidR="00DA752C">
        <w:rPr>
          <w:lang w:val="fr-FR"/>
        </w:rPr>
        <w:t>vise</w:t>
      </w:r>
      <w:r w:rsidRPr="005E197B">
        <w:rPr>
          <w:lang w:val="fr-FR"/>
        </w:rPr>
        <w:t xml:space="preserve"> </w:t>
      </w:r>
      <w:r w:rsidR="00DA752C">
        <w:rPr>
          <w:lang w:val="fr-FR"/>
        </w:rPr>
        <w:t>à</w:t>
      </w:r>
      <w:r w:rsidR="004C5D8F" w:rsidRPr="005E197B">
        <w:rPr>
          <w:lang w:val="fr-FR"/>
        </w:rPr>
        <w:t xml:space="preserve"> récolter des informations deva</w:t>
      </w:r>
      <w:r w:rsidRPr="005E197B">
        <w:rPr>
          <w:lang w:val="fr-FR"/>
        </w:rPr>
        <w:t xml:space="preserve">nt lui permettre d’évaluer les risques BC/FT inhérents auxquels sont exposés les établissements financiers. </w:t>
      </w:r>
    </w:p>
    <w:p w14:paraId="248FE7E5" w14:textId="77777777" w:rsidR="0078025D" w:rsidRPr="005E197B" w:rsidRDefault="0078025D" w:rsidP="00EF386A">
      <w:pPr>
        <w:jc w:val="both"/>
        <w:rPr>
          <w:lang w:val="fr-FR"/>
        </w:rPr>
      </w:pPr>
    </w:p>
    <w:p w14:paraId="248FE7E6" w14:textId="77777777" w:rsidR="0078025D" w:rsidRPr="005E197B" w:rsidRDefault="004C5D8F" w:rsidP="00EF386A">
      <w:pPr>
        <w:jc w:val="both"/>
        <w:rPr>
          <w:lang w:val="fr-FR"/>
        </w:rPr>
      </w:pPr>
      <w:r w:rsidRPr="005E197B">
        <w:rPr>
          <w:lang w:val="fr-FR"/>
        </w:rPr>
        <w:t>Si</w:t>
      </w:r>
      <w:r w:rsidR="00B92F85" w:rsidRPr="005E197B">
        <w:rPr>
          <w:lang w:val="fr-FR"/>
        </w:rPr>
        <w:t xml:space="preserve"> </w:t>
      </w:r>
      <w:r w:rsidRPr="005E197B">
        <w:rPr>
          <w:lang w:val="fr-FR"/>
        </w:rPr>
        <w:t>ces derniers</w:t>
      </w:r>
      <w:r w:rsidR="004E28BD" w:rsidRPr="005E197B">
        <w:rPr>
          <w:lang w:val="fr-FR"/>
        </w:rPr>
        <w:t xml:space="preserve"> ne peuvent pas donner l’information demandée avec une certitude absolue </w:t>
      </w:r>
      <w:r w:rsidR="00B92F85" w:rsidRPr="005E197B">
        <w:rPr>
          <w:lang w:val="fr-FR"/>
        </w:rPr>
        <w:t>mais seulement l’approximer, ou lorsque seule une estimation (correcte) de ladite</w:t>
      </w:r>
      <w:r w:rsidR="00132755" w:rsidRPr="005E197B">
        <w:rPr>
          <w:lang w:val="fr-FR"/>
        </w:rPr>
        <w:t xml:space="preserve"> </w:t>
      </w:r>
      <w:r w:rsidR="00B92F85" w:rsidRPr="005E197B">
        <w:rPr>
          <w:lang w:val="fr-FR"/>
        </w:rPr>
        <w:t xml:space="preserve">information peut être fournie (sous la forme de pourcentages estimés, par exemple), </w:t>
      </w:r>
      <w:r w:rsidRPr="005E197B">
        <w:rPr>
          <w:lang w:val="fr-FR"/>
        </w:rPr>
        <w:t xml:space="preserve">ils sont priés </w:t>
      </w:r>
      <w:r w:rsidR="00B92F85" w:rsidRPr="005E197B">
        <w:rPr>
          <w:lang w:val="fr-FR"/>
        </w:rPr>
        <w:t>d’indiquer malgré tout, dans les explications ou dans les cases de commentaire, cette information recueillie par approximation ou l’estimation correcte qui en est faite. La Banque pourra ainsi tenir compte de ces approximations et de ces estimations dans son analyse.</w:t>
      </w:r>
      <w:r w:rsidR="00132755" w:rsidRPr="005E197B">
        <w:rPr>
          <w:lang w:val="fr-FR"/>
        </w:rPr>
        <w:t xml:space="preserve"> </w:t>
      </w:r>
    </w:p>
    <w:p w14:paraId="248FE7E7" w14:textId="77777777" w:rsidR="00B92F85" w:rsidRPr="005E197B" w:rsidRDefault="00B92F85" w:rsidP="00EF386A">
      <w:pPr>
        <w:jc w:val="both"/>
        <w:rPr>
          <w:lang w:val="fr-FR"/>
        </w:rPr>
      </w:pPr>
    </w:p>
    <w:p w14:paraId="248FE7E8" w14:textId="77777777" w:rsidR="0078025D" w:rsidRPr="005E197B" w:rsidRDefault="00371E65" w:rsidP="00EF386A">
      <w:pPr>
        <w:jc w:val="both"/>
        <w:rPr>
          <w:lang w:val="fr-FR"/>
        </w:rPr>
      </w:pPr>
      <w:r w:rsidRPr="005E197B">
        <w:rPr>
          <w:lang w:val="fr-FR"/>
        </w:rPr>
        <w:t xml:space="preserve">Dans de tels cas, votre établissement devra répondre </w:t>
      </w:r>
      <w:r w:rsidRPr="005E197B">
        <w:rPr>
          <w:rFonts w:cs="Arial"/>
          <w:lang w:val="fr-FR"/>
        </w:rPr>
        <w:t>«</w:t>
      </w:r>
      <w:r w:rsidRPr="005E197B">
        <w:rPr>
          <w:lang w:val="fr-FR"/>
        </w:rPr>
        <w:t> Non disponible </w:t>
      </w:r>
      <w:r w:rsidRPr="005E197B">
        <w:rPr>
          <w:rFonts w:cs="Arial"/>
          <w:lang w:val="fr-FR"/>
        </w:rPr>
        <w:t>»</w:t>
      </w:r>
      <w:r w:rsidRPr="005E197B">
        <w:rPr>
          <w:lang w:val="fr-FR"/>
        </w:rPr>
        <w:t xml:space="preserve"> dans la case prévue à cet effet, mais pourra donner </w:t>
      </w:r>
      <w:r w:rsidR="00C23518" w:rsidRPr="005E197B">
        <w:rPr>
          <w:lang w:val="fr-FR"/>
        </w:rPr>
        <w:t xml:space="preserve">dans les explications/le commentaire </w:t>
      </w:r>
      <w:r w:rsidRPr="005E197B">
        <w:rPr>
          <w:lang w:val="fr-FR"/>
        </w:rPr>
        <w:t xml:space="preserve">une estimation </w:t>
      </w:r>
      <w:r w:rsidR="00C23518">
        <w:rPr>
          <w:lang w:val="fr-FR"/>
        </w:rPr>
        <w:t xml:space="preserve">fondée </w:t>
      </w:r>
      <w:r w:rsidRPr="005E197B">
        <w:rPr>
          <w:lang w:val="fr-FR"/>
        </w:rPr>
        <w:t xml:space="preserve">de l’information demandée. </w:t>
      </w:r>
    </w:p>
    <w:p w14:paraId="248FE7E9" w14:textId="77777777" w:rsidR="0078025D" w:rsidRPr="005E197B" w:rsidRDefault="0078025D" w:rsidP="00EF386A">
      <w:pPr>
        <w:jc w:val="both"/>
        <w:rPr>
          <w:lang w:val="fr-FR"/>
        </w:rPr>
      </w:pPr>
    </w:p>
    <w:p w14:paraId="248FE7EA" w14:textId="77777777" w:rsidR="007E65A4" w:rsidRPr="005E197B" w:rsidRDefault="0078025D" w:rsidP="00EF386A">
      <w:pPr>
        <w:ind w:left="1704" w:hanging="1704"/>
        <w:jc w:val="both"/>
        <w:rPr>
          <w:lang w:val="fr-FR"/>
        </w:rPr>
      </w:pPr>
      <w:r w:rsidRPr="005E197B">
        <w:rPr>
          <w:lang w:val="fr-FR"/>
        </w:rPr>
        <w:tab/>
      </w:r>
      <w:r w:rsidR="00371E65" w:rsidRPr="005E197B">
        <w:rPr>
          <w:i/>
          <w:u w:val="single"/>
          <w:lang w:val="fr-FR"/>
        </w:rPr>
        <w:t>Exemple</w:t>
      </w:r>
      <w:r w:rsidRPr="005E197B">
        <w:rPr>
          <w:i/>
          <w:u w:val="single"/>
          <w:lang w:val="fr-FR"/>
        </w:rPr>
        <w:t>:</w:t>
      </w:r>
      <w:r w:rsidRPr="005E197B">
        <w:rPr>
          <w:i/>
          <w:lang w:val="fr-FR"/>
        </w:rPr>
        <w:t xml:space="preserve"> </w:t>
      </w:r>
      <w:r w:rsidRPr="005E197B">
        <w:rPr>
          <w:i/>
          <w:lang w:val="fr-FR"/>
        </w:rPr>
        <w:tab/>
      </w:r>
      <w:r w:rsidR="00371E65" w:rsidRPr="005E197B">
        <w:rPr>
          <w:lang w:val="fr-FR"/>
        </w:rPr>
        <w:t xml:space="preserve">Il est demandé à tous les établissements soumis au contrôle d’indiquer le nombre de clients présentant un </w:t>
      </w:r>
      <w:r w:rsidR="00371E65" w:rsidRPr="005E197B">
        <w:rPr>
          <w:rFonts w:cs="Arial"/>
          <w:lang w:val="fr-FR"/>
        </w:rPr>
        <w:t>«</w:t>
      </w:r>
      <w:r w:rsidR="00371E65" w:rsidRPr="005E197B">
        <w:rPr>
          <w:lang w:val="fr-FR"/>
        </w:rPr>
        <w:t> risque élevé </w:t>
      </w:r>
      <w:r w:rsidR="00371E65" w:rsidRPr="005E197B">
        <w:rPr>
          <w:rFonts w:cs="Arial"/>
          <w:lang w:val="fr-FR"/>
        </w:rPr>
        <w:t>»</w:t>
      </w:r>
      <w:r w:rsidRPr="005E197B">
        <w:rPr>
          <w:lang w:val="fr-FR"/>
        </w:rPr>
        <w:t xml:space="preserve">. </w:t>
      </w:r>
      <w:r w:rsidR="0032089A" w:rsidRPr="005E197B">
        <w:rPr>
          <w:lang w:val="fr-FR"/>
        </w:rPr>
        <w:t>À ce jour</w:t>
      </w:r>
      <w:r w:rsidR="0032089A">
        <w:rPr>
          <w:lang w:val="fr-FR"/>
        </w:rPr>
        <w:t>,</w:t>
      </w:r>
      <w:r w:rsidR="0032089A" w:rsidRPr="005E197B">
        <w:rPr>
          <w:lang w:val="fr-FR"/>
        </w:rPr>
        <w:t xml:space="preserve"> </w:t>
      </w:r>
      <w:r w:rsidR="0032089A">
        <w:rPr>
          <w:lang w:val="fr-FR"/>
        </w:rPr>
        <w:t>c</w:t>
      </w:r>
      <w:r w:rsidR="00371E65" w:rsidRPr="005E197B">
        <w:rPr>
          <w:lang w:val="fr-FR"/>
        </w:rPr>
        <w:t xml:space="preserve">ertains établissements n’attribuent </w:t>
      </w:r>
      <w:r w:rsidR="00472997">
        <w:rPr>
          <w:lang w:val="fr-FR"/>
        </w:rPr>
        <w:t>pas</w:t>
      </w:r>
      <w:r w:rsidR="0032089A">
        <w:rPr>
          <w:lang w:val="fr-FR"/>
        </w:rPr>
        <w:t xml:space="preserve"> </w:t>
      </w:r>
      <w:r w:rsidR="00371E65" w:rsidRPr="005E197B">
        <w:rPr>
          <w:lang w:val="fr-FR"/>
        </w:rPr>
        <w:t xml:space="preserve">encore </w:t>
      </w:r>
      <w:r w:rsidR="0032089A">
        <w:rPr>
          <w:lang w:val="fr-FR"/>
        </w:rPr>
        <w:t xml:space="preserve">de </w:t>
      </w:r>
      <w:r w:rsidR="00371E65" w:rsidRPr="005E197B">
        <w:rPr>
          <w:lang w:val="fr-FR"/>
        </w:rPr>
        <w:t>note de risque à leurs clients et ne disposent donc pas encore des statistiques demandées.</w:t>
      </w:r>
      <w:r w:rsidR="00132755" w:rsidRPr="005E197B">
        <w:rPr>
          <w:lang w:val="fr-FR"/>
        </w:rPr>
        <w:t xml:space="preserve"> </w:t>
      </w:r>
      <w:r w:rsidR="002F18DB" w:rsidRPr="005E197B">
        <w:rPr>
          <w:lang w:val="fr-FR"/>
        </w:rPr>
        <w:t>Certains de</w:t>
      </w:r>
      <w:r w:rsidR="00371E65" w:rsidRPr="005E197B">
        <w:rPr>
          <w:lang w:val="fr-FR"/>
        </w:rPr>
        <w:t xml:space="preserve"> ces établissements </w:t>
      </w:r>
      <w:r w:rsidR="002F18DB" w:rsidRPr="005E197B">
        <w:rPr>
          <w:lang w:val="fr-FR"/>
        </w:rPr>
        <w:t xml:space="preserve">demandent toutefois aux clients dont ils ont constaté qu’ils présentaient un risque accru de compléter </w:t>
      </w:r>
      <w:r w:rsidR="00371E65" w:rsidRPr="005E197B">
        <w:rPr>
          <w:lang w:val="fr-FR"/>
        </w:rPr>
        <w:t>des questionnaires LBC/FT suppl</w:t>
      </w:r>
      <w:r w:rsidR="002F18DB" w:rsidRPr="005E197B">
        <w:rPr>
          <w:lang w:val="fr-FR"/>
        </w:rPr>
        <w:t>émentaires</w:t>
      </w:r>
      <w:r w:rsidR="00371E65" w:rsidRPr="005E197B">
        <w:rPr>
          <w:lang w:val="fr-FR"/>
        </w:rPr>
        <w:t xml:space="preserve">, et sont en mesure </w:t>
      </w:r>
      <w:r w:rsidR="002F18DB" w:rsidRPr="005E197B">
        <w:rPr>
          <w:lang w:val="fr-FR"/>
        </w:rPr>
        <w:t>d’indiquer combien de clients</w:t>
      </w:r>
      <w:r w:rsidR="0084206C" w:rsidRPr="005E197B">
        <w:rPr>
          <w:lang w:val="fr-FR"/>
        </w:rPr>
        <w:t xml:space="preserve"> les ont remplis. </w:t>
      </w:r>
    </w:p>
    <w:p w14:paraId="248FE7EB" w14:textId="77777777" w:rsidR="007E65A4" w:rsidRPr="005E197B" w:rsidRDefault="007E65A4" w:rsidP="00EF386A">
      <w:pPr>
        <w:ind w:left="1704" w:hanging="1704"/>
        <w:jc w:val="both"/>
        <w:rPr>
          <w:lang w:val="fr-FR"/>
        </w:rPr>
      </w:pPr>
    </w:p>
    <w:p w14:paraId="248FE7EC" w14:textId="77777777" w:rsidR="00F60345" w:rsidRPr="005E197B" w:rsidRDefault="0084206C" w:rsidP="00EF386A">
      <w:pPr>
        <w:tabs>
          <w:tab w:val="clear" w:pos="284"/>
          <w:tab w:val="left" w:pos="709"/>
        </w:tabs>
        <w:jc w:val="both"/>
        <w:rPr>
          <w:lang w:val="fr-FR"/>
        </w:rPr>
      </w:pPr>
      <w:r w:rsidRPr="005E197B">
        <w:rPr>
          <w:lang w:val="fr-FR"/>
        </w:rPr>
        <w:t xml:space="preserve">La Banque insiste dès lors sur le fait que </w:t>
      </w:r>
      <w:r w:rsidR="00E81AE9" w:rsidRPr="005E197B">
        <w:rPr>
          <w:lang w:val="fr-FR"/>
        </w:rPr>
        <w:t xml:space="preserve">les établissements financiers peuvent </w:t>
      </w:r>
      <w:r w:rsidR="00D0120C" w:rsidRPr="005E197B">
        <w:rPr>
          <w:lang w:val="fr-FR"/>
        </w:rPr>
        <w:t>profiter pleinement d</w:t>
      </w:r>
      <w:r w:rsidR="00E81AE9" w:rsidRPr="005E197B">
        <w:rPr>
          <w:lang w:val="fr-FR"/>
        </w:rPr>
        <w:t>es cases de commentaire</w:t>
      </w:r>
      <w:r w:rsidRPr="005E197B">
        <w:rPr>
          <w:lang w:val="fr-FR"/>
        </w:rPr>
        <w:t xml:space="preserve"> pour </w:t>
      </w:r>
      <w:r w:rsidR="00E81AE9" w:rsidRPr="005E197B">
        <w:rPr>
          <w:lang w:val="fr-FR"/>
        </w:rPr>
        <w:t>apporter des éclaircisse</w:t>
      </w:r>
      <w:r w:rsidRPr="005E197B">
        <w:rPr>
          <w:lang w:val="fr-FR"/>
        </w:rPr>
        <w:t>m</w:t>
      </w:r>
      <w:r w:rsidR="00E81AE9" w:rsidRPr="005E197B">
        <w:rPr>
          <w:lang w:val="fr-FR"/>
        </w:rPr>
        <w:t>e</w:t>
      </w:r>
      <w:r w:rsidRPr="005E197B">
        <w:rPr>
          <w:lang w:val="fr-FR"/>
        </w:rPr>
        <w:t>nts ou des précisions concernant une réponse et ainsi informer, dans la mesure du possible, la Banque de la présence ou de l’absence de certains risques BC/FT.</w:t>
      </w:r>
      <w:r w:rsidR="00132755" w:rsidRPr="005E197B">
        <w:rPr>
          <w:lang w:val="fr-FR"/>
        </w:rPr>
        <w:t xml:space="preserve"> </w:t>
      </w:r>
    </w:p>
    <w:p w14:paraId="248FE7ED" w14:textId="77777777" w:rsidR="0084206C" w:rsidRPr="005E197B" w:rsidRDefault="0084206C" w:rsidP="00EF386A">
      <w:pPr>
        <w:tabs>
          <w:tab w:val="clear" w:pos="284"/>
          <w:tab w:val="left" w:pos="709"/>
        </w:tabs>
        <w:jc w:val="both"/>
        <w:rPr>
          <w:lang w:val="fr-FR"/>
        </w:rPr>
      </w:pPr>
    </w:p>
    <w:p w14:paraId="248FE7EE" w14:textId="77777777" w:rsidR="00F60345" w:rsidRPr="005E197B" w:rsidRDefault="00721A45" w:rsidP="00EF386A">
      <w:pPr>
        <w:pStyle w:val="ListParagraph"/>
        <w:numPr>
          <w:ilvl w:val="0"/>
          <w:numId w:val="42"/>
        </w:numPr>
        <w:jc w:val="both"/>
        <w:rPr>
          <w:u w:val="single"/>
          <w:lang w:val="fr-FR"/>
        </w:rPr>
      </w:pPr>
      <w:r w:rsidRPr="005E197B">
        <w:rPr>
          <w:rFonts w:cs="Arial"/>
          <w:i/>
          <w:u w:val="single"/>
          <w:lang w:val="fr-FR"/>
        </w:rPr>
        <w:t>É</w:t>
      </w:r>
      <w:r w:rsidRPr="005E197B">
        <w:rPr>
          <w:i/>
          <w:u w:val="single"/>
          <w:lang w:val="fr-FR"/>
        </w:rPr>
        <w:t xml:space="preserve">valuation par la Banque des réponses apportées par les établissements – </w:t>
      </w:r>
      <w:r w:rsidR="000F655A">
        <w:rPr>
          <w:i/>
          <w:u w:val="single"/>
          <w:lang w:val="fr-FR"/>
        </w:rPr>
        <w:t>finalités</w:t>
      </w:r>
      <w:r w:rsidR="00132755" w:rsidRPr="005E197B">
        <w:rPr>
          <w:i/>
          <w:u w:val="single"/>
          <w:lang w:val="fr-FR"/>
        </w:rPr>
        <w:t xml:space="preserve"> </w:t>
      </w:r>
    </w:p>
    <w:p w14:paraId="248FE7EF" w14:textId="77777777" w:rsidR="00F60345" w:rsidRPr="005E197B" w:rsidRDefault="00F60345" w:rsidP="00EF386A">
      <w:pPr>
        <w:tabs>
          <w:tab w:val="clear" w:pos="284"/>
          <w:tab w:val="left" w:pos="709"/>
        </w:tabs>
        <w:jc w:val="both"/>
        <w:rPr>
          <w:i/>
          <w:lang w:val="fr-FR"/>
        </w:rPr>
      </w:pPr>
    </w:p>
    <w:p w14:paraId="248FE7F0" w14:textId="77777777" w:rsidR="0017662B" w:rsidRPr="005E197B" w:rsidRDefault="00D0120C" w:rsidP="00EF386A">
      <w:pPr>
        <w:tabs>
          <w:tab w:val="clear" w:pos="284"/>
          <w:tab w:val="left" w:pos="709"/>
        </w:tabs>
        <w:jc w:val="both"/>
        <w:rPr>
          <w:lang w:val="fr-FR"/>
        </w:rPr>
      </w:pPr>
      <w:r w:rsidRPr="005E197B">
        <w:rPr>
          <w:lang w:val="fr-FR"/>
        </w:rPr>
        <w:t xml:space="preserve">Comme déjà </w:t>
      </w:r>
      <w:r w:rsidR="00721A45" w:rsidRPr="005E197B">
        <w:rPr>
          <w:lang w:val="fr-FR"/>
        </w:rPr>
        <w:t>expl</w:t>
      </w:r>
      <w:r w:rsidRPr="005E197B">
        <w:rPr>
          <w:lang w:val="fr-FR"/>
        </w:rPr>
        <w:t xml:space="preserve">iqué en détail dans </w:t>
      </w:r>
      <w:r w:rsidR="00721A45" w:rsidRPr="005E197B">
        <w:rPr>
          <w:lang w:val="fr-FR"/>
        </w:rPr>
        <w:t>la présente circulaire, la Ba</w:t>
      </w:r>
      <w:r w:rsidRPr="005E197B">
        <w:rPr>
          <w:lang w:val="fr-FR"/>
        </w:rPr>
        <w:t>nque utilisera vos réponses afin de</w:t>
      </w:r>
      <w:r w:rsidR="00721A45" w:rsidRPr="005E197B">
        <w:rPr>
          <w:lang w:val="fr-FR"/>
        </w:rPr>
        <w:t xml:space="preserve"> mieux cerner les risques BC/FT inhérents encourus par votre établissement. Pour ce faire, les réponses de votre établissement seront analysées </w:t>
      </w:r>
      <w:r w:rsidRPr="005E197B">
        <w:rPr>
          <w:lang w:val="fr-FR"/>
        </w:rPr>
        <w:t xml:space="preserve">en </w:t>
      </w:r>
      <w:r w:rsidR="00721A45" w:rsidRPr="005E197B">
        <w:rPr>
          <w:lang w:val="fr-FR"/>
        </w:rPr>
        <w:t>tenant compte de ses activités, de sa taille et de sa complexité, des produits et des services qu’il propose, etc.</w:t>
      </w:r>
      <w:r w:rsidR="00132755" w:rsidRPr="005E197B">
        <w:rPr>
          <w:lang w:val="fr-FR"/>
        </w:rPr>
        <w:t xml:space="preserve"> </w:t>
      </w:r>
    </w:p>
    <w:p w14:paraId="248FE7F1" w14:textId="77777777" w:rsidR="00721A45" w:rsidRPr="005E197B" w:rsidRDefault="00721A45" w:rsidP="00EF386A">
      <w:pPr>
        <w:tabs>
          <w:tab w:val="clear" w:pos="284"/>
          <w:tab w:val="left" w:pos="709"/>
        </w:tabs>
        <w:jc w:val="both"/>
        <w:rPr>
          <w:lang w:val="fr-FR"/>
        </w:rPr>
      </w:pPr>
    </w:p>
    <w:p w14:paraId="248FE7F2" w14:textId="43A6455E" w:rsidR="00F60345" w:rsidRPr="005E197B" w:rsidRDefault="00721A45" w:rsidP="00EF386A">
      <w:pPr>
        <w:tabs>
          <w:tab w:val="clear" w:pos="284"/>
          <w:tab w:val="left" w:pos="709"/>
        </w:tabs>
        <w:jc w:val="both"/>
        <w:rPr>
          <w:lang w:val="fr-FR"/>
        </w:rPr>
      </w:pPr>
      <w:r w:rsidRPr="005E197B">
        <w:rPr>
          <w:lang w:val="fr-FR"/>
        </w:rPr>
        <w:t>Si votre établissement ne dispose pas de toutes les informations demandées, par exemple parce qu’il ne tient pas</w:t>
      </w:r>
      <w:r w:rsidR="008C0034" w:rsidRPr="005E197B">
        <w:rPr>
          <w:lang w:val="fr-FR"/>
        </w:rPr>
        <w:t xml:space="preserve"> (encore) de statistiques conce</w:t>
      </w:r>
      <w:r w:rsidRPr="005E197B">
        <w:rPr>
          <w:lang w:val="fr-FR"/>
        </w:rPr>
        <w:t>rna</w:t>
      </w:r>
      <w:r w:rsidR="008C0034" w:rsidRPr="005E197B">
        <w:rPr>
          <w:lang w:val="fr-FR"/>
        </w:rPr>
        <w:t>n</w:t>
      </w:r>
      <w:r w:rsidRPr="005E197B">
        <w:rPr>
          <w:lang w:val="fr-FR"/>
        </w:rPr>
        <w:t>t certains</w:t>
      </w:r>
      <w:r w:rsidR="008C0034" w:rsidRPr="005E197B">
        <w:rPr>
          <w:lang w:val="fr-FR"/>
        </w:rPr>
        <w:t xml:space="preserve"> </w:t>
      </w:r>
      <w:r w:rsidR="009258FB">
        <w:rPr>
          <w:lang w:val="fr-FR"/>
        </w:rPr>
        <w:t xml:space="preserve">aspects abordés </w:t>
      </w:r>
      <w:r w:rsidR="008C0034" w:rsidRPr="005E197B">
        <w:rPr>
          <w:lang w:val="fr-FR"/>
        </w:rPr>
        <w:t xml:space="preserve">dans le questionnaire, la Banque considérera que </w:t>
      </w:r>
      <w:r w:rsidR="00DA752C">
        <w:rPr>
          <w:lang w:val="fr-FR"/>
        </w:rPr>
        <w:t xml:space="preserve">l’absence </w:t>
      </w:r>
      <w:r w:rsidR="008C0034" w:rsidRPr="005E197B">
        <w:rPr>
          <w:lang w:val="fr-FR"/>
        </w:rPr>
        <w:t>d’informations</w:t>
      </w:r>
      <w:r w:rsidR="00132755" w:rsidRPr="005E197B">
        <w:rPr>
          <w:lang w:val="fr-FR"/>
        </w:rPr>
        <w:t xml:space="preserve"> </w:t>
      </w:r>
      <w:r w:rsidR="008C0034" w:rsidRPr="005E197B">
        <w:rPr>
          <w:lang w:val="fr-FR"/>
        </w:rPr>
        <w:t>ne l’empêche pas d</w:t>
      </w:r>
      <w:r w:rsidR="00DA752C">
        <w:rPr>
          <w:lang w:val="fr-FR"/>
        </w:rPr>
        <w:t xml:space="preserve">’introduire </w:t>
      </w:r>
      <w:r w:rsidR="008C0034" w:rsidRPr="005E197B">
        <w:rPr>
          <w:lang w:val="fr-FR"/>
        </w:rPr>
        <w:t xml:space="preserve"> le questionnaire (dans un tel cas, votre établissement peut en effet introduire la réponse </w:t>
      </w:r>
      <w:r w:rsidR="008C0034" w:rsidRPr="005E197B">
        <w:rPr>
          <w:rFonts w:cs="Arial"/>
          <w:lang w:val="fr-FR"/>
        </w:rPr>
        <w:t>«</w:t>
      </w:r>
      <w:r w:rsidR="008C0034" w:rsidRPr="005E197B">
        <w:rPr>
          <w:lang w:val="fr-FR"/>
        </w:rPr>
        <w:t> Non disponible </w:t>
      </w:r>
      <w:r w:rsidR="008C0034" w:rsidRPr="005E197B">
        <w:rPr>
          <w:rFonts w:cs="Arial"/>
          <w:lang w:val="fr-FR"/>
        </w:rPr>
        <w:t>»</w:t>
      </w:r>
      <w:r w:rsidR="0017662B" w:rsidRPr="005E197B">
        <w:rPr>
          <w:lang w:val="fr-FR"/>
        </w:rPr>
        <w:t>,</w:t>
      </w:r>
      <w:r w:rsidR="008C0034" w:rsidRPr="005E197B">
        <w:rPr>
          <w:lang w:val="fr-FR"/>
        </w:rPr>
        <w:t xml:space="preserve"> cf. </w:t>
      </w:r>
      <w:r w:rsidR="00CC2467" w:rsidRPr="005E197B">
        <w:rPr>
          <w:lang w:val="fr-FR"/>
        </w:rPr>
        <w:t>point 6.b ci-dessus)</w:t>
      </w:r>
      <w:r w:rsidR="00071546" w:rsidRPr="005E197B">
        <w:rPr>
          <w:lang w:val="fr-FR"/>
        </w:rPr>
        <w:t xml:space="preserve">. </w:t>
      </w:r>
      <w:r w:rsidR="00D0120C" w:rsidRPr="005E197B">
        <w:rPr>
          <w:lang w:val="fr-FR"/>
        </w:rPr>
        <w:t>Selon, entre autres, le poids et l</w:t>
      </w:r>
      <w:r w:rsidR="009258FB">
        <w:rPr>
          <w:lang w:val="fr-FR"/>
        </w:rPr>
        <w:t>’</w:t>
      </w:r>
      <w:r w:rsidR="00CC2467" w:rsidRPr="005E197B">
        <w:rPr>
          <w:lang w:val="fr-FR"/>
        </w:rPr>
        <w:t>importance</w:t>
      </w:r>
      <w:r w:rsidR="009258FB">
        <w:rPr>
          <w:lang w:val="fr-FR"/>
        </w:rPr>
        <w:t xml:space="preserve"> des informations concernées</w:t>
      </w:r>
      <w:r w:rsidR="00CC2467" w:rsidRPr="005E197B">
        <w:rPr>
          <w:lang w:val="fr-FR"/>
        </w:rPr>
        <w:t>, la Banque tiendra toutef</w:t>
      </w:r>
      <w:r w:rsidR="00D0120C" w:rsidRPr="005E197B">
        <w:rPr>
          <w:lang w:val="fr-FR"/>
        </w:rPr>
        <w:t xml:space="preserve">ois compte de l’absence </w:t>
      </w:r>
      <w:r w:rsidR="00A36786">
        <w:rPr>
          <w:lang w:val="fr-FR"/>
        </w:rPr>
        <w:t>de celles-ci</w:t>
      </w:r>
      <w:r w:rsidR="00CC2467" w:rsidRPr="005E197B">
        <w:rPr>
          <w:lang w:val="fr-FR"/>
        </w:rPr>
        <w:t xml:space="preserve"> </w:t>
      </w:r>
      <w:r w:rsidR="009258FB">
        <w:rPr>
          <w:lang w:val="fr-FR"/>
        </w:rPr>
        <w:t xml:space="preserve">dans </w:t>
      </w:r>
      <w:r w:rsidR="00CC2467" w:rsidRPr="005E197B">
        <w:rPr>
          <w:lang w:val="fr-FR"/>
        </w:rPr>
        <w:t xml:space="preserve">l’évaluation du risque BC/FT résiduel et, </w:t>
      </w:r>
      <w:r w:rsidR="009258FB">
        <w:rPr>
          <w:lang w:val="fr-FR"/>
        </w:rPr>
        <w:t>par conséquent</w:t>
      </w:r>
      <w:r w:rsidR="00CC2467" w:rsidRPr="005E197B">
        <w:rPr>
          <w:lang w:val="fr-FR"/>
        </w:rPr>
        <w:t xml:space="preserve">, </w:t>
      </w:r>
      <w:r w:rsidR="009258FB">
        <w:rPr>
          <w:lang w:val="fr-FR"/>
        </w:rPr>
        <w:t xml:space="preserve">également dans </w:t>
      </w:r>
      <w:r w:rsidR="00CC2467" w:rsidRPr="005E197B">
        <w:rPr>
          <w:lang w:val="fr-FR"/>
        </w:rPr>
        <w:t>l’organisation et la planification du contrôle qu’elle effectuera.</w:t>
      </w:r>
    </w:p>
    <w:p w14:paraId="248FE7F3" w14:textId="77777777" w:rsidR="0017662B" w:rsidRPr="005E197B" w:rsidRDefault="0017662B" w:rsidP="00EF386A">
      <w:pPr>
        <w:tabs>
          <w:tab w:val="clear" w:pos="284"/>
          <w:tab w:val="left" w:pos="709"/>
        </w:tabs>
        <w:jc w:val="both"/>
        <w:rPr>
          <w:lang w:val="fr-FR"/>
        </w:rPr>
      </w:pPr>
    </w:p>
    <w:p w14:paraId="248FE7F4" w14:textId="77777777" w:rsidR="00F60345" w:rsidRPr="005E197B" w:rsidRDefault="00F60345" w:rsidP="00EF386A">
      <w:pPr>
        <w:tabs>
          <w:tab w:val="clear" w:pos="284"/>
          <w:tab w:val="left" w:pos="709"/>
        </w:tabs>
        <w:jc w:val="both"/>
        <w:rPr>
          <w:lang w:val="fr-FR"/>
        </w:rPr>
      </w:pPr>
    </w:p>
    <w:p w14:paraId="3BB784BE" w14:textId="77777777" w:rsidR="00EF386A" w:rsidRDefault="00EF386A">
      <w:pPr>
        <w:tabs>
          <w:tab w:val="clear" w:pos="284"/>
        </w:tabs>
        <w:spacing w:line="240" w:lineRule="auto"/>
        <w:rPr>
          <w:i/>
          <w:u w:val="single"/>
          <w:lang w:val="fr-FR"/>
        </w:rPr>
      </w:pPr>
      <w:r>
        <w:rPr>
          <w:i/>
          <w:u w:val="single"/>
          <w:lang w:val="fr-FR"/>
        </w:rPr>
        <w:br w:type="page"/>
      </w:r>
    </w:p>
    <w:p w14:paraId="248FE7F5" w14:textId="04408EEB" w:rsidR="007E65A4" w:rsidRPr="005E197B" w:rsidRDefault="001C4AF1" w:rsidP="00EF386A">
      <w:pPr>
        <w:pStyle w:val="ListParagraph"/>
        <w:numPr>
          <w:ilvl w:val="0"/>
          <w:numId w:val="42"/>
        </w:numPr>
        <w:jc w:val="both"/>
        <w:rPr>
          <w:u w:val="single"/>
          <w:lang w:val="fr-FR"/>
        </w:rPr>
      </w:pPr>
      <w:r w:rsidRPr="005E197B">
        <w:rPr>
          <w:i/>
          <w:u w:val="single"/>
          <w:lang w:val="fr-FR"/>
        </w:rPr>
        <w:lastRenderedPageBreak/>
        <w:t>Responsabilité quant à l’</w:t>
      </w:r>
      <w:r w:rsidR="00893023" w:rsidRPr="005E197B">
        <w:rPr>
          <w:i/>
          <w:u w:val="single"/>
          <w:lang w:val="fr-FR"/>
        </w:rPr>
        <w:t>exactitude des réponses</w:t>
      </w:r>
    </w:p>
    <w:p w14:paraId="248FE7F6" w14:textId="77777777" w:rsidR="007E65A4" w:rsidRPr="005E197B" w:rsidRDefault="007E65A4" w:rsidP="00EF386A">
      <w:pPr>
        <w:jc w:val="both"/>
        <w:rPr>
          <w:u w:val="single"/>
          <w:lang w:val="fr-FR"/>
        </w:rPr>
      </w:pPr>
    </w:p>
    <w:p w14:paraId="248FE7F7" w14:textId="77777777" w:rsidR="001C4AF1" w:rsidRPr="005E197B" w:rsidRDefault="001C4AF1" w:rsidP="00EF386A">
      <w:pPr>
        <w:spacing w:after="120"/>
        <w:jc w:val="both"/>
        <w:rPr>
          <w:lang w:val="fr-FR"/>
        </w:rPr>
      </w:pPr>
      <w:r w:rsidRPr="005E197B">
        <w:rPr>
          <w:lang w:val="fr-FR"/>
        </w:rPr>
        <w:t>La direction effective de l’établissement financier concerné porte la responsabilité ultime des réponses au questionnaire transmises à la Banque.</w:t>
      </w:r>
    </w:p>
    <w:p w14:paraId="248FE7F8" w14:textId="77777777" w:rsidR="005D42D1" w:rsidRPr="005E197B" w:rsidRDefault="00281E8C" w:rsidP="00EF386A">
      <w:pPr>
        <w:spacing w:after="120"/>
        <w:jc w:val="both"/>
        <w:rPr>
          <w:rFonts w:cs="Arial"/>
          <w:iCs/>
          <w:lang w:val="fr-FR" w:eastAsia="nl-BE"/>
        </w:rPr>
      </w:pPr>
      <w:r w:rsidRPr="005E197B">
        <w:rPr>
          <w:lang w:val="fr-FR"/>
        </w:rPr>
        <w:t>I</w:t>
      </w:r>
      <w:r w:rsidR="00CC2467" w:rsidRPr="005E197B">
        <w:rPr>
          <w:lang w:val="fr-FR"/>
        </w:rPr>
        <w:t>l</w:t>
      </w:r>
      <w:r w:rsidRPr="005E197B">
        <w:rPr>
          <w:lang w:val="fr-FR"/>
        </w:rPr>
        <w:t xml:space="preserve"> </w:t>
      </w:r>
      <w:r w:rsidR="00CC2467" w:rsidRPr="005E197B">
        <w:rPr>
          <w:lang w:val="fr-FR"/>
        </w:rPr>
        <w:t>est également rappelé que</w:t>
      </w:r>
      <w:r w:rsidRPr="005E197B">
        <w:rPr>
          <w:lang w:val="fr-FR"/>
        </w:rPr>
        <w:t xml:space="preserve"> </w:t>
      </w:r>
      <w:r w:rsidR="00CC2467" w:rsidRPr="005E197B">
        <w:rPr>
          <w:lang w:val="fr-FR"/>
        </w:rPr>
        <w:t>le responsable désigné au sein de tout établissement financier conformément</w:t>
      </w:r>
      <w:r w:rsidR="00D0120C" w:rsidRPr="005E197B">
        <w:rPr>
          <w:lang w:val="fr-FR"/>
        </w:rPr>
        <w:t xml:space="preserve"> à</w:t>
      </w:r>
      <w:r w:rsidR="00CC2467" w:rsidRPr="005E197B">
        <w:rPr>
          <w:lang w:val="fr-FR"/>
        </w:rPr>
        <w:t xml:space="preserve"> </w:t>
      </w:r>
      <w:r w:rsidR="00D0120C" w:rsidRPr="005E197B">
        <w:rPr>
          <w:lang w:val="fr-FR"/>
        </w:rPr>
        <w:t xml:space="preserve">l’article 18 de la loi du 11 janvier 1993 </w:t>
      </w:r>
      <w:r w:rsidRPr="005E197B">
        <w:rPr>
          <w:lang w:val="fr-FR"/>
        </w:rPr>
        <w:t>est principalement chargé</w:t>
      </w:r>
      <w:r w:rsidR="00D0120C" w:rsidRPr="005E197B">
        <w:rPr>
          <w:lang w:val="fr-FR"/>
        </w:rPr>
        <w:t>,</w:t>
      </w:r>
      <w:r w:rsidRPr="005E197B">
        <w:rPr>
          <w:lang w:val="fr-FR"/>
        </w:rPr>
        <w:t xml:space="preserve"> </w:t>
      </w:r>
      <w:r w:rsidR="00D0120C" w:rsidRPr="005E197B">
        <w:rPr>
          <w:lang w:val="fr-FR"/>
        </w:rPr>
        <w:t xml:space="preserve">en vertu de cette même disposition légale, </w:t>
      </w:r>
      <w:r w:rsidRPr="005E197B">
        <w:rPr>
          <w:lang w:val="fr-FR"/>
        </w:rPr>
        <w:t>non seulement d’analyser les transactions atypiques afin de déterminer si celles-ci doivent être considérées comme suspectes et être transmises à la Cellule de traitement des informations financières (CTIF)</w:t>
      </w:r>
      <w:r w:rsidR="007E65A4" w:rsidRPr="005E197B">
        <w:rPr>
          <w:lang w:val="fr-FR"/>
        </w:rPr>
        <w:t xml:space="preserve">, </w:t>
      </w:r>
      <w:r w:rsidRPr="005E197B">
        <w:rPr>
          <w:lang w:val="fr-FR"/>
        </w:rPr>
        <w:t xml:space="preserve">mais aussi de mettre en </w:t>
      </w:r>
      <w:r w:rsidRPr="005E197B">
        <w:rPr>
          <w:rFonts w:cs="Arial"/>
          <w:lang w:val="fr-FR"/>
        </w:rPr>
        <w:t>œ</w:t>
      </w:r>
      <w:r w:rsidRPr="005E197B">
        <w:rPr>
          <w:lang w:val="fr-FR"/>
        </w:rPr>
        <w:t>uvre les politiques et les procédures visées aux a</w:t>
      </w:r>
      <w:r w:rsidR="00E978FC" w:rsidRPr="005E197B">
        <w:rPr>
          <w:lang w:val="fr-FR"/>
        </w:rPr>
        <w:t>rticles 16 et </w:t>
      </w:r>
      <w:r w:rsidR="00C84609" w:rsidRPr="005E197B">
        <w:rPr>
          <w:lang w:val="fr-FR"/>
        </w:rPr>
        <w:t>17 de la</w:t>
      </w:r>
      <w:r w:rsidRPr="005E197B">
        <w:rPr>
          <w:lang w:val="fr-FR"/>
        </w:rPr>
        <w:t xml:space="preserve"> loi</w:t>
      </w:r>
      <w:r w:rsidR="007E65A4" w:rsidRPr="005E197B">
        <w:rPr>
          <w:lang w:val="fr-FR"/>
        </w:rPr>
        <w:t xml:space="preserve">. </w:t>
      </w:r>
      <w:r w:rsidRPr="005E197B">
        <w:rPr>
          <w:lang w:val="fr-FR"/>
        </w:rPr>
        <w:t xml:space="preserve">Sont ici particulièrement visées les mesures et les procédures internes de </w:t>
      </w:r>
      <w:r w:rsidR="00DC232C" w:rsidRPr="005E197B">
        <w:rPr>
          <w:lang w:val="fr-FR"/>
        </w:rPr>
        <w:t>contrôl</w:t>
      </w:r>
      <w:r w:rsidR="00D0120C" w:rsidRPr="005E197B">
        <w:rPr>
          <w:lang w:val="fr-FR"/>
        </w:rPr>
        <w:t>e nécessaires pour assurer</w:t>
      </w:r>
      <w:r w:rsidR="00DC232C" w:rsidRPr="005E197B">
        <w:rPr>
          <w:lang w:val="fr-FR"/>
        </w:rPr>
        <w:t xml:space="preserve"> le respect de la loi et qui sont abordées dans le questionnaire</w:t>
      </w:r>
      <w:r w:rsidR="00C84609" w:rsidRPr="005E197B">
        <w:rPr>
          <w:lang w:val="fr-FR"/>
        </w:rPr>
        <w:t>.</w:t>
      </w:r>
      <w:r w:rsidR="007E65A4" w:rsidRPr="005E197B">
        <w:rPr>
          <w:lang w:val="fr-FR"/>
        </w:rPr>
        <w:t xml:space="preserve"> </w:t>
      </w:r>
      <w:r w:rsidR="00C84609" w:rsidRPr="005E197B">
        <w:rPr>
          <w:lang w:val="fr-FR"/>
        </w:rPr>
        <w:t>L’article</w:t>
      </w:r>
      <w:r w:rsidR="00E978FC" w:rsidRPr="005E197B">
        <w:rPr>
          <w:lang w:val="fr-FR"/>
        </w:rPr>
        <w:t> </w:t>
      </w:r>
      <w:r w:rsidR="007E65A4" w:rsidRPr="005E197B">
        <w:rPr>
          <w:lang w:val="fr-FR"/>
        </w:rPr>
        <w:t xml:space="preserve">35, </w:t>
      </w:r>
      <w:r w:rsidR="00C84609" w:rsidRPr="005E197B">
        <w:rPr>
          <w:lang w:val="fr-FR"/>
        </w:rPr>
        <w:t>paragraphe</w:t>
      </w:r>
      <w:r w:rsidR="00E978FC" w:rsidRPr="005E197B">
        <w:rPr>
          <w:lang w:val="fr-FR"/>
        </w:rPr>
        <w:t> </w:t>
      </w:r>
      <w:r w:rsidR="007E65A4" w:rsidRPr="005E197B">
        <w:rPr>
          <w:lang w:val="fr-FR"/>
        </w:rPr>
        <w:t xml:space="preserve">3, </w:t>
      </w:r>
      <w:r w:rsidR="00E978FC" w:rsidRPr="005E197B">
        <w:rPr>
          <w:lang w:val="fr-FR"/>
        </w:rPr>
        <w:t>alinéa </w:t>
      </w:r>
      <w:r w:rsidR="00C84609" w:rsidRPr="005E197B">
        <w:rPr>
          <w:lang w:val="fr-FR"/>
        </w:rPr>
        <w:t>1</w:t>
      </w:r>
      <w:r w:rsidR="00C84609" w:rsidRPr="005E197B">
        <w:rPr>
          <w:vertAlign w:val="superscript"/>
          <w:lang w:val="fr-FR"/>
        </w:rPr>
        <w:t>e</w:t>
      </w:r>
      <w:r w:rsidR="007E65A4" w:rsidRPr="005E197B">
        <w:rPr>
          <w:vertAlign w:val="superscript"/>
          <w:lang w:val="fr-FR"/>
        </w:rPr>
        <w:t>r</w:t>
      </w:r>
      <w:r w:rsidR="0038789B">
        <w:rPr>
          <w:lang w:val="fr-FR"/>
        </w:rPr>
        <w:t>,</w:t>
      </w:r>
      <w:r w:rsidR="00E978FC" w:rsidRPr="005E197B">
        <w:rPr>
          <w:lang w:val="fr-FR"/>
        </w:rPr>
        <w:t xml:space="preserve"> du règlement du 23 février </w:t>
      </w:r>
      <w:r w:rsidR="00C84609" w:rsidRPr="005E197B">
        <w:rPr>
          <w:lang w:val="fr-FR"/>
        </w:rPr>
        <w:t>2010 de la CBFA dispose de même que ce responsable doit veiller, de manière générale, au respect par l’établissement de l’ensemble de ses obligations de pr</w:t>
      </w:r>
      <w:r w:rsidR="005D42D1" w:rsidRPr="005E197B">
        <w:rPr>
          <w:lang w:val="fr-FR"/>
        </w:rPr>
        <w:t>évention du blanchiment de capi</w:t>
      </w:r>
      <w:r w:rsidR="00C84609" w:rsidRPr="005E197B">
        <w:rPr>
          <w:lang w:val="fr-FR"/>
        </w:rPr>
        <w:t xml:space="preserve">taux et du financement du terrorisme, et, plus spécifiquement, à la mise en place de l’organisation administrative et des mesures de contrôle interne </w:t>
      </w:r>
      <w:r w:rsidR="005D42D1" w:rsidRPr="005E197B">
        <w:rPr>
          <w:lang w:val="fr-FR"/>
        </w:rPr>
        <w:t xml:space="preserve">adéquates </w:t>
      </w:r>
      <w:r w:rsidR="00C84609" w:rsidRPr="005E197B">
        <w:rPr>
          <w:lang w:val="fr-FR"/>
        </w:rPr>
        <w:t xml:space="preserve">requises </w:t>
      </w:r>
      <w:r w:rsidR="000E20C9" w:rsidRPr="005E197B">
        <w:rPr>
          <w:lang w:val="fr-FR"/>
        </w:rPr>
        <w:t>en vertu de l’</w:t>
      </w:r>
      <w:r w:rsidR="00E978FC" w:rsidRPr="005E197B">
        <w:rPr>
          <w:lang w:val="fr-FR"/>
        </w:rPr>
        <w:t>article </w:t>
      </w:r>
      <w:r w:rsidR="005D42D1" w:rsidRPr="005E197B">
        <w:rPr>
          <w:lang w:val="fr-FR"/>
        </w:rPr>
        <w:t>16 de la loi</w:t>
      </w:r>
      <w:r w:rsidR="007E65A4" w:rsidRPr="005E197B">
        <w:rPr>
          <w:rFonts w:cs="Arial"/>
          <w:iCs/>
          <w:lang w:val="fr-FR" w:eastAsia="nl-BE"/>
        </w:rPr>
        <w:t xml:space="preserve">. </w:t>
      </w:r>
      <w:r w:rsidR="005D42D1" w:rsidRPr="005E197B">
        <w:rPr>
          <w:rFonts w:cs="Arial"/>
          <w:iCs/>
          <w:lang w:val="fr-FR" w:eastAsia="nl-BE"/>
        </w:rPr>
        <w:t xml:space="preserve">Ce responsable doit également disposer du pouvoir de proposer de sa propre initiative à la direction effective de l’établissement toute mesure nécessaire ou utile à cet effet, en ce compris la libération des moyens requis. </w:t>
      </w:r>
    </w:p>
    <w:p w14:paraId="248FE7F9" w14:textId="77777777" w:rsidR="007E65A4" w:rsidRPr="005E197B" w:rsidRDefault="00893023" w:rsidP="00EF386A">
      <w:pPr>
        <w:spacing w:after="120"/>
        <w:jc w:val="both"/>
        <w:rPr>
          <w:lang w:val="fr-FR"/>
        </w:rPr>
      </w:pPr>
      <w:r w:rsidRPr="005E197B">
        <w:rPr>
          <w:lang w:val="fr-FR"/>
        </w:rPr>
        <w:t>La Banque attend donc de la direction effective des établissements financiers qu’elle décide</w:t>
      </w:r>
      <w:r w:rsidR="00D0120C" w:rsidRPr="005E197B">
        <w:rPr>
          <w:lang w:val="fr-FR"/>
        </w:rPr>
        <w:t>,</w:t>
      </w:r>
      <w:r w:rsidRPr="005E197B">
        <w:rPr>
          <w:lang w:val="fr-FR"/>
        </w:rPr>
        <w:t xml:space="preserve"> </w:t>
      </w:r>
      <w:r w:rsidR="00D0120C" w:rsidRPr="005E197B">
        <w:rPr>
          <w:lang w:val="fr-FR"/>
        </w:rPr>
        <w:t xml:space="preserve">sur proposition du responsable de la prévention du blanchiment de capitaux et du financement du terrorisme, </w:t>
      </w:r>
      <w:r w:rsidRPr="005E197B">
        <w:rPr>
          <w:lang w:val="fr-FR"/>
        </w:rPr>
        <w:t xml:space="preserve">des réponses </w:t>
      </w:r>
      <w:r w:rsidR="00D0120C" w:rsidRPr="005E197B">
        <w:rPr>
          <w:lang w:val="fr-FR"/>
        </w:rPr>
        <w:t>à apporter au questionnaire</w:t>
      </w:r>
      <w:r w:rsidR="007E65A4" w:rsidRPr="005E197B">
        <w:rPr>
          <w:lang w:val="fr-FR"/>
        </w:rPr>
        <w:t xml:space="preserve">. </w:t>
      </w:r>
    </w:p>
    <w:p w14:paraId="248FE7FA" w14:textId="77777777" w:rsidR="00071546" w:rsidRPr="005E197B" w:rsidRDefault="00893023" w:rsidP="00EF386A">
      <w:pPr>
        <w:spacing w:after="120"/>
        <w:jc w:val="both"/>
        <w:rPr>
          <w:b/>
          <w:color w:val="0070C0"/>
          <w:u w:val="single"/>
          <w:lang w:val="fr-FR"/>
        </w:rPr>
      </w:pPr>
      <w:r w:rsidRPr="005E197B">
        <w:rPr>
          <w:lang w:val="fr-FR"/>
        </w:rPr>
        <w:t xml:space="preserve">La Banque ne manquera pas, lors d’actions de contrôle ciblées ou d’inspections sur site, de vérifier l’exactitude et la qualité des réponses fournies par les établissements. </w:t>
      </w:r>
    </w:p>
    <w:p w14:paraId="248FE7FB" w14:textId="77777777" w:rsidR="007E65A4" w:rsidRPr="005E197B" w:rsidRDefault="007E65A4" w:rsidP="00EF386A">
      <w:pPr>
        <w:jc w:val="both"/>
        <w:rPr>
          <w:u w:val="single"/>
          <w:lang w:val="fr-FR"/>
        </w:rPr>
      </w:pPr>
    </w:p>
    <w:p w14:paraId="248FE7FC" w14:textId="77777777" w:rsidR="00186A23" w:rsidRPr="005E197B" w:rsidRDefault="00186A23" w:rsidP="00EF386A">
      <w:pPr>
        <w:jc w:val="center"/>
        <w:rPr>
          <w:lang w:val="fr-FR"/>
        </w:rPr>
      </w:pPr>
      <w:r w:rsidRPr="005E197B">
        <w:rPr>
          <w:lang w:val="fr-FR"/>
        </w:rPr>
        <w:t>* *</w:t>
      </w:r>
    </w:p>
    <w:p w14:paraId="248FE7FD" w14:textId="77777777" w:rsidR="00186A23" w:rsidRPr="005E197B" w:rsidRDefault="00186A23" w:rsidP="00EF386A">
      <w:pPr>
        <w:jc w:val="center"/>
        <w:rPr>
          <w:lang w:val="fr-FR"/>
        </w:rPr>
      </w:pPr>
      <w:r w:rsidRPr="005E197B">
        <w:rPr>
          <w:lang w:val="fr-FR"/>
        </w:rPr>
        <w:t>*</w:t>
      </w:r>
    </w:p>
    <w:p w14:paraId="248FE7FE" w14:textId="77777777" w:rsidR="00186A23" w:rsidRPr="005E197B" w:rsidRDefault="00186A23" w:rsidP="00EF386A">
      <w:pPr>
        <w:jc w:val="both"/>
        <w:rPr>
          <w:u w:val="single"/>
          <w:lang w:val="fr-FR"/>
        </w:rPr>
      </w:pPr>
    </w:p>
    <w:p w14:paraId="248FE7FF" w14:textId="77777777" w:rsidR="00186A23" w:rsidRPr="005E197B" w:rsidRDefault="00186A23" w:rsidP="00EF386A">
      <w:pPr>
        <w:jc w:val="both"/>
        <w:rPr>
          <w:u w:val="single"/>
          <w:lang w:val="fr-FR"/>
        </w:rPr>
      </w:pPr>
    </w:p>
    <w:p w14:paraId="248FE800" w14:textId="77777777" w:rsidR="00186A23" w:rsidRPr="005E197B" w:rsidRDefault="00186A23" w:rsidP="00EF386A">
      <w:pPr>
        <w:jc w:val="both"/>
        <w:rPr>
          <w:u w:val="single"/>
          <w:lang w:val="fr-FR"/>
        </w:rPr>
      </w:pPr>
    </w:p>
    <w:p w14:paraId="248FE801" w14:textId="77777777" w:rsidR="00186A23" w:rsidRDefault="0009763D" w:rsidP="00EF386A">
      <w:pPr>
        <w:spacing w:after="120"/>
        <w:jc w:val="both"/>
        <w:rPr>
          <w:lang w:val="fr-FR"/>
        </w:rPr>
      </w:pPr>
      <w:r w:rsidRPr="005E197B">
        <w:rPr>
          <w:lang w:val="fr-FR"/>
        </w:rPr>
        <w:t>Je vous prie de croire, Madame, Monsieur, en l’assurance de ma considération distinguée.</w:t>
      </w:r>
    </w:p>
    <w:p w14:paraId="783D6E90" w14:textId="77777777" w:rsidR="00EF386A" w:rsidRPr="005E197B" w:rsidRDefault="00EF386A" w:rsidP="00EF386A">
      <w:pPr>
        <w:spacing w:after="120"/>
        <w:jc w:val="both"/>
        <w:rPr>
          <w:lang w:val="fr-FR"/>
        </w:rPr>
      </w:pPr>
    </w:p>
    <w:p w14:paraId="248FE802" w14:textId="77777777" w:rsidR="00186A23" w:rsidRPr="005E197B" w:rsidRDefault="00186A23" w:rsidP="00EF386A">
      <w:pPr>
        <w:spacing w:after="120"/>
        <w:jc w:val="both"/>
        <w:rPr>
          <w:lang w:val="fr-FR"/>
        </w:rPr>
      </w:pPr>
    </w:p>
    <w:p w14:paraId="248FE803" w14:textId="77777777" w:rsidR="00186A23" w:rsidRPr="005E197B" w:rsidRDefault="00186A23" w:rsidP="00EF386A">
      <w:pPr>
        <w:spacing w:after="120"/>
        <w:jc w:val="both"/>
        <w:rPr>
          <w:lang w:val="fr-FR"/>
        </w:rPr>
      </w:pPr>
    </w:p>
    <w:p w14:paraId="248FE804" w14:textId="77777777" w:rsidR="00186A23" w:rsidRPr="005E197B" w:rsidRDefault="00186A23" w:rsidP="00EF386A">
      <w:pPr>
        <w:jc w:val="both"/>
        <w:rPr>
          <w:lang w:val="fr-FR"/>
        </w:rPr>
      </w:pPr>
      <w:r w:rsidRPr="005E197B">
        <w:rPr>
          <w:lang w:val="fr-FR"/>
        </w:rPr>
        <w:t>Jan Smets</w:t>
      </w:r>
    </w:p>
    <w:p w14:paraId="248FE805" w14:textId="77777777" w:rsidR="00186A23" w:rsidRPr="005E197B" w:rsidRDefault="00186A23" w:rsidP="00EF386A">
      <w:pPr>
        <w:spacing w:after="120"/>
        <w:jc w:val="both"/>
        <w:rPr>
          <w:lang w:val="fr-FR"/>
        </w:rPr>
      </w:pPr>
      <w:r w:rsidRPr="005E197B">
        <w:rPr>
          <w:lang w:val="fr-FR"/>
        </w:rPr>
        <w:t>Gouverneur</w:t>
      </w:r>
    </w:p>
    <w:p w14:paraId="248FE806" w14:textId="77777777" w:rsidR="00BC6E23" w:rsidRPr="005E197B" w:rsidRDefault="0009763D" w:rsidP="00EF386A">
      <w:pPr>
        <w:spacing w:before="240" w:after="120"/>
        <w:jc w:val="both"/>
        <w:rPr>
          <w:i/>
          <w:lang w:val="fr-FR"/>
        </w:rPr>
      </w:pPr>
      <w:r w:rsidRPr="005E197B">
        <w:rPr>
          <w:i/>
          <w:lang w:val="fr-FR"/>
        </w:rPr>
        <w:t>Annexes</w:t>
      </w:r>
      <w:r w:rsidR="00BC6E23" w:rsidRPr="005E197B">
        <w:rPr>
          <w:i/>
          <w:lang w:val="fr-FR"/>
        </w:rPr>
        <w:t xml:space="preserve"> (5) – </w:t>
      </w:r>
      <w:r w:rsidRPr="005E197B">
        <w:rPr>
          <w:i/>
          <w:lang w:val="fr-FR"/>
        </w:rPr>
        <w:t>uniquement disponibles sur</w:t>
      </w:r>
      <w:r w:rsidR="00BC6E23" w:rsidRPr="005E197B">
        <w:rPr>
          <w:i/>
          <w:lang w:val="fr-FR"/>
        </w:rPr>
        <w:t xml:space="preserve"> </w:t>
      </w:r>
      <w:hyperlink r:id="rId18" w:history="1">
        <w:r w:rsidR="00BC6E23" w:rsidRPr="005E197B">
          <w:rPr>
            <w:rStyle w:val="Hyperlink"/>
            <w:i/>
            <w:lang w:val="fr-FR"/>
          </w:rPr>
          <w:t>www.nbb.be</w:t>
        </w:r>
      </w:hyperlink>
      <w:r w:rsidRPr="005E197B">
        <w:rPr>
          <w:rStyle w:val="Hyperlink"/>
          <w:i/>
          <w:u w:val="none"/>
          <w:lang w:val="fr-FR"/>
        </w:rPr>
        <w:t> </w:t>
      </w:r>
      <w:r w:rsidR="00BC6E23" w:rsidRPr="005E197B">
        <w:rPr>
          <w:i/>
          <w:lang w:val="fr-FR"/>
        </w:rPr>
        <w:t>:</w:t>
      </w:r>
    </w:p>
    <w:p w14:paraId="248FE807" w14:textId="77777777" w:rsidR="00BC6E23" w:rsidRPr="005E197B" w:rsidRDefault="0009763D" w:rsidP="00EF386A">
      <w:pPr>
        <w:pStyle w:val="ListParagraph"/>
        <w:numPr>
          <w:ilvl w:val="0"/>
          <w:numId w:val="34"/>
        </w:numPr>
        <w:spacing w:before="240" w:after="120"/>
        <w:jc w:val="both"/>
        <w:rPr>
          <w:i/>
          <w:lang w:val="fr-FR"/>
        </w:rPr>
      </w:pPr>
      <w:r w:rsidRPr="005E197B">
        <w:rPr>
          <w:i/>
          <w:lang w:val="fr-FR"/>
        </w:rPr>
        <w:t>Questionnaire destiné aux établissements de crédit</w:t>
      </w:r>
      <w:r w:rsidR="00BC6E23" w:rsidRPr="005E197B">
        <w:rPr>
          <w:i/>
          <w:lang w:val="fr-FR"/>
        </w:rPr>
        <w:t xml:space="preserve">; </w:t>
      </w:r>
    </w:p>
    <w:p w14:paraId="248FE808" w14:textId="77777777" w:rsidR="00BC6E23" w:rsidRPr="005E197B" w:rsidRDefault="0009763D" w:rsidP="00EF386A">
      <w:pPr>
        <w:pStyle w:val="ListParagraph"/>
        <w:numPr>
          <w:ilvl w:val="0"/>
          <w:numId w:val="34"/>
        </w:numPr>
        <w:spacing w:before="240" w:after="120"/>
        <w:jc w:val="both"/>
        <w:rPr>
          <w:i/>
          <w:lang w:val="fr-FR"/>
        </w:rPr>
      </w:pPr>
      <w:r w:rsidRPr="005E197B">
        <w:rPr>
          <w:i/>
          <w:lang w:val="fr-FR"/>
        </w:rPr>
        <w:t>Questionnaire destiné aux entreprises d’assurance-vie</w:t>
      </w:r>
      <w:r w:rsidR="00BC6E23" w:rsidRPr="005E197B">
        <w:rPr>
          <w:i/>
          <w:lang w:val="fr-FR"/>
        </w:rPr>
        <w:t>;</w:t>
      </w:r>
    </w:p>
    <w:p w14:paraId="248FE809" w14:textId="77777777" w:rsidR="00186A23" w:rsidRPr="005E197B" w:rsidRDefault="0009763D" w:rsidP="00EF386A">
      <w:pPr>
        <w:pStyle w:val="ListParagraph"/>
        <w:numPr>
          <w:ilvl w:val="0"/>
          <w:numId w:val="34"/>
        </w:numPr>
        <w:spacing w:before="240" w:after="120"/>
        <w:jc w:val="both"/>
        <w:rPr>
          <w:i/>
          <w:lang w:val="fr-FR"/>
        </w:rPr>
      </w:pPr>
      <w:r w:rsidRPr="005E197B">
        <w:rPr>
          <w:i/>
          <w:lang w:val="fr-FR"/>
        </w:rPr>
        <w:t>Questionnaire destiné aux sociétés de bourse</w:t>
      </w:r>
      <w:r w:rsidR="00BC6E23" w:rsidRPr="005E197B">
        <w:rPr>
          <w:i/>
          <w:lang w:val="fr-FR"/>
        </w:rPr>
        <w:t>;</w:t>
      </w:r>
    </w:p>
    <w:p w14:paraId="248FE80A" w14:textId="77777777" w:rsidR="00BC6E23" w:rsidRPr="005E197B" w:rsidRDefault="0009763D" w:rsidP="00EF386A">
      <w:pPr>
        <w:pStyle w:val="ListParagraph"/>
        <w:numPr>
          <w:ilvl w:val="0"/>
          <w:numId w:val="34"/>
        </w:numPr>
        <w:spacing w:before="240" w:after="120"/>
        <w:jc w:val="both"/>
        <w:rPr>
          <w:i/>
          <w:lang w:val="fr-FR"/>
        </w:rPr>
      </w:pPr>
      <w:r w:rsidRPr="005E197B">
        <w:rPr>
          <w:i/>
          <w:lang w:val="fr-FR"/>
        </w:rPr>
        <w:t xml:space="preserve">Questionnaire destiné aux établissements de paiements et aux établissements de monnaie électronique; </w:t>
      </w:r>
    </w:p>
    <w:p w14:paraId="248FE80B" w14:textId="77777777" w:rsidR="00BC6E23" w:rsidRPr="005E197B" w:rsidRDefault="00BC6E23" w:rsidP="00EF386A">
      <w:pPr>
        <w:pStyle w:val="ListParagraph"/>
        <w:numPr>
          <w:ilvl w:val="0"/>
          <w:numId w:val="34"/>
        </w:numPr>
        <w:spacing w:before="240" w:after="120"/>
        <w:jc w:val="both"/>
        <w:rPr>
          <w:i/>
          <w:lang w:val="fr-FR"/>
        </w:rPr>
      </w:pPr>
      <w:r w:rsidRPr="005E197B">
        <w:rPr>
          <w:i/>
          <w:lang w:val="fr-FR"/>
        </w:rPr>
        <w:t>L</w:t>
      </w:r>
      <w:r w:rsidR="0009763D" w:rsidRPr="005E197B">
        <w:rPr>
          <w:i/>
          <w:lang w:val="fr-FR"/>
        </w:rPr>
        <w:t xml:space="preserve">iste des pays </w:t>
      </w:r>
      <w:r w:rsidR="004015D2" w:rsidRPr="005E197B">
        <w:rPr>
          <w:i/>
          <w:lang w:val="fr-FR"/>
        </w:rPr>
        <w:t xml:space="preserve">à </w:t>
      </w:r>
      <w:r w:rsidR="0038789B">
        <w:rPr>
          <w:i/>
          <w:lang w:val="fr-FR"/>
        </w:rPr>
        <w:t xml:space="preserve">haut </w:t>
      </w:r>
      <w:r w:rsidR="004015D2" w:rsidRPr="005E197B">
        <w:rPr>
          <w:i/>
          <w:lang w:val="fr-FR"/>
        </w:rPr>
        <w:t>risque, des pays touchés par des sanctions de l’UE et des pays offshore (annexe 1 aux questionnaires mentionnés ci-dessus).</w:t>
      </w:r>
    </w:p>
    <w:p w14:paraId="248FE80C" w14:textId="77777777" w:rsidR="007E65A4" w:rsidRPr="005E197B" w:rsidRDefault="007E65A4" w:rsidP="00EF386A">
      <w:pPr>
        <w:jc w:val="both"/>
        <w:rPr>
          <w:lang w:val="fr-FR"/>
        </w:rPr>
      </w:pPr>
    </w:p>
    <w:sectPr w:rsidR="007E65A4" w:rsidRPr="005E197B" w:rsidSect="00F44BFC">
      <w:headerReference w:type="even" r:id="rId19"/>
      <w:headerReference w:type="default" r:id="rId20"/>
      <w:footerReference w:type="even" r:id="rId21"/>
      <w:footerReference w:type="default" r:id="rId22"/>
      <w:footerReference w:type="first" r:id="rId23"/>
      <w:footnotePr>
        <w:numRestart w:val="eachSect"/>
      </w:footnotePr>
      <w:pgSz w:w="11907" w:h="16840" w:code="9"/>
      <w:pgMar w:top="510" w:right="1134" w:bottom="1361" w:left="1418" w:header="397" w:footer="1191"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FE815" w14:textId="77777777" w:rsidR="004C5D8F" w:rsidRDefault="004C5D8F">
      <w:r>
        <w:separator/>
      </w:r>
    </w:p>
  </w:endnote>
  <w:endnote w:type="continuationSeparator" w:id="0">
    <w:p w14:paraId="248FE816" w14:textId="77777777" w:rsidR="004C5D8F" w:rsidRDefault="004C5D8F">
      <w:r>
        <w:continuationSeparator/>
      </w:r>
    </w:p>
  </w:endnote>
  <w:endnote w:type="continuationNotice" w:id="1">
    <w:p w14:paraId="248FE817" w14:textId="77777777" w:rsidR="004C5D8F" w:rsidRDefault="004C5D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FE81C" w14:textId="77777777" w:rsidR="004C5D8F" w:rsidRPr="0005400B" w:rsidRDefault="004C5D8F" w:rsidP="00E87276">
    <w:pPr>
      <w:pStyle w:val="Footer"/>
      <w:pBdr>
        <w:top w:val="single" w:sz="4" w:space="1" w:color="auto"/>
      </w:pBdr>
      <w:rPr>
        <w:b/>
        <w:sz w:val="16"/>
        <w:szCs w:val="16"/>
        <w:lang w:val="nl-BE"/>
      </w:rPr>
    </w:pPr>
    <w:r>
      <w:rPr>
        <w:b/>
        <w:sz w:val="16"/>
        <w:szCs w:val="16"/>
        <w:lang w:val="nl-BE"/>
      </w:rPr>
      <w:t>Circulaire</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sidR="00AB0AF3">
      <w:rPr>
        <w:b/>
        <w:noProof/>
        <w:sz w:val="16"/>
        <w:szCs w:val="16"/>
        <w:lang w:val="nl-BE"/>
      </w:rPr>
      <w:t>8</w:t>
    </w:r>
    <w:r>
      <w:rPr>
        <w:b/>
        <w:sz w:val="16"/>
        <w:szCs w:val="16"/>
        <w:lang w:val="nl-BE"/>
      </w:rPr>
      <w:fldChar w:fldCharType="end"/>
    </w:r>
    <w:r>
      <w:rPr>
        <w:b/>
        <w:sz w:val="16"/>
        <w:szCs w:val="16"/>
        <w:lang w:val="nl-BE"/>
      </w:rPr>
      <w:tab/>
    </w:r>
    <w:r>
      <w:rPr>
        <w:sz w:val="14"/>
        <w:szCs w:val="16"/>
        <w:lang w:val="nl-BE"/>
      </w:rPr>
      <w:t>NBB_2017_XXXXX</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XX XXXXXX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FE81D" w14:textId="60A66B83" w:rsidR="004C5D8F" w:rsidRPr="0005400B" w:rsidRDefault="004C5D8F" w:rsidP="00F64E38">
    <w:pPr>
      <w:pStyle w:val="Footer"/>
      <w:pBdr>
        <w:top w:val="single" w:sz="4" w:space="1" w:color="auto"/>
      </w:pBdr>
      <w:rPr>
        <w:b/>
        <w:sz w:val="16"/>
        <w:szCs w:val="14"/>
        <w:lang w:val="nl-BE"/>
      </w:rPr>
    </w:pPr>
    <w:r>
      <w:rPr>
        <w:b/>
        <w:sz w:val="16"/>
        <w:szCs w:val="14"/>
        <w:lang w:val="nl-BE"/>
      </w:rPr>
      <w:tab/>
    </w:r>
    <w:r w:rsidR="00EF386A" w:rsidRPr="00EF386A">
      <w:rPr>
        <w:sz w:val="14"/>
        <w:szCs w:val="14"/>
        <w:lang w:val="nl-BE"/>
      </w:rPr>
      <w:t>NBB_2017_15</w:t>
    </w:r>
    <w:r w:rsidR="00EF386A" w:rsidRPr="00EF386A">
      <w:rPr>
        <w:rFonts w:cs="Arial"/>
        <w:sz w:val="14"/>
        <w:szCs w:val="14"/>
        <w:lang w:val="nl-BE"/>
      </w:rPr>
      <w:t> </w:t>
    </w:r>
    <w:r w:rsidR="00EF386A" w:rsidRPr="00EF386A">
      <w:rPr>
        <w:rFonts w:cs="Arial"/>
        <w:sz w:val="14"/>
        <w:szCs w:val="14"/>
        <w:lang w:val="nl-BE"/>
      </w:rPr>
      <w:t>–</w:t>
    </w:r>
    <w:r w:rsidR="00EF386A" w:rsidRPr="00EF386A">
      <w:rPr>
        <w:rFonts w:cs="Arial"/>
        <w:sz w:val="14"/>
        <w:szCs w:val="14"/>
        <w:lang w:val="nl-BE"/>
      </w:rPr>
      <w:t> </w:t>
    </w:r>
    <w:r w:rsidR="00EF386A" w:rsidRPr="00EF386A">
      <w:rPr>
        <w:rFonts w:cs="Arial"/>
        <w:sz w:val="14"/>
        <w:szCs w:val="14"/>
        <w:lang w:val="nl-BE"/>
      </w:rPr>
      <w:t xml:space="preserve">24 </w:t>
    </w:r>
    <w:proofErr w:type="spellStart"/>
    <w:r w:rsidR="00EF386A" w:rsidRPr="00EF386A">
      <w:rPr>
        <w:rFonts w:cs="Arial"/>
        <w:sz w:val="14"/>
        <w:szCs w:val="14"/>
        <w:lang w:val="nl-BE"/>
      </w:rPr>
      <w:t>avril</w:t>
    </w:r>
    <w:proofErr w:type="spellEnd"/>
    <w:r w:rsidR="00EF386A" w:rsidRPr="00EF386A">
      <w:rPr>
        <w:rFonts w:cs="Arial"/>
        <w:sz w:val="14"/>
        <w:szCs w:val="14"/>
        <w:lang w:val="nl-BE"/>
      </w:rPr>
      <w:t xml:space="preserve"> </w:t>
    </w:r>
    <w:r w:rsidR="00EF386A" w:rsidRPr="00EF386A">
      <w:rPr>
        <w:sz w:val="14"/>
        <w:szCs w:val="14"/>
        <w:lang w:val="nl-BE"/>
      </w:rPr>
      <w:t>2017</w:t>
    </w:r>
    <w:r>
      <w:rPr>
        <w:b/>
        <w:sz w:val="16"/>
        <w:szCs w:val="14"/>
        <w:lang w:val="nl-BE"/>
      </w:rPr>
      <w:tab/>
      <w:t>Circulaire</w:t>
    </w:r>
    <w:r>
      <w:rPr>
        <w:rFonts w:cs="Arial"/>
        <w:b/>
        <w:sz w:val="16"/>
        <w:szCs w:val="14"/>
        <w:lang w:val="nl-BE"/>
      </w:rPr>
      <w:t> </w:t>
    </w:r>
    <w:r>
      <w:rPr>
        <w:rFonts w:cs="Arial"/>
        <w:b/>
        <w:sz w:val="16"/>
        <w:szCs w:val="14"/>
        <w:lang w:val="nl-BE"/>
      </w:rPr>
      <w:t>–</w:t>
    </w:r>
    <w:r>
      <w:rPr>
        <w:rFonts w:cs="Arial"/>
        <w:b/>
        <w:sz w:val="16"/>
        <w:szCs w:val="14"/>
        <w:lang w:val="nl-BE"/>
      </w:rPr>
      <w:t> </w:t>
    </w:r>
    <w:r>
      <w:rPr>
        <w:b/>
        <w:sz w:val="16"/>
        <w:szCs w:val="14"/>
        <w:lang w:val="nl-BE"/>
      </w:rPr>
      <w:t xml:space="preserve">p. </w:t>
    </w:r>
    <w:r>
      <w:rPr>
        <w:b/>
        <w:sz w:val="16"/>
        <w:szCs w:val="14"/>
        <w:lang w:val="nl-BE"/>
      </w:rPr>
      <w:fldChar w:fldCharType="begin"/>
    </w:r>
    <w:r>
      <w:rPr>
        <w:b/>
        <w:sz w:val="16"/>
        <w:szCs w:val="14"/>
        <w:lang w:val="nl-BE"/>
      </w:rPr>
      <w:instrText xml:space="preserve"> PAGE   </w:instrText>
    </w:r>
    <w:r>
      <w:rPr>
        <w:b/>
        <w:sz w:val="16"/>
        <w:szCs w:val="14"/>
        <w:lang w:val="nl-BE"/>
      </w:rPr>
      <w:fldChar w:fldCharType="separate"/>
    </w:r>
    <w:r w:rsidR="00AB0AF3">
      <w:rPr>
        <w:b/>
        <w:noProof/>
        <w:sz w:val="16"/>
        <w:szCs w:val="14"/>
        <w:lang w:val="nl-BE"/>
      </w:rPr>
      <w:t>1</w:t>
    </w:r>
    <w:r>
      <w:rPr>
        <w:b/>
        <w:sz w:val="16"/>
        <w:szCs w:val="14"/>
        <w:lang w:val="nl-BE"/>
      </w:rPr>
      <w:fldChar w:fldCharType="end"/>
    </w:r>
    <w:r>
      <w:rPr>
        <w:b/>
        <w:sz w:val="16"/>
        <w:szCs w:val="14"/>
        <w:lang w:val="nl-BE"/>
      </w:rPr>
      <w:t>/</w:t>
    </w:r>
    <w:r>
      <w:rPr>
        <w:b/>
        <w:sz w:val="16"/>
        <w:szCs w:val="14"/>
        <w:lang w:val="nl-BE"/>
      </w:rPr>
      <w:fldChar w:fldCharType="begin"/>
    </w:r>
    <w:r>
      <w:rPr>
        <w:b/>
        <w:sz w:val="16"/>
        <w:szCs w:val="14"/>
        <w:lang w:val="nl-BE"/>
      </w:rPr>
      <w:instrText xml:space="preserve"> NUMPAGES   </w:instrText>
    </w:r>
    <w:r>
      <w:rPr>
        <w:b/>
        <w:sz w:val="16"/>
        <w:szCs w:val="14"/>
        <w:lang w:val="nl-BE"/>
      </w:rPr>
      <w:fldChar w:fldCharType="separate"/>
    </w:r>
    <w:r w:rsidR="00AB0AF3">
      <w:rPr>
        <w:b/>
        <w:noProof/>
        <w:sz w:val="16"/>
        <w:szCs w:val="14"/>
        <w:lang w:val="nl-BE"/>
      </w:rPr>
      <w:t>8</w:t>
    </w:r>
    <w:r>
      <w:rPr>
        <w:b/>
        <w:sz w:val="16"/>
        <w:szCs w:val="14"/>
        <w:lang w:val="nl-B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FE81E" w14:textId="77777777" w:rsidR="004C5D8F" w:rsidRPr="0005400B" w:rsidRDefault="004C5D8F" w:rsidP="00CB2202">
    <w:pPr>
      <w:pStyle w:val="Footer"/>
      <w:pBdr>
        <w:top w:val="single" w:sz="4" w:space="1" w:color="auto"/>
      </w:pBdr>
      <w:rPr>
        <w:b/>
        <w:sz w:val="16"/>
        <w:szCs w:val="16"/>
        <w:lang w:val="nl-BE"/>
      </w:rPr>
    </w:pPr>
    <w:r>
      <w:rPr>
        <w:b/>
        <w:sz w:val="16"/>
        <w:szCs w:val="16"/>
        <w:lang w:val="nl-BE"/>
      </w:rPr>
      <w:tab/>
    </w:r>
    <w:r w:rsidRPr="00F50590">
      <w:rPr>
        <w:sz w:val="14"/>
        <w:szCs w:val="16"/>
        <w:highlight w:val="yellow"/>
        <w:lang w:val="nl-BE"/>
      </w:rPr>
      <w:t>NBB_2017_XX</w:t>
    </w:r>
    <w:r w:rsidRPr="00F50590">
      <w:rPr>
        <w:rFonts w:cs="Arial"/>
        <w:sz w:val="14"/>
        <w:szCs w:val="16"/>
        <w:highlight w:val="yellow"/>
        <w:lang w:val="nl-BE"/>
      </w:rPr>
      <w:t> </w:t>
    </w:r>
    <w:r w:rsidRPr="00F50590">
      <w:rPr>
        <w:rFonts w:cs="Arial"/>
        <w:sz w:val="14"/>
        <w:szCs w:val="16"/>
        <w:highlight w:val="yellow"/>
        <w:lang w:val="nl-BE"/>
      </w:rPr>
      <w:t>–</w:t>
    </w:r>
    <w:r w:rsidRPr="00F50590">
      <w:rPr>
        <w:rFonts w:cs="Arial"/>
        <w:sz w:val="14"/>
        <w:szCs w:val="16"/>
        <w:highlight w:val="yellow"/>
        <w:lang w:val="nl-BE"/>
      </w:rPr>
      <w:t> </w:t>
    </w:r>
    <w:r w:rsidRPr="00F50590">
      <w:rPr>
        <w:sz w:val="14"/>
        <w:szCs w:val="16"/>
        <w:highlight w:val="yellow"/>
        <w:lang w:val="nl-BE"/>
      </w:rPr>
      <w:t>XX XXXXX 2017</w:t>
    </w:r>
    <w:r>
      <w:rPr>
        <w:b/>
        <w:sz w:val="16"/>
        <w:szCs w:val="16"/>
        <w:lang w:val="nl-BE"/>
      </w:rPr>
      <w:tab/>
      <w:t>Circulaire</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sidR="00AB0AF3">
      <w:rPr>
        <w:b/>
        <w:noProof/>
        <w:sz w:val="16"/>
        <w:szCs w:val="16"/>
        <w:lang w:val="nl-BE"/>
      </w:rPr>
      <w:t>8</w:t>
    </w:r>
    <w:r>
      <w:rPr>
        <w:b/>
        <w:sz w:val="16"/>
        <w:szCs w:val="16"/>
        <w:lang w:val="nl-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FE812" w14:textId="77777777" w:rsidR="004C5D8F" w:rsidRPr="00117F31" w:rsidRDefault="004C5D8F" w:rsidP="00117F31">
      <w:pPr>
        <w:pStyle w:val="Footer"/>
      </w:pPr>
    </w:p>
  </w:footnote>
  <w:footnote w:type="continuationSeparator" w:id="0">
    <w:p w14:paraId="248FE813" w14:textId="77777777" w:rsidR="004C5D8F" w:rsidRPr="00117F31" w:rsidRDefault="004C5D8F" w:rsidP="00117F31">
      <w:pPr>
        <w:pStyle w:val="Footer"/>
      </w:pPr>
    </w:p>
  </w:footnote>
  <w:footnote w:type="continuationNotice" w:id="1">
    <w:p w14:paraId="248FE814" w14:textId="77777777" w:rsidR="004C5D8F" w:rsidRDefault="004C5D8F"/>
  </w:footnote>
  <w:footnote w:id="2">
    <w:p w14:paraId="248FE81F" w14:textId="5C9EA549" w:rsidR="004C5D8F" w:rsidRPr="00D17955" w:rsidRDefault="004C5D8F" w:rsidP="00EF386A">
      <w:pPr>
        <w:pStyle w:val="FootnoteText"/>
        <w:tabs>
          <w:tab w:val="clear" w:pos="284"/>
        </w:tabs>
        <w:jc w:val="both"/>
        <w:rPr>
          <w:lang w:val="fr-FR"/>
        </w:rPr>
      </w:pPr>
      <w:r>
        <w:rPr>
          <w:rStyle w:val="FootnoteReference"/>
        </w:rPr>
        <w:footnoteRef/>
      </w:r>
      <w:r w:rsidR="00EF386A">
        <w:tab/>
      </w:r>
      <w:r w:rsidRPr="00D17955">
        <w:rPr>
          <w:lang w:val="fr-FR"/>
        </w:rPr>
        <w:t>Circulaire NBB_2013_10 du 25 septembre 2013.</w:t>
      </w:r>
    </w:p>
  </w:footnote>
  <w:footnote w:id="3">
    <w:p w14:paraId="248FE820" w14:textId="706E8F52" w:rsidR="004C5D8F" w:rsidRPr="00D17955" w:rsidRDefault="004C5D8F" w:rsidP="00EF386A">
      <w:pPr>
        <w:pStyle w:val="FootnoteText"/>
        <w:tabs>
          <w:tab w:val="clear" w:pos="284"/>
        </w:tabs>
        <w:jc w:val="both"/>
        <w:rPr>
          <w:lang w:val="fr-FR"/>
        </w:rPr>
      </w:pPr>
      <w:r w:rsidRPr="00D17955">
        <w:rPr>
          <w:rStyle w:val="FootnoteReference"/>
          <w:lang w:val="fr-FR"/>
        </w:rPr>
        <w:footnoteRef/>
      </w:r>
      <w:r w:rsidR="00EF386A">
        <w:rPr>
          <w:lang w:val="fr-FR"/>
        </w:rPr>
        <w:tab/>
      </w:r>
      <w:r w:rsidRPr="00D17955">
        <w:rPr>
          <w:lang w:val="fr-FR"/>
        </w:rPr>
        <w:t>Circulaire NBB_2014_11 du 14 octobre 2014 et Circulaire NBB_2015_26 du 7 octobre 2015</w:t>
      </w:r>
      <w:r w:rsidR="00587137">
        <w:rPr>
          <w:lang w:val="fr-FR"/>
        </w:rPr>
        <w:t>.</w:t>
      </w:r>
    </w:p>
  </w:footnote>
  <w:footnote w:id="4">
    <w:p w14:paraId="248FE821" w14:textId="4A2C9E5F" w:rsidR="004C5D8F" w:rsidRPr="00D17955" w:rsidRDefault="004C5D8F" w:rsidP="00EF386A">
      <w:pPr>
        <w:pStyle w:val="FootnoteText"/>
        <w:tabs>
          <w:tab w:val="clear" w:pos="284"/>
        </w:tabs>
        <w:jc w:val="both"/>
        <w:rPr>
          <w:lang w:val="fr-FR"/>
        </w:rPr>
      </w:pPr>
      <w:r w:rsidRPr="00D17955">
        <w:rPr>
          <w:rStyle w:val="FootnoteReference"/>
          <w:lang w:val="fr-FR"/>
        </w:rPr>
        <w:footnoteRef/>
      </w:r>
      <w:r w:rsidR="00EF386A">
        <w:rPr>
          <w:lang w:val="fr-FR"/>
        </w:rPr>
        <w:tab/>
      </w:r>
      <w:r>
        <w:rPr>
          <w:lang w:val="fr-FR"/>
        </w:rPr>
        <w:t>Circulaire NBB_2016</w:t>
      </w:r>
      <w:r w:rsidRPr="00D17955">
        <w:rPr>
          <w:lang w:val="fr-FR"/>
        </w:rPr>
        <w:t xml:space="preserve">_42 du 26 octobre 2016. </w:t>
      </w:r>
    </w:p>
  </w:footnote>
  <w:footnote w:id="5">
    <w:p w14:paraId="248FE822" w14:textId="06C412D0" w:rsidR="004C5D8F" w:rsidRPr="00D17955" w:rsidRDefault="004C5D8F" w:rsidP="00EF386A">
      <w:pPr>
        <w:pStyle w:val="FootnoteText"/>
        <w:tabs>
          <w:tab w:val="clear" w:pos="284"/>
        </w:tabs>
        <w:jc w:val="both"/>
        <w:rPr>
          <w:lang w:val="fr-FR"/>
        </w:rPr>
      </w:pPr>
      <w:r w:rsidRPr="00D17955">
        <w:rPr>
          <w:rStyle w:val="FootnoteReference"/>
          <w:lang w:val="fr-FR"/>
        </w:rPr>
        <w:footnoteRef/>
      </w:r>
      <w:r w:rsidR="00EF386A">
        <w:rPr>
          <w:lang w:val="fr-FR"/>
        </w:rPr>
        <w:tab/>
      </w:r>
      <w:r w:rsidRPr="00D17955">
        <w:rPr>
          <w:lang w:val="fr-FR"/>
        </w:rPr>
        <w:t>Directive (UE) 2015/849 du 20 mai 2015.</w:t>
      </w:r>
    </w:p>
  </w:footnote>
  <w:footnote w:id="6">
    <w:p w14:paraId="248FE823" w14:textId="7C937353" w:rsidR="004C5D8F" w:rsidRPr="00793AAB" w:rsidRDefault="004C5D8F" w:rsidP="00EF386A">
      <w:pPr>
        <w:pStyle w:val="FootnoteText"/>
        <w:tabs>
          <w:tab w:val="clear" w:pos="284"/>
        </w:tabs>
        <w:jc w:val="both"/>
        <w:rPr>
          <w:lang w:val="nl-BE"/>
        </w:rPr>
      </w:pPr>
      <w:r w:rsidRPr="00D17955">
        <w:rPr>
          <w:rStyle w:val="FootnoteReference"/>
          <w:lang w:val="fr-FR"/>
        </w:rPr>
        <w:footnoteRef/>
      </w:r>
      <w:r w:rsidR="00EF386A">
        <w:rPr>
          <w:lang w:val="fr-FR"/>
        </w:rPr>
        <w:tab/>
      </w:r>
      <w:r w:rsidRPr="00D17955">
        <w:rPr>
          <w:rFonts w:cs="Arial"/>
          <w:lang w:val="fr-FR"/>
        </w:rPr>
        <w:t>À</w:t>
      </w:r>
      <w:r w:rsidRPr="00D17955">
        <w:rPr>
          <w:lang w:val="fr-FR"/>
        </w:rPr>
        <w:t xml:space="preserve"> savoir l’Autorité bancaire européenne (ABE), l’Autorité européenne</w:t>
      </w:r>
      <w:r>
        <w:rPr>
          <w:lang w:val="fr-FR"/>
        </w:rPr>
        <w:t xml:space="preserve"> des assurances et des pensions </w:t>
      </w:r>
      <w:r w:rsidRPr="00D17955">
        <w:rPr>
          <w:lang w:val="fr-FR"/>
        </w:rPr>
        <w:t xml:space="preserve">professionnelles (AEAPP) et l’Autorité européenne des </w:t>
      </w:r>
      <w:r>
        <w:rPr>
          <w:lang w:val="fr-FR"/>
        </w:rPr>
        <w:t>marché</w:t>
      </w:r>
      <w:r w:rsidRPr="00D17955">
        <w:rPr>
          <w:lang w:val="fr-FR"/>
        </w:rPr>
        <w:t>s financiers (AEMF).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FE818" w14:textId="77777777" w:rsidR="004C5D8F" w:rsidRDefault="004C5D8F" w:rsidP="00E829D6">
    <w:pPr>
      <w:pStyle w:val="Header"/>
      <w:tabs>
        <w:tab w:val="clear" w:pos="4394"/>
        <w:tab w:val="center" w:pos="4395"/>
      </w:tabs>
      <w:rPr>
        <w:lang w:val="nl-BE"/>
      </w:rPr>
    </w:pPr>
  </w:p>
  <w:p w14:paraId="248FE819" w14:textId="77777777" w:rsidR="004C5D8F" w:rsidRPr="00BF29ED" w:rsidRDefault="004C5D8F" w:rsidP="00E829D6">
    <w:pPr>
      <w:pStyle w:val="Header"/>
      <w:tabs>
        <w:tab w:val="clear" w:pos="4394"/>
        <w:tab w:val="center" w:pos="4395"/>
      </w:tabs>
      <w:rPr>
        <w:lang w:val="nl-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FE81A" w14:textId="77777777" w:rsidR="004C5D8F" w:rsidRDefault="004C5D8F" w:rsidP="00D850C8">
    <w:pPr>
      <w:pStyle w:val="Header"/>
      <w:rPr>
        <w:lang w:val="nl-BE"/>
      </w:rPr>
    </w:pPr>
  </w:p>
  <w:p w14:paraId="248FE81B" w14:textId="77777777" w:rsidR="004C5D8F" w:rsidRPr="00D850C8" w:rsidRDefault="004C5D8F" w:rsidP="00D850C8">
    <w:pPr>
      <w:pStyle w:val="Header"/>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C4C596"/>
    <w:lvl w:ilvl="0">
      <w:start w:val="1"/>
      <w:numFmt w:val="decimal"/>
      <w:lvlText w:val="%1."/>
      <w:lvlJc w:val="left"/>
      <w:pPr>
        <w:tabs>
          <w:tab w:val="num" w:pos="1492"/>
        </w:tabs>
        <w:ind w:left="1492" w:hanging="360"/>
      </w:pPr>
    </w:lvl>
  </w:abstractNum>
  <w:abstractNum w:abstractNumId="1">
    <w:nsid w:val="FFFFFF7D"/>
    <w:multiLevelType w:val="singleLevel"/>
    <w:tmpl w:val="B456B8EA"/>
    <w:lvl w:ilvl="0">
      <w:start w:val="1"/>
      <w:numFmt w:val="decimal"/>
      <w:lvlText w:val="%1."/>
      <w:lvlJc w:val="left"/>
      <w:pPr>
        <w:tabs>
          <w:tab w:val="num" w:pos="1209"/>
        </w:tabs>
        <w:ind w:left="1209" w:hanging="360"/>
      </w:pPr>
    </w:lvl>
  </w:abstractNum>
  <w:abstractNum w:abstractNumId="2">
    <w:nsid w:val="FFFFFF7E"/>
    <w:multiLevelType w:val="singleLevel"/>
    <w:tmpl w:val="FB5CC4CE"/>
    <w:lvl w:ilvl="0">
      <w:start w:val="1"/>
      <w:numFmt w:val="decimal"/>
      <w:lvlText w:val="%1."/>
      <w:lvlJc w:val="left"/>
      <w:pPr>
        <w:tabs>
          <w:tab w:val="num" w:pos="926"/>
        </w:tabs>
        <w:ind w:left="926" w:hanging="360"/>
      </w:pPr>
    </w:lvl>
  </w:abstractNum>
  <w:abstractNum w:abstractNumId="3">
    <w:nsid w:val="FFFFFF7F"/>
    <w:multiLevelType w:val="singleLevel"/>
    <w:tmpl w:val="5A54D732"/>
    <w:lvl w:ilvl="0">
      <w:start w:val="1"/>
      <w:numFmt w:val="decimal"/>
      <w:lvlText w:val="%1."/>
      <w:lvlJc w:val="left"/>
      <w:pPr>
        <w:tabs>
          <w:tab w:val="num" w:pos="643"/>
        </w:tabs>
        <w:ind w:left="643" w:hanging="360"/>
      </w:pPr>
    </w:lvl>
  </w:abstractNum>
  <w:abstractNum w:abstractNumId="4">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C288AE"/>
    <w:lvl w:ilvl="0">
      <w:start w:val="1"/>
      <w:numFmt w:val="decimal"/>
      <w:lvlText w:val="%1."/>
      <w:lvlJc w:val="left"/>
      <w:pPr>
        <w:tabs>
          <w:tab w:val="num" w:pos="360"/>
        </w:tabs>
        <w:ind w:left="360" w:hanging="360"/>
      </w:pPr>
    </w:lvl>
  </w:abstractNum>
  <w:abstractNum w:abstractNumId="9">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nsid w:val="056D4443"/>
    <w:multiLevelType w:val="hybridMultilevel"/>
    <w:tmpl w:val="CD7EF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2">
    <w:nsid w:val="0EFE5617"/>
    <w:multiLevelType w:val="hybridMultilevel"/>
    <w:tmpl w:val="525E4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4">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5">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7DB2D9B"/>
    <w:multiLevelType w:val="hybridMultilevel"/>
    <w:tmpl w:val="747C3516"/>
    <w:lvl w:ilvl="0" w:tplc="935461B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965C10"/>
    <w:multiLevelType w:val="hybridMultilevel"/>
    <w:tmpl w:val="CB087792"/>
    <w:lvl w:ilvl="0" w:tplc="0AC43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9">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1">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2">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36B1F3E"/>
    <w:multiLevelType w:val="hybridMultilevel"/>
    <w:tmpl w:val="15801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D0768"/>
    <w:multiLevelType w:val="hybridMultilevel"/>
    <w:tmpl w:val="9FDC4C26"/>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7">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923500C"/>
    <w:multiLevelType w:val="hybridMultilevel"/>
    <w:tmpl w:val="15801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B65024D"/>
    <w:multiLevelType w:val="hybridMultilevel"/>
    <w:tmpl w:val="315607CE"/>
    <w:lvl w:ilvl="0" w:tplc="DCFEBC9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2">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77E0F7E"/>
    <w:multiLevelType w:val="hybridMultilevel"/>
    <w:tmpl w:val="E176F6F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B4C0D64"/>
    <w:multiLevelType w:val="hybridMultilevel"/>
    <w:tmpl w:val="74F2CE38"/>
    <w:lvl w:ilvl="0" w:tplc="9D9E4D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4535A4A"/>
    <w:multiLevelType w:val="hybridMultilevel"/>
    <w:tmpl w:val="6E842FA4"/>
    <w:lvl w:ilvl="0" w:tplc="2FBA5B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4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41">
    <w:nsid w:val="7A55591A"/>
    <w:multiLevelType w:val="hybridMultilevel"/>
    <w:tmpl w:val="15801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2"/>
  </w:num>
  <w:num w:numId="12">
    <w:abstractNumId w:val="23"/>
  </w:num>
  <w:num w:numId="13">
    <w:abstractNumId w:val="37"/>
  </w:num>
  <w:num w:numId="14">
    <w:abstractNumId w:val="27"/>
  </w:num>
  <w:num w:numId="15">
    <w:abstractNumId w:val="22"/>
  </w:num>
  <w:num w:numId="16">
    <w:abstractNumId w:val="15"/>
  </w:num>
  <w:num w:numId="17">
    <w:abstractNumId w:val="39"/>
  </w:num>
  <w:num w:numId="18">
    <w:abstractNumId w:val="14"/>
  </w:num>
  <w:num w:numId="19">
    <w:abstractNumId w:val="18"/>
  </w:num>
  <w:num w:numId="20">
    <w:abstractNumId w:val="40"/>
  </w:num>
  <w:num w:numId="21">
    <w:abstractNumId w:val="13"/>
  </w:num>
  <w:num w:numId="22">
    <w:abstractNumId w:val="29"/>
  </w:num>
  <w:num w:numId="23">
    <w:abstractNumId w:val="34"/>
  </w:num>
  <w:num w:numId="24">
    <w:abstractNumId w:val="20"/>
  </w:num>
  <w:num w:numId="25">
    <w:abstractNumId w:val="19"/>
  </w:num>
  <w:num w:numId="26">
    <w:abstractNumId w:val="31"/>
  </w:num>
  <w:num w:numId="27">
    <w:abstractNumId w:val="11"/>
  </w:num>
  <w:num w:numId="28">
    <w:abstractNumId w:val="21"/>
  </w:num>
  <w:num w:numId="29">
    <w:abstractNumId w:val="36"/>
  </w:num>
  <w:num w:numId="30">
    <w:abstractNumId w:val="24"/>
  </w:num>
  <w:num w:numId="31">
    <w:abstractNumId w:val="10"/>
  </w:num>
  <w:num w:numId="32">
    <w:abstractNumId w:val="25"/>
  </w:num>
  <w:num w:numId="33">
    <w:abstractNumId w:val="38"/>
  </w:num>
  <w:num w:numId="34">
    <w:abstractNumId w:val="16"/>
  </w:num>
  <w:num w:numId="35">
    <w:abstractNumId w:val="28"/>
  </w:num>
  <w:num w:numId="36">
    <w:abstractNumId w:val="35"/>
  </w:num>
  <w:num w:numId="37">
    <w:abstractNumId w:val="26"/>
  </w:num>
  <w:num w:numId="38">
    <w:abstractNumId w:val="12"/>
  </w:num>
  <w:num w:numId="39">
    <w:abstractNumId w:val="17"/>
  </w:num>
  <w:num w:numId="40">
    <w:abstractNumId w:val="33"/>
  </w:num>
  <w:num w:numId="41">
    <w:abstractNumId w:val="4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0B"/>
    <w:rsid w:val="00024A9E"/>
    <w:rsid w:val="000327D2"/>
    <w:rsid w:val="0003333C"/>
    <w:rsid w:val="00036E81"/>
    <w:rsid w:val="00040219"/>
    <w:rsid w:val="0004301D"/>
    <w:rsid w:val="0004319E"/>
    <w:rsid w:val="00044873"/>
    <w:rsid w:val="000454EE"/>
    <w:rsid w:val="0004570B"/>
    <w:rsid w:val="00051F2C"/>
    <w:rsid w:val="00053EEF"/>
    <w:rsid w:val="0005400B"/>
    <w:rsid w:val="00062C1B"/>
    <w:rsid w:val="00064AC6"/>
    <w:rsid w:val="00071546"/>
    <w:rsid w:val="0007516F"/>
    <w:rsid w:val="00082FA7"/>
    <w:rsid w:val="000869C2"/>
    <w:rsid w:val="00090275"/>
    <w:rsid w:val="00097598"/>
    <w:rsid w:val="0009763D"/>
    <w:rsid w:val="000A1DA9"/>
    <w:rsid w:val="000B6441"/>
    <w:rsid w:val="000C35AA"/>
    <w:rsid w:val="000C37AB"/>
    <w:rsid w:val="000C3A56"/>
    <w:rsid w:val="000D10C0"/>
    <w:rsid w:val="000D405E"/>
    <w:rsid w:val="000E0090"/>
    <w:rsid w:val="000E20C9"/>
    <w:rsid w:val="000E2A68"/>
    <w:rsid w:val="000F1245"/>
    <w:rsid w:val="000F1EB6"/>
    <w:rsid w:val="000F655A"/>
    <w:rsid w:val="000F7268"/>
    <w:rsid w:val="000F7757"/>
    <w:rsid w:val="000F7C34"/>
    <w:rsid w:val="001126F5"/>
    <w:rsid w:val="00114821"/>
    <w:rsid w:val="00117F31"/>
    <w:rsid w:val="00124312"/>
    <w:rsid w:val="00124AA8"/>
    <w:rsid w:val="00132755"/>
    <w:rsid w:val="00133D4B"/>
    <w:rsid w:val="00145EF1"/>
    <w:rsid w:val="00147097"/>
    <w:rsid w:val="00147933"/>
    <w:rsid w:val="001516F5"/>
    <w:rsid w:val="001520B9"/>
    <w:rsid w:val="0015337A"/>
    <w:rsid w:val="00153391"/>
    <w:rsid w:val="00154310"/>
    <w:rsid w:val="001548A9"/>
    <w:rsid w:val="00155349"/>
    <w:rsid w:val="00160D31"/>
    <w:rsid w:val="001619B6"/>
    <w:rsid w:val="00167ACD"/>
    <w:rsid w:val="00170E35"/>
    <w:rsid w:val="00170E74"/>
    <w:rsid w:val="00172DAF"/>
    <w:rsid w:val="00175ADE"/>
    <w:rsid w:val="001763C2"/>
    <w:rsid w:val="0017662B"/>
    <w:rsid w:val="001767CB"/>
    <w:rsid w:val="0018048D"/>
    <w:rsid w:val="0018615D"/>
    <w:rsid w:val="00186A23"/>
    <w:rsid w:val="00186EC7"/>
    <w:rsid w:val="001914EE"/>
    <w:rsid w:val="0019158E"/>
    <w:rsid w:val="00191F32"/>
    <w:rsid w:val="00197FEB"/>
    <w:rsid w:val="001A1D68"/>
    <w:rsid w:val="001A7DC7"/>
    <w:rsid w:val="001B4EEE"/>
    <w:rsid w:val="001B7F21"/>
    <w:rsid w:val="001C1F69"/>
    <w:rsid w:val="001C425F"/>
    <w:rsid w:val="001C4AF1"/>
    <w:rsid w:val="001D503F"/>
    <w:rsid w:val="001E61C2"/>
    <w:rsid w:val="001F1805"/>
    <w:rsid w:val="001F4264"/>
    <w:rsid w:val="001F53A1"/>
    <w:rsid w:val="001F63C0"/>
    <w:rsid w:val="001F711D"/>
    <w:rsid w:val="00200D79"/>
    <w:rsid w:val="00202B0B"/>
    <w:rsid w:val="00204BE8"/>
    <w:rsid w:val="002128A1"/>
    <w:rsid w:val="00214D28"/>
    <w:rsid w:val="00215E02"/>
    <w:rsid w:val="00221231"/>
    <w:rsid w:val="00223911"/>
    <w:rsid w:val="002307B0"/>
    <w:rsid w:val="00231694"/>
    <w:rsid w:val="00231D95"/>
    <w:rsid w:val="002333AF"/>
    <w:rsid w:val="00233828"/>
    <w:rsid w:val="002406B2"/>
    <w:rsid w:val="002477FA"/>
    <w:rsid w:val="002554D2"/>
    <w:rsid w:val="002554F9"/>
    <w:rsid w:val="00261D63"/>
    <w:rsid w:val="002754A4"/>
    <w:rsid w:val="00275C1C"/>
    <w:rsid w:val="00276804"/>
    <w:rsid w:val="00277819"/>
    <w:rsid w:val="00277EDB"/>
    <w:rsid w:val="00281E8C"/>
    <w:rsid w:val="002859A3"/>
    <w:rsid w:val="00287538"/>
    <w:rsid w:val="0028790D"/>
    <w:rsid w:val="002B45C3"/>
    <w:rsid w:val="002B5743"/>
    <w:rsid w:val="002B7051"/>
    <w:rsid w:val="002D5723"/>
    <w:rsid w:val="002D70FC"/>
    <w:rsid w:val="002D75B3"/>
    <w:rsid w:val="002E10A2"/>
    <w:rsid w:val="002E15B9"/>
    <w:rsid w:val="002E409B"/>
    <w:rsid w:val="002E5144"/>
    <w:rsid w:val="002F1611"/>
    <w:rsid w:val="002F18DB"/>
    <w:rsid w:val="003116AA"/>
    <w:rsid w:val="003129C3"/>
    <w:rsid w:val="003135E6"/>
    <w:rsid w:val="0032089A"/>
    <w:rsid w:val="0033489A"/>
    <w:rsid w:val="003364D4"/>
    <w:rsid w:val="00336912"/>
    <w:rsid w:val="003419C5"/>
    <w:rsid w:val="00350EFD"/>
    <w:rsid w:val="00352B22"/>
    <w:rsid w:val="00353178"/>
    <w:rsid w:val="00353B86"/>
    <w:rsid w:val="00353E3D"/>
    <w:rsid w:val="003543CC"/>
    <w:rsid w:val="00354956"/>
    <w:rsid w:val="00362513"/>
    <w:rsid w:val="00365065"/>
    <w:rsid w:val="00365FFE"/>
    <w:rsid w:val="00371E65"/>
    <w:rsid w:val="00376A1B"/>
    <w:rsid w:val="00377371"/>
    <w:rsid w:val="003802EE"/>
    <w:rsid w:val="0038095A"/>
    <w:rsid w:val="00381F4A"/>
    <w:rsid w:val="00382B97"/>
    <w:rsid w:val="00383392"/>
    <w:rsid w:val="003873BD"/>
    <w:rsid w:val="00387716"/>
    <w:rsid w:val="0038789B"/>
    <w:rsid w:val="003933DE"/>
    <w:rsid w:val="00395A49"/>
    <w:rsid w:val="00397DDA"/>
    <w:rsid w:val="003B1662"/>
    <w:rsid w:val="003B5C10"/>
    <w:rsid w:val="003B7866"/>
    <w:rsid w:val="003D2070"/>
    <w:rsid w:val="003D270F"/>
    <w:rsid w:val="003D7096"/>
    <w:rsid w:val="003E0AB2"/>
    <w:rsid w:val="003E4928"/>
    <w:rsid w:val="003F2836"/>
    <w:rsid w:val="003F792F"/>
    <w:rsid w:val="004003CC"/>
    <w:rsid w:val="004015D2"/>
    <w:rsid w:val="00407822"/>
    <w:rsid w:val="00412C56"/>
    <w:rsid w:val="0042595A"/>
    <w:rsid w:val="004275C8"/>
    <w:rsid w:val="004449B7"/>
    <w:rsid w:val="00447FED"/>
    <w:rsid w:val="0045040C"/>
    <w:rsid w:val="00450949"/>
    <w:rsid w:val="004540E1"/>
    <w:rsid w:val="00454C65"/>
    <w:rsid w:val="00456DEB"/>
    <w:rsid w:val="004619EE"/>
    <w:rsid w:val="00464101"/>
    <w:rsid w:val="004673C3"/>
    <w:rsid w:val="004679FA"/>
    <w:rsid w:val="00472997"/>
    <w:rsid w:val="00477F18"/>
    <w:rsid w:val="0048026E"/>
    <w:rsid w:val="004804D8"/>
    <w:rsid w:val="00480D4F"/>
    <w:rsid w:val="00485F3C"/>
    <w:rsid w:val="004A0404"/>
    <w:rsid w:val="004A3D27"/>
    <w:rsid w:val="004A477F"/>
    <w:rsid w:val="004A4C5C"/>
    <w:rsid w:val="004B400F"/>
    <w:rsid w:val="004C1316"/>
    <w:rsid w:val="004C14FA"/>
    <w:rsid w:val="004C2424"/>
    <w:rsid w:val="004C5D8F"/>
    <w:rsid w:val="004C6E99"/>
    <w:rsid w:val="004D12DD"/>
    <w:rsid w:val="004D40A6"/>
    <w:rsid w:val="004E136D"/>
    <w:rsid w:val="004E28BD"/>
    <w:rsid w:val="004F04DA"/>
    <w:rsid w:val="004F0F6B"/>
    <w:rsid w:val="004F41BA"/>
    <w:rsid w:val="005017FA"/>
    <w:rsid w:val="005026EC"/>
    <w:rsid w:val="005033DA"/>
    <w:rsid w:val="00505B77"/>
    <w:rsid w:val="0050792E"/>
    <w:rsid w:val="0051268A"/>
    <w:rsid w:val="00552963"/>
    <w:rsid w:val="0055492B"/>
    <w:rsid w:val="00557A3F"/>
    <w:rsid w:val="0056043D"/>
    <w:rsid w:val="005616A3"/>
    <w:rsid w:val="00561A9A"/>
    <w:rsid w:val="00565A9E"/>
    <w:rsid w:val="00567693"/>
    <w:rsid w:val="0057169E"/>
    <w:rsid w:val="00571A24"/>
    <w:rsid w:val="00571D46"/>
    <w:rsid w:val="00572C5D"/>
    <w:rsid w:val="00582D56"/>
    <w:rsid w:val="00587137"/>
    <w:rsid w:val="00592469"/>
    <w:rsid w:val="00592957"/>
    <w:rsid w:val="005932C7"/>
    <w:rsid w:val="0059396D"/>
    <w:rsid w:val="005A0CF6"/>
    <w:rsid w:val="005A3DA7"/>
    <w:rsid w:val="005B4C1C"/>
    <w:rsid w:val="005C1B25"/>
    <w:rsid w:val="005C3450"/>
    <w:rsid w:val="005C3F84"/>
    <w:rsid w:val="005D42D1"/>
    <w:rsid w:val="005E07AD"/>
    <w:rsid w:val="005E197B"/>
    <w:rsid w:val="005E33F6"/>
    <w:rsid w:val="005E5B34"/>
    <w:rsid w:val="005E7F83"/>
    <w:rsid w:val="005F29A4"/>
    <w:rsid w:val="006107D5"/>
    <w:rsid w:val="00610B4E"/>
    <w:rsid w:val="00611E02"/>
    <w:rsid w:val="00620AF1"/>
    <w:rsid w:val="00620FA8"/>
    <w:rsid w:val="00627AF2"/>
    <w:rsid w:val="0063089E"/>
    <w:rsid w:val="006316A4"/>
    <w:rsid w:val="00631E3C"/>
    <w:rsid w:val="00634558"/>
    <w:rsid w:val="00635AD7"/>
    <w:rsid w:val="00635DCE"/>
    <w:rsid w:val="00636445"/>
    <w:rsid w:val="006372C7"/>
    <w:rsid w:val="006376E3"/>
    <w:rsid w:val="006506E6"/>
    <w:rsid w:val="00651843"/>
    <w:rsid w:val="00653A88"/>
    <w:rsid w:val="006602F1"/>
    <w:rsid w:val="006626A0"/>
    <w:rsid w:val="006654E0"/>
    <w:rsid w:val="00667481"/>
    <w:rsid w:val="006703F5"/>
    <w:rsid w:val="0067198D"/>
    <w:rsid w:val="00677AA5"/>
    <w:rsid w:val="0068065A"/>
    <w:rsid w:val="00681E7D"/>
    <w:rsid w:val="00683802"/>
    <w:rsid w:val="0068679D"/>
    <w:rsid w:val="006908C8"/>
    <w:rsid w:val="00696FFF"/>
    <w:rsid w:val="0069769C"/>
    <w:rsid w:val="00697F48"/>
    <w:rsid w:val="006A3829"/>
    <w:rsid w:val="006B5DDA"/>
    <w:rsid w:val="006B6BFC"/>
    <w:rsid w:val="006C74DC"/>
    <w:rsid w:val="006D477D"/>
    <w:rsid w:val="006E7D13"/>
    <w:rsid w:val="00702823"/>
    <w:rsid w:val="00702DA6"/>
    <w:rsid w:val="00706B32"/>
    <w:rsid w:val="0071004E"/>
    <w:rsid w:val="0071393D"/>
    <w:rsid w:val="00714070"/>
    <w:rsid w:val="007148AA"/>
    <w:rsid w:val="00715984"/>
    <w:rsid w:val="00716D90"/>
    <w:rsid w:val="00721A45"/>
    <w:rsid w:val="00726EF3"/>
    <w:rsid w:val="00730DDA"/>
    <w:rsid w:val="00733829"/>
    <w:rsid w:val="00733DE9"/>
    <w:rsid w:val="00741E9C"/>
    <w:rsid w:val="007459B1"/>
    <w:rsid w:val="00750B57"/>
    <w:rsid w:val="00752FC4"/>
    <w:rsid w:val="00761AE9"/>
    <w:rsid w:val="007649C4"/>
    <w:rsid w:val="007651BC"/>
    <w:rsid w:val="007654E7"/>
    <w:rsid w:val="00766F4D"/>
    <w:rsid w:val="0077019B"/>
    <w:rsid w:val="00772658"/>
    <w:rsid w:val="00773E81"/>
    <w:rsid w:val="0078025D"/>
    <w:rsid w:val="00785B6F"/>
    <w:rsid w:val="00787601"/>
    <w:rsid w:val="00793AAB"/>
    <w:rsid w:val="00794D8C"/>
    <w:rsid w:val="00796920"/>
    <w:rsid w:val="00797BED"/>
    <w:rsid w:val="007A1C59"/>
    <w:rsid w:val="007A1F21"/>
    <w:rsid w:val="007A3EF3"/>
    <w:rsid w:val="007A42A4"/>
    <w:rsid w:val="007A552B"/>
    <w:rsid w:val="007A6D1E"/>
    <w:rsid w:val="007B25F7"/>
    <w:rsid w:val="007B793B"/>
    <w:rsid w:val="007C5D66"/>
    <w:rsid w:val="007C6D45"/>
    <w:rsid w:val="007E0494"/>
    <w:rsid w:val="007E0667"/>
    <w:rsid w:val="007E65A4"/>
    <w:rsid w:val="007E71C9"/>
    <w:rsid w:val="007F0A8C"/>
    <w:rsid w:val="007F462A"/>
    <w:rsid w:val="007F5AF5"/>
    <w:rsid w:val="007F78DB"/>
    <w:rsid w:val="00804480"/>
    <w:rsid w:val="00805257"/>
    <w:rsid w:val="00805AFA"/>
    <w:rsid w:val="0080725B"/>
    <w:rsid w:val="0081015C"/>
    <w:rsid w:val="00814FBE"/>
    <w:rsid w:val="00821F74"/>
    <w:rsid w:val="00822375"/>
    <w:rsid w:val="00824A23"/>
    <w:rsid w:val="00826444"/>
    <w:rsid w:val="00836C05"/>
    <w:rsid w:val="008374B9"/>
    <w:rsid w:val="0084206C"/>
    <w:rsid w:val="008437C4"/>
    <w:rsid w:val="00843F67"/>
    <w:rsid w:val="00847145"/>
    <w:rsid w:val="008503E8"/>
    <w:rsid w:val="00864834"/>
    <w:rsid w:val="008837CF"/>
    <w:rsid w:val="00893023"/>
    <w:rsid w:val="00896CFE"/>
    <w:rsid w:val="008977A1"/>
    <w:rsid w:val="008B1ED4"/>
    <w:rsid w:val="008B2570"/>
    <w:rsid w:val="008C0034"/>
    <w:rsid w:val="008C3918"/>
    <w:rsid w:val="008C4032"/>
    <w:rsid w:val="008D2A4C"/>
    <w:rsid w:val="008E5948"/>
    <w:rsid w:val="008E6931"/>
    <w:rsid w:val="008E79FB"/>
    <w:rsid w:val="00901244"/>
    <w:rsid w:val="0090354E"/>
    <w:rsid w:val="0090398E"/>
    <w:rsid w:val="00905D03"/>
    <w:rsid w:val="00914031"/>
    <w:rsid w:val="009258FB"/>
    <w:rsid w:val="00932175"/>
    <w:rsid w:val="00935B26"/>
    <w:rsid w:val="00937808"/>
    <w:rsid w:val="00940C81"/>
    <w:rsid w:val="00942A58"/>
    <w:rsid w:val="00942B19"/>
    <w:rsid w:val="00942EE2"/>
    <w:rsid w:val="009466D6"/>
    <w:rsid w:val="00950C45"/>
    <w:rsid w:val="00954143"/>
    <w:rsid w:val="00955C6B"/>
    <w:rsid w:val="00957686"/>
    <w:rsid w:val="009600D3"/>
    <w:rsid w:val="0097120B"/>
    <w:rsid w:val="00974952"/>
    <w:rsid w:val="00975F12"/>
    <w:rsid w:val="00983714"/>
    <w:rsid w:val="00985229"/>
    <w:rsid w:val="00987DEA"/>
    <w:rsid w:val="00991E7A"/>
    <w:rsid w:val="00993451"/>
    <w:rsid w:val="009939BE"/>
    <w:rsid w:val="00994BF4"/>
    <w:rsid w:val="009A0346"/>
    <w:rsid w:val="009A140C"/>
    <w:rsid w:val="009A27A4"/>
    <w:rsid w:val="009B132A"/>
    <w:rsid w:val="009B1A1D"/>
    <w:rsid w:val="009B6FA0"/>
    <w:rsid w:val="009C0BC7"/>
    <w:rsid w:val="009D10D0"/>
    <w:rsid w:val="009D1225"/>
    <w:rsid w:val="009D15BD"/>
    <w:rsid w:val="009D277D"/>
    <w:rsid w:val="009D3040"/>
    <w:rsid w:val="009D3082"/>
    <w:rsid w:val="009D784B"/>
    <w:rsid w:val="009E2A0A"/>
    <w:rsid w:val="009E454A"/>
    <w:rsid w:val="009E5467"/>
    <w:rsid w:val="009E56DB"/>
    <w:rsid w:val="009F2EEE"/>
    <w:rsid w:val="00A01013"/>
    <w:rsid w:val="00A06B19"/>
    <w:rsid w:val="00A11F91"/>
    <w:rsid w:val="00A122B7"/>
    <w:rsid w:val="00A141C9"/>
    <w:rsid w:val="00A147E1"/>
    <w:rsid w:val="00A16F91"/>
    <w:rsid w:val="00A17571"/>
    <w:rsid w:val="00A2514A"/>
    <w:rsid w:val="00A25A33"/>
    <w:rsid w:val="00A25E45"/>
    <w:rsid w:val="00A267AD"/>
    <w:rsid w:val="00A351FF"/>
    <w:rsid w:val="00A355E9"/>
    <w:rsid w:val="00A36786"/>
    <w:rsid w:val="00A42DAB"/>
    <w:rsid w:val="00A51FAA"/>
    <w:rsid w:val="00A55A96"/>
    <w:rsid w:val="00A56340"/>
    <w:rsid w:val="00A605D0"/>
    <w:rsid w:val="00A621A5"/>
    <w:rsid w:val="00A62501"/>
    <w:rsid w:val="00A63271"/>
    <w:rsid w:val="00A63616"/>
    <w:rsid w:val="00A6660A"/>
    <w:rsid w:val="00A679F2"/>
    <w:rsid w:val="00A709E5"/>
    <w:rsid w:val="00A7250C"/>
    <w:rsid w:val="00A73D60"/>
    <w:rsid w:val="00A819E9"/>
    <w:rsid w:val="00A876D8"/>
    <w:rsid w:val="00A87983"/>
    <w:rsid w:val="00A907FA"/>
    <w:rsid w:val="00A912F7"/>
    <w:rsid w:val="00A928C4"/>
    <w:rsid w:val="00A973C8"/>
    <w:rsid w:val="00AA074E"/>
    <w:rsid w:val="00AA5A1C"/>
    <w:rsid w:val="00AB0AF3"/>
    <w:rsid w:val="00AB4D11"/>
    <w:rsid w:val="00AB557A"/>
    <w:rsid w:val="00AB5B67"/>
    <w:rsid w:val="00AB5F38"/>
    <w:rsid w:val="00AB6BD9"/>
    <w:rsid w:val="00AC48BC"/>
    <w:rsid w:val="00AC619F"/>
    <w:rsid w:val="00AD5F0F"/>
    <w:rsid w:val="00AD7BAB"/>
    <w:rsid w:val="00AE028E"/>
    <w:rsid w:val="00AE0FA5"/>
    <w:rsid w:val="00AF60F6"/>
    <w:rsid w:val="00AF77D2"/>
    <w:rsid w:val="00B04933"/>
    <w:rsid w:val="00B0584F"/>
    <w:rsid w:val="00B11BB2"/>
    <w:rsid w:val="00B144C0"/>
    <w:rsid w:val="00B1572B"/>
    <w:rsid w:val="00B157EF"/>
    <w:rsid w:val="00B338D7"/>
    <w:rsid w:val="00B34FEF"/>
    <w:rsid w:val="00B352D4"/>
    <w:rsid w:val="00B402AF"/>
    <w:rsid w:val="00B404A0"/>
    <w:rsid w:val="00B41942"/>
    <w:rsid w:val="00B432F7"/>
    <w:rsid w:val="00B44C6F"/>
    <w:rsid w:val="00B44D45"/>
    <w:rsid w:val="00B46BAE"/>
    <w:rsid w:val="00B52F2E"/>
    <w:rsid w:val="00B614D1"/>
    <w:rsid w:val="00B63B89"/>
    <w:rsid w:val="00B661C8"/>
    <w:rsid w:val="00B73FEE"/>
    <w:rsid w:val="00B80CFD"/>
    <w:rsid w:val="00B818FA"/>
    <w:rsid w:val="00B908B1"/>
    <w:rsid w:val="00B92424"/>
    <w:rsid w:val="00B92F85"/>
    <w:rsid w:val="00B97B40"/>
    <w:rsid w:val="00BC30AE"/>
    <w:rsid w:val="00BC351F"/>
    <w:rsid w:val="00BC59C3"/>
    <w:rsid w:val="00BC6E23"/>
    <w:rsid w:val="00BD7A38"/>
    <w:rsid w:val="00BE0CD8"/>
    <w:rsid w:val="00BF2860"/>
    <w:rsid w:val="00BF29ED"/>
    <w:rsid w:val="00BF4C7A"/>
    <w:rsid w:val="00BF5C8A"/>
    <w:rsid w:val="00C0402A"/>
    <w:rsid w:val="00C0490F"/>
    <w:rsid w:val="00C079B3"/>
    <w:rsid w:val="00C17831"/>
    <w:rsid w:val="00C211DB"/>
    <w:rsid w:val="00C22E53"/>
    <w:rsid w:val="00C23518"/>
    <w:rsid w:val="00C24707"/>
    <w:rsid w:val="00C2688E"/>
    <w:rsid w:val="00C33CD7"/>
    <w:rsid w:val="00C34E1C"/>
    <w:rsid w:val="00C474DC"/>
    <w:rsid w:val="00C47857"/>
    <w:rsid w:val="00C5387A"/>
    <w:rsid w:val="00C563FE"/>
    <w:rsid w:val="00C56E4D"/>
    <w:rsid w:val="00C61050"/>
    <w:rsid w:val="00C634C5"/>
    <w:rsid w:val="00C641E4"/>
    <w:rsid w:val="00C66480"/>
    <w:rsid w:val="00C753E9"/>
    <w:rsid w:val="00C81B69"/>
    <w:rsid w:val="00C84609"/>
    <w:rsid w:val="00C84EA1"/>
    <w:rsid w:val="00C90176"/>
    <w:rsid w:val="00C9043A"/>
    <w:rsid w:val="00C9110F"/>
    <w:rsid w:val="00C94B35"/>
    <w:rsid w:val="00C961A9"/>
    <w:rsid w:val="00CA5A74"/>
    <w:rsid w:val="00CB2202"/>
    <w:rsid w:val="00CB30C8"/>
    <w:rsid w:val="00CB4A52"/>
    <w:rsid w:val="00CB660D"/>
    <w:rsid w:val="00CC0365"/>
    <w:rsid w:val="00CC2467"/>
    <w:rsid w:val="00CC4296"/>
    <w:rsid w:val="00CC6A3E"/>
    <w:rsid w:val="00CE5D84"/>
    <w:rsid w:val="00CF6318"/>
    <w:rsid w:val="00CF63B4"/>
    <w:rsid w:val="00D00492"/>
    <w:rsid w:val="00D0120C"/>
    <w:rsid w:val="00D05113"/>
    <w:rsid w:val="00D0540B"/>
    <w:rsid w:val="00D06A39"/>
    <w:rsid w:val="00D160E1"/>
    <w:rsid w:val="00D16837"/>
    <w:rsid w:val="00D17955"/>
    <w:rsid w:val="00D22DC6"/>
    <w:rsid w:val="00D231CE"/>
    <w:rsid w:val="00D25CC0"/>
    <w:rsid w:val="00D2603A"/>
    <w:rsid w:val="00D2703D"/>
    <w:rsid w:val="00D314CA"/>
    <w:rsid w:val="00D32B1A"/>
    <w:rsid w:val="00D346B5"/>
    <w:rsid w:val="00D36C5D"/>
    <w:rsid w:val="00D423C7"/>
    <w:rsid w:val="00D475E7"/>
    <w:rsid w:val="00D47898"/>
    <w:rsid w:val="00D527DE"/>
    <w:rsid w:val="00D54DCD"/>
    <w:rsid w:val="00D556C0"/>
    <w:rsid w:val="00D62D9B"/>
    <w:rsid w:val="00D63DA6"/>
    <w:rsid w:val="00D650B1"/>
    <w:rsid w:val="00D713B1"/>
    <w:rsid w:val="00D718C9"/>
    <w:rsid w:val="00D73786"/>
    <w:rsid w:val="00D75B6C"/>
    <w:rsid w:val="00D75CDC"/>
    <w:rsid w:val="00D82C98"/>
    <w:rsid w:val="00D850C8"/>
    <w:rsid w:val="00D93AFF"/>
    <w:rsid w:val="00D967DE"/>
    <w:rsid w:val="00DA752C"/>
    <w:rsid w:val="00DB31C8"/>
    <w:rsid w:val="00DC0B0F"/>
    <w:rsid w:val="00DC1B28"/>
    <w:rsid w:val="00DC232C"/>
    <w:rsid w:val="00DC4256"/>
    <w:rsid w:val="00DC727C"/>
    <w:rsid w:val="00DD1D39"/>
    <w:rsid w:val="00DD2826"/>
    <w:rsid w:val="00DF3B32"/>
    <w:rsid w:val="00DF758C"/>
    <w:rsid w:val="00DF7D48"/>
    <w:rsid w:val="00E04E63"/>
    <w:rsid w:val="00E07CCE"/>
    <w:rsid w:val="00E13E2F"/>
    <w:rsid w:val="00E13E61"/>
    <w:rsid w:val="00E162FC"/>
    <w:rsid w:val="00E16B13"/>
    <w:rsid w:val="00E2099E"/>
    <w:rsid w:val="00E22E1D"/>
    <w:rsid w:val="00E26ABD"/>
    <w:rsid w:val="00E271A7"/>
    <w:rsid w:val="00E348BA"/>
    <w:rsid w:val="00E34A80"/>
    <w:rsid w:val="00E36D9F"/>
    <w:rsid w:val="00E471A8"/>
    <w:rsid w:val="00E51093"/>
    <w:rsid w:val="00E56E83"/>
    <w:rsid w:val="00E65C86"/>
    <w:rsid w:val="00E66CEF"/>
    <w:rsid w:val="00E73749"/>
    <w:rsid w:val="00E759E4"/>
    <w:rsid w:val="00E77B8A"/>
    <w:rsid w:val="00E81AE9"/>
    <w:rsid w:val="00E829D6"/>
    <w:rsid w:val="00E87276"/>
    <w:rsid w:val="00E90111"/>
    <w:rsid w:val="00E9153E"/>
    <w:rsid w:val="00E919DC"/>
    <w:rsid w:val="00E9511F"/>
    <w:rsid w:val="00E966D1"/>
    <w:rsid w:val="00E978FC"/>
    <w:rsid w:val="00EA2226"/>
    <w:rsid w:val="00EA33BE"/>
    <w:rsid w:val="00EB0851"/>
    <w:rsid w:val="00EB13F8"/>
    <w:rsid w:val="00EB28A5"/>
    <w:rsid w:val="00EB3741"/>
    <w:rsid w:val="00EB3F3D"/>
    <w:rsid w:val="00EB65A6"/>
    <w:rsid w:val="00EB6DE0"/>
    <w:rsid w:val="00EC675E"/>
    <w:rsid w:val="00EC70E6"/>
    <w:rsid w:val="00ED10C8"/>
    <w:rsid w:val="00ED1B50"/>
    <w:rsid w:val="00ED445E"/>
    <w:rsid w:val="00ED687C"/>
    <w:rsid w:val="00ED6928"/>
    <w:rsid w:val="00EE3C1C"/>
    <w:rsid w:val="00EE4A34"/>
    <w:rsid w:val="00EE5676"/>
    <w:rsid w:val="00EF386A"/>
    <w:rsid w:val="00F01DE1"/>
    <w:rsid w:val="00F063BF"/>
    <w:rsid w:val="00F120C3"/>
    <w:rsid w:val="00F21513"/>
    <w:rsid w:val="00F24DB0"/>
    <w:rsid w:val="00F26A3A"/>
    <w:rsid w:val="00F27CB3"/>
    <w:rsid w:val="00F31133"/>
    <w:rsid w:val="00F32E26"/>
    <w:rsid w:val="00F35F9D"/>
    <w:rsid w:val="00F3767C"/>
    <w:rsid w:val="00F44BFC"/>
    <w:rsid w:val="00F50590"/>
    <w:rsid w:val="00F523A7"/>
    <w:rsid w:val="00F55AC8"/>
    <w:rsid w:val="00F57B63"/>
    <w:rsid w:val="00F60345"/>
    <w:rsid w:val="00F61108"/>
    <w:rsid w:val="00F62B97"/>
    <w:rsid w:val="00F63335"/>
    <w:rsid w:val="00F64E38"/>
    <w:rsid w:val="00F65486"/>
    <w:rsid w:val="00F73817"/>
    <w:rsid w:val="00F747FC"/>
    <w:rsid w:val="00F76523"/>
    <w:rsid w:val="00F815AC"/>
    <w:rsid w:val="00F8549F"/>
    <w:rsid w:val="00F917ED"/>
    <w:rsid w:val="00FA14B8"/>
    <w:rsid w:val="00FA56DE"/>
    <w:rsid w:val="00FE222C"/>
    <w:rsid w:val="00FE24A6"/>
    <w:rsid w:val="00FE7C3D"/>
    <w:rsid w:val="00FF1D62"/>
    <w:rsid w:val="00FF53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48F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styleId="ListParagraph">
    <w:name w:val="List Paragraph"/>
    <w:basedOn w:val="Normal"/>
    <w:uiPriority w:val="34"/>
    <w:qFormat/>
    <w:rsid w:val="00B818FA"/>
    <w:pPr>
      <w:ind w:left="720"/>
      <w:contextualSpacing/>
    </w:pPr>
  </w:style>
  <w:style w:type="character" w:customStyle="1" w:styleId="st1">
    <w:name w:val="st1"/>
    <w:basedOn w:val="DefaultParagraphFont"/>
    <w:rsid w:val="00793AAB"/>
  </w:style>
  <w:style w:type="character" w:styleId="CommentReference">
    <w:name w:val="annotation reference"/>
    <w:basedOn w:val="DefaultParagraphFont"/>
    <w:rsid w:val="00F523A7"/>
    <w:rPr>
      <w:sz w:val="16"/>
      <w:szCs w:val="16"/>
    </w:rPr>
  </w:style>
  <w:style w:type="paragraph" w:styleId="CommentText">
    <w:name w:val="annotation text"/>
    <w:basedOn w:val="Normal"/>
    <w:link w:val="CommentTextChar"/>
    <w:rsid w:val="00F523A7"/>
    <w:pPr>
      <w:spacing w:line="240" w:lineRule="auto"/>
    </w:pPr>
  </w:style>
  <w:style w:type="character" w:customStyle="1" w:styleId="CommentTextChar">
    <w:name w:val="Comment Text Char"/>
    <w:basedOn w:val="DefaultParagraphFont"/>
    <w:link w:val="CommentText"/>
    <w:rsid w:val="00F523A7"/>
    <w:rPr>
      <w:rFonts w:ascii="Arial" w:hAnsi="Arial"/>
      <w:lang w:val="en-GB" w:eastAsia="en-US"/>
    </w:rPr>
  </w:style>
  <w:style w:type="paragraph" w:styleId="CommentSubject">
    <w:name w:val="annotation subject"/>
    <w:basedOn w:val="CommentText"/>
    <w:next w:val="CommentText"/>
    <w:link w:val="CommentSubjectChar"/>
    <w:rsid w:val="00F523A7"/>
    <w:rPr>
      <w:b/>
      <w:bCs/>
    </w:rPr>
  </w:style>
  <w:style w:type="character" w:customStyle="1" w:styleId="CommentSubjectChar">
    <w:name w:val="Comment Subject Char"/>
    <w:basedOn w:val="CommentTextChar"/>
    <w:link w:val="CommentSubject"/>
    <w:rsid w:val="00F523A7"/>
    <w:rPr>
      <w:rFonts w:ascii="Arial" w:hAnsi="Arial"/>
      <w:b/>
      <w:bCs/>
      <w:lang w:val="en-GB" w:eastAsia="en-US"/>
    </w:rPr>
  </w:style>
  <w:style w:type="paragraph" w:styleId="Revision">
    <w:name w:val="Revision"/>
    <w:hidden/>
    <w:uiPriority w:val="99"/>
    <w:semiHidden/>
    <w:rsid w:val="00A87983"/>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styleId="ListParagraph">
    <w:name w:val="List Paragraph"/>
    <w:basedOn w:val="Normal"/>
    <w:uiPriority w:val="34"/>
    <w:qFormat/>
    <w:rsid w:val="00B818FA"/>
    <w:pPr>
      <w:ind w:left="720"/>
      <w:contextualSpacing/>
    </w:pPr>
  </w:style>
  <w:style w:type="character" w:customStyle="1" w:styleId="st1">
    <w:name w:val="st1"/>
    <w:basedOn w:val="DefaultParagraphFont"/>
    <w:rsid w:val="00793AAB"/>
  </w:style>
  <w:style w:type="character" w:styleId="CommentReference">
    <w:name w:val="annotation reference"/>
    <w:basedOn w:val="DefaultParagraphFont"/>
    <w:rsid w:val="00F523A7"/>
    <w:rPr>
      <w:sz w:val="16"/>
      <w:szCs w:val="16"/>
    </w:rPr>
  </w:style>
  <w:style w:type="paragraph" w:styleId="CommentText">
    <w:name w:val="annotation text"/>
    <w:basedOn w:val="Normal"/>
    <w:link w:val="CommentTextChar"/>
    <w:rsid w:val="00F523A7"/>
    <w:pPr>
      <w:spacing w:line="240" w:lineRule="auto"/>
    </w:pPr>
  </w:style>
  <w:style w:type="character" w:customStyle="1" w:styleId="CommentTextChar">
    <w:name w:val="Comment Text Char"/>
    <w:basedOn w:val="DefaultParagraphFont"/>
    <w:link w:val="CommentText"/>
    <w:rsid w:val="00F523A7"/>
    <w:rPr>
      <w:rFonts w:ascii="Arial" w:hAnsi="Arial"/>
      <w:lang w:val="en-GB" w:eastAsia="en-US"/>
    </w:rPr>
  </w:style>
  <w:style w:type="paragraph" w:styleId="CommentSubject">
    <w:name w:val="annotation subject"/>
    <w:basedOn w:val="CommentText"/>
    <w:next w:val="CommentText"/>
    <w:link w:val="CommentSubjectChar"/>
    <w:rsid w:val="00F523A7"/>
    <w:rPr>
      <w:b/>
      <w:bCs/>
    </w:rPr>
  </w:style>
  <w:style w:type="character" w:customStyle="1" w:styleId="CommentSubjectChar">
    <w:name w:val="Comment Subject Char"/>
    <w:basedOn w:val="CommentTextChar"/>
    <w:link w:val="CommentSubject"/>
    <w:rsid w:val="00F523A7"/>
    <w:rPr>
      <w:rFonts w:ascii="Arial" w:hAnsi="Arial"/>
      <w:b/>
      <w:bCs/>
      <w:lang w:val="en-GB" w:eastAsia="en-US"/>
    </w:rPr>
  </w:style>
  <w:style w:type="paragraph" w:styleId="Revision">
    <w:name w:val="Revision"/>
    <w:hidden/>
    <w:uiPriority w:val="99"/>
    <w:semiHidden/>
    <w:rsid w:val="00A879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thur.vandamme@nbb.be" TargetMode="External"/><Relationship Id="rId18" Type="http://schemas.openxmlformats.org/officeDocument/2006/relationships/hyperlink" Target="http://www.nbb.be"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supervision.ta.aml@nbb.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bb.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upervision.ta.aml@nbb.be"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ephane.folie@nbb.be"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2FEB05314414085F0481260043330" ma:contentTypeVersion="0" ma:contentTypeDescription="Create a new document." ma:contentTypeScope="" ma:versionID="0e08ec9d44d57b4dfd9fa279d58f588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7F178-F16E-4CBE-8C69-C969DD7E0977}">
  <ds:schemaRefs>
    <ds:schemaRef ds:uri="http://schemas.microsoft.com/sharepoint/v3/contenttype/forms"/>
  </ds:schemaRefs>
</ds:datastoreItem>
</file>

<file path=customXml/itemProps2.xml><?xml version="1.0" encoding="utf-8"?>
<ds:datastoreItem xmlns:ds="http://schemas.openxmlformats.org/officeDocument/2006/customXml" ds:itemID="{BE77A109-29F0-4BEB-B86B-FD88F58C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D69E4E-C3DA-4BFF-B28B-ED1BFE0545FE}">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21C6EB95-68C6-4762-90D9-2E104F77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Template>
  <TotalTime>1098</TotalTime>
  <Pages>8</Pages>
  <Words>3319</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22541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Van Damme Arthur</dc:creator>
  <cp:lastModifiedBy>Dufrane Maite</cp:lastModifiedBy>
  <cp:revision>102</cp:revision>
  <cp:lastPrinted>2017-04-24T08:39:00Z</cp:lastPrinted>
  <dcterms:created xsi:type="dcterms:W3CDTF">2017-03-22T13:47:00Z</dcterms:created>
  <dcterms:modified xsi:type="dcterms:W3CDTF">2017-04-24T08:39:00Z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0x010100B4C2FEB05314414085F0481260043330</vt:lpwstr>
  </property>
  <property fmtid="{D5CDD505-2E9C-101B-9397-08002B2CF9AE}" pid="3" name="Order">
    <vt:r8>571600</vt:r8>
  </property>
  <property fmtid="{D5CDD505-2E9C-101B-9397-08002B2CF9AE}" pid="4" name="_DocHome">
    <vt:i4>1774309955</vt:i4>
  </property>
</Properties>
</file>