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2"/>
        <w:tblW w:w="14850" w:type="dxa"/>
        <w:tblLook w:val="04A0" w:firstRow="1" w:lastRow="0" w:firstColumn="1" w:lastColumn="0" w:noHBand="0" w:noVBand="1"/>
      </w:tblPr>
      <w:tblGrid>
        <w:gridCol w:w="7621"/>
        <w:gridCol w:w="2126"/>
        <w:gridCol w:w="5103"/>
      </w:tblGrid>
      <w:tr w:rsidR="00676DBE" w:rsidRPr="005B6567" w14:paraId="63491262" w14:textId="77777777" w:rsidTr="00C80CF0">
        <w:trPr>
          <w:trHeight w:val="638"/>
        </w:trPr>
        <w:tc>
          <w:tcPr>
            <w:tcW w:w="14850" w:type="dxa"/>
            <w:gridSpan w:val="3"/>
            <w:shd w:val="clear" w:color="auto" w:fill="C6D9F1" w:themeFill="text2" w:themeFillTint="33"/>
          </w:tcPr>
          <w:p w14:paraId="137AF4F0" w14:textId="55FB5439" w:rsidR="00676DBE" w:rsidRPr="00CF5D16" w:rsidRDefault="00676DBE" w:rsidP="00C80CF0">
            <w:pPr>
              <w:jc w:val="center"/>
              <w:rPr>
                <w:b/>
                <w:sz w:val="32"/>
                <w:szCs w:val="32"/>
                <w:lang w:val="fr-BE"/>
              </w:rPr>
            </w:pPr>
            <w:r w:rsidRPr="00DB4CC1">
              <w:rPr>
                <w:b/>
                <w:sz w:val="32"/>
                <w:szCs w:val="32"/>
                <w:lang w:val="fr-BE"/>
              </w:rPr>
              <w:t>Formulaire standard d’Avis du responsable de la fonction de Compliance concernant la sous-traitance d’une activité ou fonction critique ou importante</w:t>
            </w:r>
          </w:p>
          <w:p w14:paraId="6F135B06" w14:textId="77777777" w:rsidR="00676DBE" w:rsidRPr="0087133E" w:rsidRDefault="00676DBE" w:rsidP="00C80CF0">
            <w:pPr>
              <w:jc w:val="center"/>
              <w:rPr>
                <w:b/>
                <w:lang w:val="fr-BE"/>
              </w:rPr>
            </w:pPr>
            <w:r>
              <w:rPr>
                <w:b/>
                <w:lang w:val="fr-BE"/>
              </w:rPr>
              <w:t>Entreprise</w:t>
            </w:r>
            <w:r w:rsidRPr="0087133E">
              <w:rPr>
                <w:b/>
                <w:lang w:val="fr-BE"/>
              </w:rPr>
              <w:t xml:space="preserve"> : </w:t>
            </w:r>
            <w:r w:rsidRPr="00C80CF0">
              <w:rPr>
                <w:b/>
                <w:highlight w:val="green"/>
                <w:lang w:val="fr-BE"/>
              </w:rPr>
              <w:t>A COMPLÉTER</w:t>
            </w:r>
          </w:p>
          <w:p w14:paraId="5497EC17" w14:textId="77777777" w:rsidR="00676DBE" w:rsidRPr="0087133E" w:rsidRDefault="00676DBE" w:rsidP="00C80CF0">
            <w:pPr>
              <w:jc w:val="center"/>
              <w:rPr>
                <w:b/>
                <w:lang w:val="fr-BE"/>
              </w:rPr>
            </w:pPr>
            <w:r w:rsidRPr="00DB4CC1">
              <w:rPr>
                <w:b/>
                <w:lang w:val="fr-BE"/>
              </w:rPr>
              <w:t>Activité ou fonction critique ou importante à sous-traiter</w:t>
            </w:r>
            <w:r>
              <w:rPr>
                <w:b/>
                <w:lang w:val="fr-BE"/>
              </w:rPr>
              <w:t xml:space="preserve"> : </w:t>
            </w:r>
            <w:r w:rsidRPr="00C80CF0">
              <w:rPr>
                <w:b/>
                <w:highlight w:val="green"/>
                <w:lang w:val="fr-BE"/>
              </w:rPr>
              <w:t>A COMPLÉTER</w:t>
            </w:r>
          </w:p>
        </w:tc>
      </w:tr>
      <w:tr w:rsidR="00676DBE" w:rsidRPr="005B6567" w14:paraId="61EF2743" w14:textId="77777777" w:rsidTr="00C80CF0">
        <w:trPr>
          <w:trHeight w:val="319"/>
        </w:trPr>
        <w:tc>
          <w:tcPr>
            <w:tcW w:w="14850" w:type="dxa"/>
            <w:gridSpan w:val="3"/>
          </w:tcPr>
          <w:p w14:paraId="05532640" w14:textId="77777777" w:rsidR="00676DBE" w:rsidRPr="00EE1A70" w:rsidRDefault="00676DBE" w:rsidP="00C80CF0">
            <w:pPr>
              <w:rPr>
                <w:lang w:val="fr-BE"/>
              </w:rPr>
            </w:pPr>
            <w:r w:rsidRPr="00EE1A70">
              <w:rPr>
                <w:i/>
                <w:sz w:val="16"/>
                <w:szCs w:val="16"/>
                <w:lang w:val="fr-BE"/>
              </w:rPr>
              <w:t xml:space="preserve">Conformément à ce qui est prévu à la section 7.5 de la circulaire coupole gouvernance 2016_31 (ci-après, « circulaire coupole gouvernance »), l'évaluation du responsable de la fonction Compliance porte sur </w:t>
            </w:r>
            <w:r w:rsidRPr="00A65DCD">
              <w:rPr>
                <w:i/>
                <w:sz w:val="16"/>
                <w:szCs w:val="16"/>
                <w:lang w:val="fr-BE"/>
              </w:rPr>
              <w:t>deux</w:t>
            </w:r>
            <w:r w:rsidRPr="00EE1A70">
              <w:rPr>
                <w:i/>
                <w:sz w:val="16"/>
                <w:szCs w:val="16"/>
                <w:lang w:val="fr-BE"/>
              </w:rPr>
              <w:t xml:space="preserve"> aspects : (i) le respect des règles entourant la gouvernance d’une sous-traitance (phase précontractuelle, phase contractuelle et phase post-contractuelle) et (ii) le caractère complet des informations communiquées à la Banque nationale de Belgique.  Par « entreprise d’assurance », il y a lieu d’entendre dans le </w:t>
            </w:r>
            <w:r w:rsidRPr="00C80CF0">
              <w:rPr>
                <w:i/>
                <w:sz w:val="16"/>
                <w:szCs w:val="16"/>
                <w:lang w:val="fr-BE"/>
              </w:rPr>
              <w:t xml:space="preserve">présent </w:t>
            </w:r>
            <w:r w:rsidRPr="00EE1A70">
              <w:rPr>
                <w:i/>
                <w:sz w:val="16"/>
                <w:szCs w:val="16"/>
                <w:lang w:val="fr-BE"/>
              </w:rPr>
              <w:t>formulaire « entreprise d’assurance ou de réassurance ».</w:t>
            </w:r>
          </w:p>
        </w:tc>
      </w:tr>
      <w:tr w:rsidR="00676DBE" w:rsidRPr="005B6567" w14:paraId="65F287B3" w14:textId="77777777" w:rsidTr="00C80CF0">
        <w:trPr>
          <w:trHeight w:val="319"/>
        </w:trPr>
        <w:tc>
          <w:tcPr>
            <w:tcW w:w="14850" w:type="dxa"/>
            <w:gridSpan w:val="3"/>
            <w:shd w:val="clear" w:color="auto" w:fill="D9D9D9" w:themeFill="background1" w:themeFillShade="D9"/>
          </w:tcPr>
          <w:p w14:paraId="2EC21028" w14:textId="77777777" w:rsidR="00676DBE" w:rsidRPr="00DB4CC1" w:rsidRDefault="00676DBE" w:rsidP="00676DBE">
            <w:pPr>
              <w:numPr>
                <w:ilvl w:val="0"/>
                <w:numId w:val="11"/>
              </w:numPr>
              <w:contextualSpacing/>
              <w:rPr>
                <w:b/>
                <w:lang w:val="fr-BE"/>
              </w:rPr>
            </w:pPr>
            <w:r w:rsidRPr="00DB4CC1">
              <w:rPr>
                <w:b/>
                <w:lang w:val="fr-BE"/>
              </w:rPr>
              <w:t>Gouvernance entourant la sous-traitance</w:t>
            </w:r>
          </w:p>
        </w:tc>
      </w:tr>
      <w:tr w:rsidR="00676DBE" w:rsidRPr="005B6567" w14:paraId="319D8A23" w14:textId="77777777" w:rsidTr="00C80CF0">
        <w:trPr>
          <w:trHeight w:val="319"/>
        </w:trPr>
        <w:tc>
          <w:tcPr>
            <w:tcW w:w="14850" w:type="dxa"/>
            <w:gridSpan w:val="3"/>
            <w:shd w:val="clear" w:color="auto" w:fill="F2F2F2" w:themeFill="background1" w:themeFillShade="F2"/>
          </w:tcPr>
          <w:p w14:paraId="244CCE92" w14:textId="77777777" w:rsidR="00676DBE" w:rsidRPr="00DB4CC1" w:rsidRDefault="00676DBE" w:rsidP="00676DBE">
            <w:pPr>
              <w:numPr>
                <w:ilvl w:val="1"/>
                <w:numId w:val="11"/>
              </w:numPr>
              <w:contextualSpacing/>
              <w:rPr>
                <w:b/>
                <w:i/>
                <w:lang w:val="fr-BE"/>
              </w:rPr>
            </w:pPr>
            <w:r w:rsidRPr="00873A23">
              <w:rPr>
                <w:rFonts w:cs="Arial"/>
                <w:b/>
                <w:i/>
                <w:u w:val="single"/>
                <w:lang w:val="fr-BE"/>
              </w:rPr>
              <w:t>Phase précontractuelle : vérifications à faire avant de conclure un accord de sous-traitance :</w:t>
            </w:r>
          </w:p>
        </w:tc>
      </w:tr>
      <w:tr w:rsidR="00676DBE" w:rsidRPr="003D36D3" w14:paraId="569F3060" w14:textId="77777777" w:rsidTr="00C80CF0">
        <w:trPr>
          <w:trHeight w:val="319"/>
        </w:trPr>
        <w:tc>
          <w:tcPr>
            <w:tcW w:w="14850" w:type="dxa"/>
            <w:gridSpan w:val="3"/>
            <w:shd w:val="clear" w:color="auto" w:fill="F2F2F2" w:themeFill="background1" w:themeFillShade="F2"/>
          </w:tcPr>
          <w:p w14:paraId="03C9250E" w14:textId="77777777" w:rsidR="00676DBE" w:rsidRPr="00DB4CC1" w:rsidRDefault="00676DBE" w:rsidP="00C80CF0">
            <w:pPr>
              <w:contextualSpacing/>
              <w:rPr>
                <w:rFonts w:cs="Arial"/>
                <w:bCs/>
                <w:i/>
                <w:u w:val="single"/>
              </w:rPr>
            </w:pPr>
            <w:r w:rsidRPr="00DB4CC1">
              <w:rPr>
                <w:rFonts w:cs="Arial"/>
                <w:bCs/>
                <w:i/>
                <w:u w:val="single"/>
              </w:rPr>
              <w:t xml:space="preserve">§1. </w:t>
            </w:r>
            <w:r w:rsidRPr="006766B5">
              <w:rPr>
                <w:rFonts w:cs="Arial"/>
                <w:bCs/>
                <w:i/>
                <w:u w:val="single"/>
              </w:rPr>
              <w:t xml:space="preserve">Conditions </w:t>
            </w:r>
            <w:proofErr w:type="spellStart"/>
            <w:r w:rsidRPr="006766B5">
              <w:rPr>
                <w:rFonts w:cs="Arial"/>
                <w:bCs/>
                <w:i/>
                <w:u w:val="single"/>
              </w:rPr>
              <w:t>d’a</w:t>
            </w:r>
            <w:r w:rsidRPr="00C80CF0">
              <w:rPr>
                <w:rFonts w:cs="Arial"/>
                <w:bCs/>
                <w:i/>
                <w:u w:val="single"/>
              </w:rPr>
              <w:t>utorisation</w:t>
            </w:r>
            <w:proofErr w:type="spellEnd"/>
          </w:p>
        </w:tc>
      </w:tr>
      <w:tr w:rsidR="00676DBE" w:rsidRPr="005B6567" w14:paraId="55867051" w14:textId="77777777" w:rsidTr="00C80CF0">
        <w:trPr>
          <w:trHeight w:val="319"/>
        </w:trPr>
        <w:tc>
          <w:tcPr>
            <w:tcW w:w="7621" w:type="dxa"/>
          </w:tcPr>
          <w:p w14:paraId="340FA5BF" w14:textId="77777777" w:rsidR="00676DBE" w:rsidRPr="00DB4CC1" w:rsidRDefault="00676DBE" w:rsidP="00C80CF0">
            <w:pPr>
              <w:pStyle w:val="NormalWeb"/>
              <w:spacing w:before="60" w:beforeAutospacing="0" w:after="60" w:afterAutospacing="0"/>
              <w:ind w:left="426" w:hanging="426"/>
              <w:jc w:val="both"/>
              <w:rPr>
                <w:rFonts w:ascii="Arial" w:hAnsi="Arial" w:cs="Arial"/>
                <w:sz w:val="20"/>
                <w:szCs w:val="20"/>
              </w:rPr>
            </w:pPr>
          </w:p>
        </w:tc>
        <w:tc>
          <w:tcPr>
            <w:tcW w:w="2126" w:type="dxa"/>
            <w:shd w:val="clear" w:color="auto" w:fill="DBE5F1" w:themeFill="accent1" w:themeFillTint="33"/>
          </w:tcPr>
          <w:p w14:paraId="5756662E" w14:textId="77777777" w:rsidR="00676DBE" w:rsidRDefault="00676DBE" w:rsidP="00C80CF0">
            <w:pPr>
              <w:autoSpaceDE w:val="0"/>
              <w:autoSpaceDN w:val="0"/>
              <w:adjustRightInd w:val="0"/>
              <w:spacing w:line="240" w:lineRule="auto"/>
              <w:rPr>
                <w:i/>
                <w:lang w:val="fr-BE"/>
              </w:rPr>
            </w:pPr>
            <w:r w:rsidRPr="0027205B">
              <w:rPr>
                <w:rFonts w:cs="Arial"/>
                <w:sz w:val="16"/>
                <w:szCs w:val="16"/>
                <w:lang w:val="fr-BE" w:eastAsia="nl-BE"/>
              </w:rPr>
              <w:t>Source de l’exigence applicable</w:t>
            </w:r>
            <w:r>
              <w:rPr>
                <w:rFonts w:cs="Arial"/>
                <w:sz w:val="16"/>
                <w:szCs w:val="16"/>
                <w:lang w:val="fr-BE" w:eastAsia="nl-BE"/>
              </w:rPr>
              <w:t> : Article 274 du Règlement délégué 2015/35 et les sections suivantes de la circulaire coupole gouvernance</w:t>
            </w:r>
          </w:p>
        </w:tc>
        <w:tc>
          <w:tcPr>
            <w:tcW w:w="5103" w:type="dxa"/>
            <w:shd w:val="clear" w:color="auto" w:fill="DBE5F1" w:themeFill="accent1" w:themeFillTint="33"/>
          </w:tcPr>
          <w:p w14:paraId="289ACBBA" w14:textId="77777777" w:rsidR="00676DBE" w:rsidRDefault="00676DBE" w:rsidP="00C80CF0">
            <w:pPr>
              <w:autoSpaceDE w:val="0"/>
              <w:autoSpaceDN w:val="0"/>
              <w:adjustRightInd w:val="0"/>
              <w:spacing w:line="240" w:lineRule="auto"/>
              <w:rPr>
                <w:rFonts w:cs="Arial"/>
                <w:sz w:val="16"/>
                <w:szCs w:val="16"/>
                <w:lang w:val="fr-BE" w:eastAsia="nl-BE"/>
              </w:rPr>
            </w:pPr>
            <w:r>
              <w:rPr>
                <w:rFonts w:cs="Arial"/>
                <w:sz w:val="16"/>
                <w:szCs w:val="16"/>
                <w:lang w:val="fr-BE" w:eastAsia="nl-BE"/>
              </w:rPr>
              <w:t>Indiquez, pour chacune des exigences reprises ci-dessous, si vous trouvez que les procédures internes de votre entreprise sur le sujet concerné ont été pleinement ou partiellement mises en œuvre de manière effective au sein de votre entreprise pour répondre à cette exigence.  En cas de réponse « partiellement », les problèmes identifiés sont à mentionner.</w:t>
            </w:r>
          </w:p>
        </w:tc>
      </w:tr>
      <w:tr w:rsidR="00676DBE" w:rsidRPr="005B6567" w14:paraId="7985244A" w14:textId="77777777" w:rsidTr="00C80CF0">
        <w:trPr>
          <w:trHeight w:val="319"/>
        </w:trPr>
        <w:tc>
          <w:tcPr>
            <w:tcW w:w="7621" w:type="dxa"/>
          </w:tcPr>
          <w:p w14:paraId="218FB3C9" w14:textId="77777777" w:rsidR="00676DBE" w:rsidRPr="00873A23" w:rsidRDefault="00676DBE" w:rsidP="00C80CF0">
            <w:pPr>
              <w:contextualSpacing/>
              <w:rPr>
                <w:rFonts w:cs="Arial"/>
                <w:bCs/>
                <w:iCs/>
                <w:lang w:val="fr-BE"/>
              </w:rPr>
            </w:pPr>
            <w:r w:rsidRPr="00873A23">
              <w:rPr>
                <w:rFonts w:cs="Arial"/>
                <w:bCs/>
                <w:iCs/>
                <w:lang w:val="fr-BE"/>
              </w:rPr>
              <w:t xml:space="preserve">L’entreprise d’assurance a veillé à ce que les conditions d’autorisation liées à la sous-traitance de la fonction ou activité critique ou importante concernée aient été respectées, c’est-à-dire que : </w:t>
            </w:r>
          </w:p>
          <w:p w14:paraId="20F0F020" w14:textId="77777777" w:rsidR="00676DBE" w:rsidRPr="00873A23" w:rsidRDefault="00676DBE" w:rsidP="00676DBE">
            <w:pPr>
              <w:pStyle w:val="ListParagraph"/>
              <w:numPr>
                <w:ilvl w:val="0"/>
                <w:numId w:val="14"/>
              </w:numPr>
              <w:rPr>
                <w:rFonts w:cs="Arial"/>
                <w:bCs/>
                <w:iCs/>
                <w:lang w:val="fr-BE"/>
              </w:rPr>
            </w:pPr>
            <w:proofErr w:type="gramStart"/>
            <w:r w:rsidRPr="00873A23">
              <w:rPr>
                <w:rFonts w:cs="Arial"/>
                <w:bCs/>
                <w:iCs/>
                <w:lang w:val="fr-BE"/>
              </w:rPr>
              <w:t>si</w:t>
            </w:r>
            <w:proofErr w:type="gramEnd"/>
            <w:r w:rsidRPr="00873A23">
              <w:rPr>
                <w:rFonts w:cs="Arial"/>
                <w:bCs/>
                <w:iCs/>
                <w:lang w:val="fr-BE"/>
              </w:rPr>
              <w:t xml:space="preserve"> l’exécution de la fonction ou activité nécessite un agrément ou un enregistrement, le prestataire de service a été agréé ou enregistré ou est autorisé à exercer ces activités ou fonctions conformément au cadre juridique national applicable ; </w:t>
            </w:r>
          </w:p>
          <w:p w14:paraId="5638C7C0" w14:textId="77777777" w:rsidR="00676DBE" w:rsidRPr="00873A23" w:rsidRDefault="00676DBE" w:rsidP="00676DBE">
            <w:pPr>
              <w:pStyle w:val="ListParagraph"/>
              <w:numPr>
                <w:ilvl w:val="0"/>
                <w:numId w:val="14"/>
              </w:numPr>
              <w:rPr>
                <w:rFonts w:cs="Arial"/>
                <w:bCs/>
                <w:iCs/>
                <w:u w:val="single"/>
                <w:lang w:val="fr-BE"/>
              </w:rPr>
            </w:pPr>
            <w:proofErr w:type="gramStart"/>
            <w:r w:rsidRPr="00873A23">
              <w:rPr>
                <w:rFonts w:cs="Arial"/>
                <w:bCs/>
                <w:iCs/>
                <w:lang w:val="fr-BE"/>
              </w:rPr>
              <w:t>s’il</w:t>
            </w:r>
            <w:proofErr w:type="gramEnd"/>
            <w:r w:rsidRPr="00873A23">
              <w:rPr>
                <w:rFonts w:cs="Arial"/>
                <w:bCs/>
                <w:iCs/>
                <w:lang w:val="fr-BE"/>
              </w:rPr>
              <w:t xml:space="preserve"> s’agit d’une sous-traitance vers un prestataire de service situé dans un pays tiers, les conditions spécifiques reprises à la section 7.4.3. </w:t>
            </w:r>
            <w:proofErr w:type="gramStart"/>
            <w:r w:rsidRPr="00873A23">
              <w:rPr>
                <w:rFonts w:cs="Arial"/>
                <w:bCs/>
                <w:iCs/>
                <w:lang w:val="fr-BE"/>
              </w:rPr>
              <w:t>de</w:t>
            </w:r>
            <w:proofErr w:type="gramEnd"/>
            <w:r w:rsidRPr="00873A23">
              <w:rPr>
                <w:rFonts w:cs="Arial"/>
                <w:bCs/>
                <w:iCs/>
                <w:lang w:val="fr-BE"/>
              </w:rPr>
              <w:t xml:space="preserve"> la circulaire coupole gouvernance ont été respectées.</w:t>
            </w:r>
            <w:r w:rsidRPr="00873A23">
              <w:rPr>
                <w:rFonts w:cs="Arial"/>
                <w:bCs/>
                <w:iCs/>
                <w:u w:val="single"/>
                <w:lang w:val="fr-BE"/>
              </w:rPr>
              <w:t xml:space="preserve"> </w:t>
            </w:r>
          </w:p>
        </w:tc>
        <w:tc>
          <w:tcPr>
            <w:tcW w:w="2126" w:type="dxa"/>
          </w:tcPr>
          <w:p w14:paraId="5B53FF91" w14:textId="77777777" w:rsidR="00676DBE" w:rsidRPr="00873A23" w:rsidRDefault="00676DBE" w:rsidP="00C80CF0">
            <w:pPr>
              <w:contextualSpacing/>
              <w:rPr>
                <w:rFonts w:cs="Arial"/>
                <w:bCs/>
                <w:iCs/>
                <w:highlight w:val="yellow"/>
                <w:u w:val="single"/>
                <w:lang w:val="fr-BE"/>
              </w:rPr>
            </w:pPr>
            <w:r w:rsidRPr="00EE6E86">
              <w:rPr>
                <w:i/>
                <w:sz w:val="16"/>
                <w:szCs w:val="16"/>
                <w:lang w:val="fr-BE"/>
              </w:rPr>
              <w:t xml:space="preserve">Section 7.3.1. </w:t>
            </w:r>
            <w:proofErr w:type="gramStart"/>
            <w:r w:rsidRPr="00EE6E86">
              <w:rPr>
                <w:i/>
                <w:sz w:val="16"/>
                <w:szCs w:val="16"/>
                <w:lang w:val="fr-BE"/>
              </w:rPr>
              <w:t>de</w:t>
            </w:r>
            <w:proofErr w:type="gramEnd"/>
            <w:r w:rsidRPr="00EE6E86">
              <w:rPr>
                <w:i/>
                <w:sz w:val="16"/>
                <w:szCs w:val="16"/>
                <w:lang w:val="fr-BE"/>
              </w:rPr>
              <w:t xml:space="preserve"> la circulaire coupole gouvernance</w:t>
            </w:r>
          </w:p>
        </w:tc>
        <w:tc>
          <w:tcPr>
            <w:tcW w:w="5103" w:type="dxa"/>
          </w:tcPr>
          <w:p w14:paraId="40805051" w14:textId="77777777" w:rsidR="00676DBE" w:rsidRDefault="00676DBE" w:rsidP="00C80CF0">
            <w:pPr>
              <w:autoSpaceDE w:val="0"/>
              <w:autoSpaceDN w:val="0"/>
              <w:adjustRightInd w:val="0"/>
              <w:spacing w:line="240" w:lineRule="auto"/>
              <w:rPr>
                <w:rFonts w:cs="Arial"/>
                <w:sz w:val="16"/>
                <w:szCs w:val="16"/>
                <w:lang w:val="fr-BE" w:eastAsia="nl-BE"/>
              </w:rPr>
            </w:pPr>
            <w:r>
              <w:rPr>
                <w:rFonts w:cs="Arial"/>
                <w:sz w:val="16"/>
                <w:szCs w:val="16"/>
                <w:lang w:val="fr-BE" w:eastAsia="nl-BE"/>
              </w:rPr>
              <w:t>- pleinement</w:t>
            </w:r>
          </w:p>
          <w:p w14:paraId="159609D2" w14:textId="77777777" w:rsidR="00676DBE" w:rsidRDefault="00676DBE" w:rsidP="00C80CF0">
            <w:pPr>
              <w:autoSpaceDE w:val="0"/>
              <w:autoSpaceDN w:val="0"/>
              <w:adjustRightInd w:val="0"/>
              <w:spacing w:line="240" w:lineRule="auto"/>
              <w:rPr>
                <w:rFonts w:cs="Arial"/>
                <w:sz w:val="16"/>
                <w:szCs w:val="16"/>
                <w:lang w:val="fr-BE" w:eastAsia="nl-BE"/>
              </w:rPr>
            </w:pPr>
            <w:r>
              <w:rPr>
                <w:rFonts w:cs="Arial"/>
                <w:sz w:val="16"/>
                <w:szCs w:val="16"/>
                <w:lang w:val="fr-BE" w:eastAsia="nl-BE"/>
              </w:rPr>
              <w:t xml:space="preserve">- partiellement car </w:t>
            </w:r>
            <w:r w:rsidRPr="0058248F">
              <w:rPr>
                <w:rFonts w:cs="Arial"/>
                <w:sz w:val="16"/>
                <w:szCs w:val="16"/>
                <w:highlight w:val="green"/>
                <w:lang w:val="fr-BE" w:eastAsia="nl-BE"/>
              </w:rPr>
              <w:t>[texte libre]</w:t>
            </w:r>
          </w:p>
          <w:p w14:paraId="38038153" w14:textId="77777777" w:rsidR="00676DBE" w:rsidRPr="00873A23" w:rsidRDefault="00676DBE" w:rsidP="00C80CF0">
            <w:pPr>
              <w:contextualSpacing/>
              <w:rPr>
                <w:rFonts w:cs="Arial"/>
                <w:bCs/>
                <w:iCs/>
                <w:highlight w:val="yellow"/>
                <w:u w:val="single"/>
                <w:lang w:val="fr-BE"/>
              </w:rPr>
            </w:pPr>
          </w:p>
        </w:tc>
      </w:tr>
      <w:tr w:rsidR="00676DBE" w:rsidRPr="00321931" w14:paraId="18C4CC64" w14:textId="77777777" w:rsidTr="00C80CF0">
        <w:trPr>
          <w:trHeight w:val="319"/>
        </w:trPr>
        <w:tc>
          <w:tcPr>
            <w:tcW w:w="14850" w:type="dxa"/>
            <w:gridSpan w:val="3"/>
            <w:shd w:val="clear" w:color="auto" w:fill="F2F2F2" w:themeFill="background1" w:themeFillShade="F2"/>
          </w:tcPr>
          <w:p w14:paraId="03CE349B" w14:textId="77777777" w:rsidR="00676DBE" w:rsidRPr="00EB4D38" w:rsidRDefault="00676DBE" w:rsidP="00C80CF0">
            <w:pPr>
              <w:contextualSpacing/>
              <w:rPr>
                <w:rFonts w:cs="Arial"/>
                <w:bCs/>
                <w:i/>
                <w:highlight w:val="yellow"/>
                <w:u w:val="single"/>
              </w:rPr>
            </w:pPr>
            <w:r w:rsidRPr="00DB4CC1">
              <w:rPr>
                <w:rFonts w:cs="Arial"/>
                <w:bCs/>
                <w:i/>
                <w:u w:val="single"/>
              </w:rPr>
              <w:t xml:space="preserve">§2. Diligence </w:t>
            </w:r>
            <w:proofErr w:type="spellStart"/>
            <w:r w:rsidRPr="00DB4CC1">
              <w:rPr>
                <w:rFonts w:cs="Arial"/>
                <w:bCs/>
                <w:i/>
                <w:u w:val="single"/>
              </w:rPr>
              <w:t>appropriée</w:t>
            </w:r>
            <w:proofErr w:type="spellEnd"/>
          </w:p>
        </w:tc>
      </w:tr>
      <w:tr w:rsidR="00676DBE" w:rsidRPr="005B6567" w14:paraId="0D18A9A1" w14:textId="77777777" w:rsidTr="00C80CF0">
        <w:trPr>
          <w:trHeight w:val="319"/>
        </w:trPr>
        <w:tc>
          <w:tcPr>
            <w:tcW w:w="7621" w:type="dxa"/>
          </w:tcPr>
          <w:p w14:paraId="50E1E701" w14:textId="77777777" w:rsidR="00676DBE" w:rsidRPr="00EE1A70" w:rsidRDefault="00676DBE" w:rsidP="00C80CF0">
            <w:pPr>
              <w:pStyle w:val="NormalWeb"/>
              <w:spacing w:before="60" w:beforeAutospacing="0" w:after="60" w:afterAutospacing="0"/>
              <w:ind w:left="426" w:hanging="426"/>
              <w:jc w:val="both"/>
            </w:pPr>
            <w:r w:rsidRPr="00EE1A70">
              <w:rPr>
                <w:rFonts w:ascii="Arial" w:hAnsi="Arial" w:cs="Arial"/>
                <w:sz w:val="20"/>
                <w:szCs w:val="20"/>
              </w:rPr>
              <w:t xml:space="preserve">(a) L’entreprise a vérifié qu’un examen approfondi a été réalisé par le comité de direction ou sur délégation </w:t>
            </w:r>
            <w:r w:rsidRPr="00A65DCD">
              <w:rPr>
                <w:rFonts w:ascii="Arial" w:hAnsi="Arial" w:cs="Arial"/>
                <w:sz w:val="20"/>
                <w:szCs w:val="20"/>
              </w:rPr>
              <w:t>pour vérifier que le prestataire de services potentiel es</w:t>
            </w:r>
            <w:r w:rsidRPr="00EE1A70">
              <w:rPr>
                <w:rFonts w:ascii="Arial" w:hAnsi="Arial" w:cs="Arial"/>
                <w:sz w:val="20"/>
                <w:szCs w:val="20"/>
              </w:rPr>
              <w:t>t doté des aptitudes et de la capacité nécessaires pour exercer les fonctions ou activités requises de manière satisfaisante, compte tenu des objectifs et des besoins de l'entreprise ;</w:t>
            </w:r>
          </w:p>
        </w:tc>
        <w:tc>
          <w:tcPr>
            <w:tcW w:w="2126" w:type="dxa"/>
          </w:tcPr>
          <w:p w14:paraId="0567E091" w14:textId="77777777" w:rsidR="00676DBE" w:rsidRPr="00EE6E86" w:rsidRDefault="00676DBE" w:rsidP="00C80CF0">
            <w:pPr>
              <w:rPr>
                <w:i/>
                <w:sz w:val="16"/>
                <w:szCs w:val="16"/>
                <w:lang w:val="fr-BE"/>
              </w:rPr>
            </w:pPr>
            <w:r w:rsidRPr="00EE6E86">
              <w:rPr>
                <w:i/>
                <w:sz w:val="16"/>
                <w:szCs w:val="16"/>
                <w:lang w:val="fr-BE"/>
              </w:rPr>
              <w:t>Section 7.3.1. de la circulaire coupole gouvernance</w:t>
            </w:r>
          </w:p>
        </w:tc>
        <w:tc>
          <w:tcPr>
            <w:tcW w:w="5103" w:type="dxa"/>
          </w:tcPr>
          <w:p w14:paraId="7D1ECDEC" w14:textId="77777777" w:rsidR="00676DBE" w:rsidRDefault="00676DBE" w:rsidP="00C80CF0">
            <w:pPr>
              <w:autoSpaceDE w:val="0"/>
              <w:autoSpaceDN w:val="0"/>
              <w:adjustRightInd w:val="0"/>
              <w:spacing w:line="240" w:lineRule="auto"/>
              <w:rPr>
                <w:rFonts w:cs="Arial"/>
                <w:sz w:val="16"/>
                <w:szCs w:val="16"/>
                <w:lang w:val="fr-BE" w:eastAsia="nl-BE"/>
              </w:rPr>
            </w:pPr>
            <w:r>
              <w:rPr>
                <w:rFonts w:cs="Arial"/>
                <w:sz w:val="16"/>
                <w:szCs w:val="16"/>
                <w:lang w:val="fr-BE" w:eastAsia="nl-BE"/>
              </w:rPr>
              <w:t>- pleinement</w:t>
            </w:r>
          </w:p>
          <w:p w14:paraId="21CEE03B" w14:textId="77777777" w:rsidR="00676DBE" w:rsidRDefault="00676DBE" w:rsidP="00C80CF0">
            <w:pPr>
              <w:autoSpaceDE w:val="0"/>
              <w:autoSpaceDN w:val="0"/>
              <w:adjustRightInd w:val="0"/>
              <w:spacing w:line="240" w:lineRule="auto"/>
              <w:rPr>
                <w:rFonts w:cs="Arial"/>
                <w:sz w:val="16"/>
                <w:szCs w:val="16"/>
                <w:lang w:val="fr-BE" w:eastAsia="nl-BE"/>
              </w:rPr>
            </w:pPr>
            <w:r>
              <w:rPr>
                <w:rFonts w:cs="Arial"/>
                <w:sz w:val="16"/>
                <w:szCs w:val="16"/>
                <w:lang w:val="fr-BE" w:eastAsia="nl-BE"/>
              </w:rPr>
              <w:t xml:space="preserve">- partiellement car </w:t>
            </w:r>
            <w:r w:rsidRPr="00EB4D38">
              <w:rPr>
                <w:rFonts w:cs="Arial"/>
                <w:sz w:val="16"/>
                <w:szCs w:val="16"/>
                <w:highlight w:val="green"/>
                <w:lang w:val="fr-BE" w:eastAsia="nl-BE"/>
              </w:rPr>
              <w:t>[texte libre]</w:t>
            </w:r>
          </w:p>
          <w:p w14:paraId="187CF6E7" w14:textId="77777777" w:rsidR="00676DBE" w:rsidRPr="0087133E" w:rsidRDefault="00676DBE" w:rsidP="00C80CF0">
            <w:pPr>
              <w:autoSpaceDE w:val="0"/>
              <w:autoSpaceDN w:val="0"/>
              <w:adjustRightInd w:val="0"/>
              <w:spacing w:line="240" w:lineRule="auto"/>
              <w:rPr>
                <w:lang w:val="fr-BE"/>
              </w:rPr>
            </w:pPr>
          </w:p>
        </w:tc>
      </w:tr>
      <w:tr w:rsidR="00676DBE" w:rsidRPr="0087133E" w14:paraId="58CC5BBE" w14:textId="77777777" w:rsidTr="00C80CF0">
        <w:trPr>
          <w:trHeight w:val="319"/>
        </w:trPr>
        <w:tc>
          <w:tcPr>
            <w:tcW w:w="7621" w:type="dxa"/>
          </w:tcPr>
          <w:p w14:paraId="06303153" w14:textId="77777777" w:rsidR="00676DBE" w:rsidRPr="00EE1A70" w:rsidRDefault="00676DBE" w:rsidP="00C80CF0">
            <w:pPr>
              <w:pStyle w:val="NormalWeb"/>
              <w:spacing w:before="60" w:beforeAutospacing="0" w:after="60" w:afterAutospacing="0"/>
              <w:ind w:left="426" w:hanging="426"/>
              <w:jc w:val="both"/>
            </w:pPr>
            <w:r w:rsidRPr="00EE1A70">
              <w:rPr>
                <w:rFonts w:ascii="Arial" w:hAnsi="Arial" w:cs="Arial"/>
                <w:sz w:val="20"/>
                <w:szCs w:val="20"/>
              </w:rPr>
              <w:t xml:space="preserve">(b) L’entreprise a vérifié que le prestataire de services dispose des ressources </w:t>
            </w:r>
            <w:r w:rsidRPr="00EE1A70">
              <w:rPr>
                <w:rFonts w:ascii="Arial" w:hAnsi="Arial" w:cs="Arial"/>
                <w:sz w:val="20"/>
                <w:szCs w:val="20"/>
              </w:rPr>
              <w:lastRenderedPageBreak/>
              <w:t>financières nécessaires pour s'acquitter comme il se doit et de manière fiable de</w:t>
            </w:r>
            <w:r w:rsidRPr="00A65DCD">
              <w:rPr>
                <w:rFonts w:ascii="Arial" w:hAnsi="Arial" w:cs="Arial"/>
                <w:sz w:val="20"/>
                <w:szCs w:val="20"/>
              </w:rPr>
              <w:t>s</w:t>
            </w:r>
            <w:r w:rsidRPr="00EE1A70">
              <w:rPr>
                <w:rFonts w:ascii="Arial" w:hAnsi="Arial" w:cs="Arial"/>
                <w:sz w:val="20"/>
                <w:szCs w:val="20"/>
              </w:rPr>
              <w:t xml:space="preserve"> tâches visées par la sous-traitance, et que tous les membres du personnel de ce prestataire appelés à participer à l'exercice des fonctions ou activités sous-traitées sont suffisamment qualifiés et fiables ;</w:t>
            </w:r>
          </w:p>
        </w:tc>
        <w:tc>
          <w:tcPr>
            <w:tcW w:w="2126" w:type="dxa"/>
          </w:tcPr>
          <w:p w14:paraId="01E0FA99" w14:textId="77777777" w:rsidR="00676DBE" w:rsidRPr="00EE6E86" w:rsidRDefault="00676DBE" w:rsidP="00C80CF0">
            <w:pPr>
              <w:rPr>
                <w:i/>
                <w:sz w:val="16"/>
                <w:szCs w:val="16"/>
                <w:lang w:val="fr-BE"/>
              </w:rPr>
            </w:pPr>
            <w:r w:rsidRPr="00EE6E86">
              <w:rPr>
                <w:i/>
                <w:sz w:val="16"/>
                <w:szCs w:val="16"/>
                <w:lang w:val="fr-BE"/>
              </w:rPr>
              <w:lastRenderedPageBreak/>
              <w:t xml:space="preserve">Section 7.3.1. de la </w:t>
            </w:r>
            <w:r w:rsidRPr="00EE6E86">
              <w:rPr>
                <w:i/>
                <w:sz w:val="16"/>
                <w:szCs w:val="16"/>
                <w:lang w:val="fr-BE"/>
              </w:rPr>
              <w:lastRenderedPageBreak/>
              <w:t>circulaire coupole gouvernance</w:t>
            </w:r>
          </w:p>
        </w:tc>
        <w:tc>
          <w:tcPr>
            <w:tcW w:w="5103" w:type="dxa"/>
          </w:tcPr>
          <w:p w14:paraId="2EFA70F6" w14:textId="77777777" w:rsidR="00676DBE" w:rsidRPr="0087133E" w:rsidRDefault="00676DBE" w:rsidP="00C80CF0">
            <w:pPr>
              <w:rPr>
                <w:lang w:val="fr-BE"/>
              </w:rPr>
            </w:pPr>
            <w:r>
              <w:rPr>
                <w:lang w:val="fr-BE"/>
              </w:rPr>
              <w:lastRenderedPageBreak/>
              <w:t>‘’</w:t>
            </w:r>
          </w:p>
        </w:tc>
      </w:tr>
      <w:tr w:rsidR="00676DBE" w:rsidRPr="0087133E" w14:paraId="543E5AC2" w14:textId="77777777" w:rsidTr="00C80CF0">
        <w:trPr>
          <w:trHeight w:val="319"/>
        </w:trPr>
        <w:tc>
          <w:tcPr>
            <w:tcW w:w="7621" w:type="dxa"/>
          </w:tcPr>
          <w:p w14:paraId="32E878B7" w14:textId="77777777" w:rsidR="00676DBE" w:rsidRPr="00EE1A70" w:rsidRDefault="00676DBE" w:rsidP="00C80CF0">
            <w:pPr>
              <w:pStyle w:val="NormalWeb"/>
              <w:spacing w:before="60" w:beforeAutospacing="0" w:after="60" w:afterAutospacing="0"/>
              <w:ind w:left="426" w:hanging="426"/>
              <w:jc w:val="both"/>
            </w:pPr>
            <w:r w:rsidRPr="00EE1A70">
              <w:rPr>
                <w:rFonts w:ascii="Arial" w:hAnsi="Arial" w:cs="Arial"/>
                <w:sz w:val="20"/>
                <w:szCs w:val="20"/>
              </w:rPr>
              <w:t>(c) L’entreprise a vérifié que le prestataire de services a</w:t>
            </w:r>
            <w:r w:rsidRPr="00A65DCD">
              <w:rPr>
                <w:rFonts w:ascii="Arial" w:hAnsi="Arial" w:cs="Arial"/>
                <w:sz w:val="20"/>
                <w:szCs w:val="20"/>
              </w:rPr>
              <w:t xml:space="preserve"> pris toute mesure nécess</w:t>
            </w:r>
            <w:r w:rsidRPr="00EE1A70">
              <w:rPr>
                <w:rFonts w:ascii="Arial" w:hAnsi="Arial" w:cs="Arial"/>
                <w:sz w:val="20"/>
                <w:szCs w:val="20"/>
              </w:rPr>
              <w:t xml:space="preserve">aire pour qu'aucun conflit d'intérêts manifeste ou potentiel ne compromette la satisfaction des besoins de l'entreprise qui sous-traite ; </w:t>
            </w:r>
          </w:p>
        </w:tc>
        <w:tc>
          <w:tcPr>
            <w:tcW w:w="2126" w:type="dxa"/>
          </w:tcPr>
          <w:p w14:paraId="1B6BE584" w14:textId="77777777" w:rsidR="00676DBE" w:rsidRPr="00EE6E86" w:rsidRDefault="00676DBE" w:rsidP="00C80CF0">
            <w:pPr>
              <w:rPr>
                <w:i/>
                <w:sz w:val="16"/>
                <w:szCs w:val="16"/>
                <w:lang w:val="fr-BE"/>
              </w:rPr>
            </w:pPr>
            <w:r w:rsidRPr="00EE6E86">
              <w:rPr>
                <w:i/>
                <w:sz w:val="16"/>
                <w:szCs w:val="16"/>
                <w:lang w:val="fr-BE"/>
              </w:rPr>
              <w:t>Section 7.3.1. de la circulaire coupole gouvernance</w:t>
            </w:r>
          </w:p>
        </w:tc>
        <w:tc>
          <w:tcPr>
            <w:tcW w:w="5103" w:type="dxa"/>
          </w:tcPr>
          <w:p w14:paraId="1550B50C" w14:textId="77777777" w:rsidR="00676DBE" w:rsidRPr="0087133E" w:rsidRDefault="00676DBE" w:rsidP="00C80CF0">
            <w:pPr>
              <w:rPr>
                <w:lang w:val="fr-BE"/>
              </w:rPr>
            </w:pPr>
            <w:r>
              <w:rPr>
                <w:lang w:val="fr-BE"/>
              </w:rPr>
              <w:t>‘’</w:t>
            </w:r>
          </w:p>
        </w:tc>
      </w:tr>
      <w:tr w:rsidR="00676DBE" w:rsidRPr="0087133E" w14:paraId="7E634CF3" w14:textId="77777777" w:rsidTr="00C80CF0">
        <w:trPr>
          <w:trHeight w:val="319"/>
        </w:trPr>
        <w:tc>
          <w:tcPr>
            <w:tcW w:w="7621" w:type="dxa"/>
          </w:tcPr>
          <w:p w14:paraId="772CB6AA" w14:textId="77777777" w:rsidR="00676DBE" w:rsidRPr="00EE1A70" w:rsidRDefault="00676DBE" w:rsidP="00C80CF0">
            <w:pPr>
              <w:pStyle w:val="NormalWeb"/>
              <w:spacing w:before="60" w:beforeAutospacing="0" w:after="60" w:afterAutospacing="0"/>
              <w:ind w:left="426" w:hanging="426"/>
              <w:jc w:val="both"/>
              <w:rPr>
                <w:rFonts w:ascii="Arial" w:hAnsi="Arial" w:cs="Arial"/>
                <w:sz w:val="20"/>
                <w:szCs w:val="20"/>
              </w:rPr>
            </w:pPr>
            <w:r w:rsidRPr="00EE1A70">
              <w:rPr>
                <w:rFonts w:ascii="Arial" w:hAnsi="Arial" w:cs="Arial"/>
                <w:sz w:val="20"/>
                <w:szCs w:val="20"/>
              </w:rPr>
              <w:t>(d)  L’entreprise a vérifié que la sous-traitance n'entraîne la violation d'aucun texte de loi, en particulier des règles relatives à la protection des données</w:t>
            </w:r>
            <w:r w:rsidRPr="00A65DCD">
              <w:rPr>
                <w:rFonts w:ascii="Arial" w:hAnsi="Arial" w:cs="Arial"/>
                <w:sz w:val="20"/>
                <w:szCs w:val="20"/>
              </w:rPr>
              <w:t xml:space="preserve"> </w:t>
            </w:r>
            <w:r w:rsidRPr="00EE1A70">
              <w:rPr>
                <w:rFonts w:ascii="Arial" w:hAnsi="Arial" w:cs="Arial"/>
                <w:sz w:val="20"/>
                <w:szCs w:val="20"/>
              </w:rPr>
              <w:t xml:space="preserve">; </w:t>
            </w:r>
          </w:p>
        </w:tc>
        <w:tc>
          <w:tcPr>
            <w:tcW w:w="2126" w:type="dxa"/>
          </w:tcPr>
          <w:p w14:paraId="09689112" w14:textId="77777777" w:rsidR="00676DBE" w:rsidRPr="00EE6E86" w:rsidRDefault="00676DBE" w:rsidP="00C80CF0">
            <w:pPr>
              <w:rPr>
                <w:i/>
                <w:sz w:val="16"/>
                <w:szCs w:val="16"/>
                <w:lang w:val="fr-BE"/>
              </w:rPr>
            </w:pPr>
            <w:r w:rsidRPr="00EE6E86">
              <w:rPr>
                <w:i/>
                <w:sz w:val="16"/>
                <w:szCs w:val="16"/>
                <w:lang w:val="fr-BE"/>
              </w:rPr>
              <w:t>Section 7.3.1. de la circulaire coupole gouvernance</w:t>
            </w:r>
          </w:p>
        </w:tc>
        <w:tc>
          <w:tcPr>
            <w:tcW w:w="5103" w:type="dxa"/>
          </w:tcPr>
          <w:p w14:paraId="0B921604" w14:textId="77777777" w:rsidR="00676DBE" w:rsidRPr="0087133E" w:rsidRDefault="00676DBE" w:rsidP="00C80CF0">
            <w:pPr>
              <w:rPr>
                <w:lang w:val="fr-BE"/>
              </w:rPr>
            </w:pPr>
            <w:r>
              <w:rPr>
                <w:lang w:val="fr-BE"/>
              </w:rPr>
              <w:t>‘’</w:t>
            </w:r>
          </w:p>
        </w:tc>
      </w:tr>
      <w:tr w:rsidR="00676DBE" w:rsidRPr="0087133E" w14:paraId="08875DDC" w14:textId="77777777" w:rsidTr="00C80CF0">
        <w:trPr>
          <w:trHeight w:val="319"/>
        </w:trPr>
        <w:tc>
          <w:tcPr>
            <w:tcW w:w="7621" w:type="dxa"/>
          </w:tcPr>
          <w:p w14:paraId="428BFAA4" w14:textId="77777777" w:rsidR="00676DBE" w:rsidRPr="00EE1A70" w:rsidRDefault="00676DBE" w:rsidP="00C80CF0">
            <w:pPr>
              <w:pStyle w:val="NormalWeb"/>
              <w:spacing w:before="60" w:beforeAutospacing="0" w:after="60" w:afterAutospacing="0"/>
              <w:ind w:left="426" w:hanging="426"/>
              <w:jc w:val="both"/>
              <w:rPr>
                <w:rFonts w:ascii="Arial" w:hAnsi="Arial" w:cs="Arial"/>
                <w:sz w:val="20"/>
                <w:szCs w:val="20"/>
              </w:rPr>
            </w:pPr>
            <w:r w:rsidRPr="00EE1A70">
              <w:rPr>
                <w:rFonts w:ascii="Arial" w:hAnsi="Arial" w:cs="Arial"/>
                <w:sz w:val="20"/>
                <w:szCs w:val="20"/>
              </w:rPr>
              <w:t>(e)</w:t>
            </w:r>
            <w:r w:rsidRPr="00EE1A70">
              <w:rPr>
                <w:rFonts w:ascii="Arial" w:hAnsi="Arial" w:cs="Arial"/>
                <w:sz w:val="20"/>
                <w:szCs w:val="20"/>
              </w:rPr>
              <w:tab/>
              <w:t xml:space="preserve">L’entreprise a vérifié que </w:t>
            </w:r>
            <w:r w:rsidRPr="00A65DCD">
              <w:rPr>
                <w:rFonts w:ascii="Arial" w:hAnsi="Arial" w:cs="Arial"/>
                <w:sz w:val="20"/>
                <w:szCs w:val="20"/>
              </w:rPr>
              <w:t xml:space="preserve">le prestataire de services </w:t>
            </w:r>
            <w:r w:rsidRPr="00EE1A70">
              <w:rPr>
                <w:rFonts w:ascii="Arial" w:hAnsi="Arial" w:cs="Arial"/>
                <w:sz w:val="20"/>
                <w:szCs w:val="20"/>
              </w:rPr>
              <w:t xml:space="preserve">est soumis aux mêmes dispositions, en matière de sûreté et de confidentialité des informations relatives à l'entreprise d'assurance ou à ses preneurs ou bénéficiaires, que celles qui s'appliquent à l'entreprise d'assurance. </w:t>
            </w:r>
          </w:p>
        </w:tc>
        <w:tc>
          <w:tcPr>
            <w:tcW w:w="2126" w:type="dxa"/>
          </w:tcPr>
          <w:p w14:paraId="0F1B42DE" w14:textId="77777777" w:rsidR="00676DBE" w:rsidRPr="00EE6E86" w:rsidRDefault="00676DBE" w:rsidP="00C80CF0">
            <w:pPr>
              <w:rPr>
                <w:i/>
                <w:sz w:val="16"/>
                <w:szCs w:val="16"/>
                <w:lang w:val="fr-BE"/>
              </w:rPr>
            </w:pPr>
            <w:r w:rsidRPr="00EE6E86">
              <w:rPr>
                <w:i/>
                <w:sz w:val="16"/>
                <w:szCs w:val="16"/>
                <w:lang w:val="fr-BE"/>
              </w:rPr>
              <w:t>Section 7.3.1. de la circulaire coupole gouvernance</w:t>
            </w:r>
          </w:p>
        </w:tc>
        <w:tc>
          <w:tcPr>
            <w:tcW w:w="5103" w:type="dxa"/>
          </w:tcPr>
          <w:p w14:paraId="23E0F799" w14:textId="77777777" w:rsidR="00676DBE" w:rsidRPr="0087133E" w:rsidRDefault="00676DBE" w:rsidP="00C80CF0">
            <w:pPr>
              <w:rPr>
                <w:lang w:val="fr-BE"/>
              </w:rPr>
            </w:pPr>
            <w:r>
              <w:rPr>
                <w:lang w:val="fr-BE"/>
              </w:rPr>
              <w:t>‘’</w:t>
            </w:r>
          </w:p>
        </w:tc>
      </w:tr>
      <w:tr w:rsidR="00676DBE" w:rsidRPr="005B6567" w14:paraId="47DDD507" w14:textId="77777777" w:rsidTr="00C80CF0">
        <w:trPr>
          <w:trHeight w:val="319"/>
        </w:trPr>
        <w:tc>
          <w:tcPr>
            <w:tcW w:w="14850" w:type="dxa"/>
            <w:gridSpan w:val="3"/>
            <w:shd w:val="clear" w:color="auto" w:fill="F2F2F2" w:themeFill="background1" w:themeFillShade="F2"/>
          </w:tcPr>
          <w:p w14:paraId="4C287A04" w14:textId="77777777" w:rsidR="00676DBE" w:rsidRPr="00873A23" w:rsidRDefault="00676DBE" w:rsidP="00C80CF0">
            <w:pPr>
              <w:contextualSpacing/>
              <w:rPr>
                <w:rFonts w:cs="Arial"/>
                <w:bCs/>
                <w:i/>
                <w:u w:val="single"/>
                <w:lang w:val="fr-BE"/>
              </w:rPr>
            </w:pPr>
            <w:r w:rsidRPr="00873A23">
              <w:rPr>
                <w:rFonts w:cs="Arial"/>
                <w:bCs/>
                <w:i/>
                <w:u w:val="single"/>
                <w:lang w:val="fr-BE"/>
              </w:rPr>
              <w:t>§3. Evaluation des risques liés au dispositif de sous-traitance</w:t>
            </w:r>
          </w:p>
        </w:tc>
      </w:tr>
      <w:tr w:rsidR="00676DBE" w:rsidRPr="005B6567" w14:paraId="39BF6CD2" w14:textId="77777777" w:rsidTr="00C80CF0">
        <w:trPr>
          <w:trHeight w:val="319"/>
        </w:trPr>
        <w:tc>
          <w:tcPr>
            <w:tcW w:w="7621" w:type="dxa"/>
          </w:tcPr>
          <w:p w14:paraId="244244C3" w14:textId="77777777" w:rsidR="00676DBE" w:rsidRPr="00DB4CC1" w:rsidRDefault="00676DBE" w:rsidP="00C80CF0">
            <w:pPr>
              <w:pStyle w:val="NormalWeb"/>
              <w:rPr>
                <w:rFonts w:ascii="Arial" w:hAnsi="Arial" w:cs="Arial"/>
                <w:sz w:val="20"/>
                <w:szCs w:val="20"/>
              </w:rPr>
            </w:pPr>
            <w:r w:rsidRPr="00DB4CC1">
              <w:rPr>
                <w:rFonts w:ascii="Arial" w:hAnsi="Arial" w:cs="Arial"/>
                <w:sz w:val="20"/>
                <w:szCs w:val="20"/>
              </w:rPr>
              <w:t>L’entreprise d’assurance a réalisé une évaluation des risques liés à la sous-traitance (</w:t>
            </w:r>
            <w:proofErr w:type="spellStart"/>
            <w:r w:rsidRPr="00DB4CC1">
              <w:rPr>
                <w:rFonts w:ascii="Arial" w:hAnsi="Arial" w:cs="Arial"/>
                <w:i/>
                <w:iCs/>
                <w:sz w:val="20"/>
                <w:szCs w:val="20"/>
              </w:rPr>
              <w:t>risk</w:t>
            </w:r>
            <w:proofErr w:type="spellEnd"/>
            <w:r w:rsidRPr="00DB4CC1">
              <w:rPr>
                <w:rFonts w:ascii="Arial" w:hAnsi="Arial" w:cs="Arial"/>
                <w:i/>
                <w:iCs/>
                <w:sz w:val="20"/>
                <w:szCs w:val="20"/>
              </w:rPr>
              <w:t xml:space="preserve"> </w:t>
            </w:r>
            <w:proofErr w:type="spellStart"/>
            <w:r w:rsidRPr="00DB4CC1">
              <w:rPr>
                <w:rFonts w:ascii="Arial" w:hAnsi="Arial" w:cs="Arial"/>
                <w:i/>
                <w:iCs/>
                <w:sz w:val="20"/>
                <w:szCs w:val="20"/>
              </w:rPr>
              <w:t>assessment</w:t>
            </w:r>
            <w:proofErr w:type="spellEnd"/>
            <w:r w:rsidRPr="00DB4CC1">
              <w:rPr>
                <w:rFonts w:ascii="Arial" w:hAnsi="Arial" w:cs="Arial"/>
                <w:sz w:val="20"/>
                <w:szCs w:val="20"/>
              </w:rPr>
              <w:t>) qui prend au moins en compte les éléments suivants :</w:t>
            </w:r>
          </w:p>
          <w:p w14:paraId="1D54B0CD" w14:textId="77777777" w:rsidR="00676DBE" w:rsidRPr="00DB4CC1" w:rsidRDefault="00676DBE" w:rsidP="00C80CF0">
            <w:pPr>
              <w:pStyle w:val="NormalWeb"/>
              <w:ind w:left="284" w:hanging="284"/>
              <w:rPr>
                <w:rFonts w:ascii="Arial" w:hAnsi="Arial" w:cs="Arial"/>
                <w:sz w:val="20"/>
                <w:szCs w:val="20"/>
              </w:rPr>
            </w:pPr>
            <w:r w:rsidRPr="00DB4CC1">
              <w:rPr>
                <w:rFonts w:ascii="Arial" w:hAnsi="Arial" w:cs="Arial"/>
                <w:sz w:val="20"/>
                <w:szCs w:val="20"/>
              </w:rPr>
              <w:t xml:space="preserve">(a) les risques de concentration, y compris les risques provenant : (i) de l’externalisation à un prestataire de services majeur qui n’est pas facilement substituable et (ii) d’accords de sous-traitance multiples conclus avec le même prestataire de services ou des prestataires de services étroitement liés ; </w:t>
            </w:r>
          </w:p>
          <w:p w14:paraId="550F78A5" w14:textId="77777777" w:rsidR="00676DBE" w:rsidRPr="00DB4CC1" w:rsidRDefault="00676DBE" w:rsidP="00C80CF0">
            <w:pPr>
              <w:pStyle w:val="NormalWeb"/>
              <w:ind w:left="284" w:hanging="284"/>
              <w:rPr>
                <w:rFonts w:ascii="Arial" w:hAnsi="Arial" w:cs="Arial"/>
                <w:sz w:val="20"/>
                <w:szCs w:val="20"/>
              </w:rPr>
            </w:pPr>
            <w:r w:rsidRPr="00DB4CC1">
              <w:rPr>
                <w:rFonts w:ascii="Arial" w:hAnsi="Arial" w:cs="Arial"/>
                <w:sz w:val="20"/>
                <w:szCs w:val="20"/>
              </w:rPr>
              <w:t xml:space="preserve">(b) les risques </w:t>
            </w:r>
            <w:r w:rsidRPr="00B63D5C">
              <w:rPr>
                <w:rFonts w:ascii="Arial" w:hAnsi="Arial" w:cs="Arial"/>
                <w:sz w:val="20"/>
                <w:szCs w:val="20"/>
              </w:rPr>
              <w:t>agrégés résultant de la sous-traitance de plusieurs fonctions au sein de l’entreprise ;</w:t>
            </w:r>
            <w:r w:rsidRPr="00DB4CC1">
              <w:rPr>
                <w:rFonts w:ascii="Arial" w:hAnsi="Arial" w:cs="Arial"/>
                <w:sz w:val="20"/>
                <w:szCs w:val="20"/>
              </w:rPr>
              <w:t xml:space="preserve"> </w:t>
            </w:r>
          </w:p>
          <w:p w14:paraId="4D94396B" w14:textId="77777777" w:rsidR="00676DBE" w:rsidRPr="00DB4CC1" w:rsidRDefault="00676DBE" w:rsidP="00C80CF0">
            <w:pPr>
              <w:pStyle w:val="NormalWeb"/>
              <w:ind w:left="284" w:hanging="284"/>
              <w:rPr>
                <w:rFonts w:ascii="Arial" w:hAnsi="Arial" w:cs="Arial"/>
                <w:sz w:val="20"/>
                <w:szCs w:val="20"/>
              </w:rPr>
            </w:pPr>
            <w:r w:rsidRPr="00DB4CC1">
              <w:rPr>
                <w:rFonts w:ascii="Arial" w:hAnsi="Arial" w:cs="Arial"/>
                <w:sz w:val="20"/>
                <w:szCs w:val="20"/>
              </w:rPr>
              <w:t>(c) dans le cas d’entrep</w:t>
            </w:r>
            <w:r>
              <w:rPr>
                <w:rFonts w:ascii="Arial" w:hAnsi="Arial" w:cs="Arial"/>
                <w:sz w:val="20"/>
                <w:szCs w:val="20"/>
              </w:rPr>
              <w:t>r</w:t>
            </w:r>
            <w:r w:rsidRPr="00DB4CC1">
              <w:rPr>
                <w:rFonts w:ascii="Arial" w:hAnsi="Arial" w:cs="Arial"/>
                <w:sz w:val="20"/>
                <w:szCs w:val="20"/>
              </w:rPr>
              <w:t>i</w:t>
            </w:r>
            <w:r>
              <w:rPr>
                <w:rFonts w:ascii="Arial" w:hAnsi="Arial" w:cs="Arial"/>
                <w:sz w:val="20"/>
                <w:szCs w:val="20"/>
              </w:rPr>
              <w:t>s</w:t>
            </w:r>
            <w:r w:rsidRPr="00DB4CC1">
              <w:rPr>
                <w:rFonts w:ascii="Arial" w:hAnsi="Arial" w:cs="Arial"/>
                <w:sz w:val="20"/>
                <w:szCs w:val="20"/>
              </w:rPr>
              <w:t xml:space="preserve">es d’importance significative, le risque d’intervention </w:t>
            </w:r>
            <w:proofErr w:type="gramStart"/>
            <w:r w:rsidRPr="00DB4CC1">
              <w:rPr>
                <w:rFonts w:ascii="Arial" w:hAnsi="Arial" w:cs="Arial"/>
                <w:sz w:val="20"/>
                <w:szCs w:val="20"/>
              </w:rPr>
              <w:t>(«</w:t>
            </w:r>
            <w:proofErr w:type="spellStart"/>
            <w:r w:rsidRPr="00DB4CC1">
              <w:rPr>
                <w:rFonts w:ascii="Arial" w:hAnsi="Arial" w:cs="Arial"/>
                <w:sz w:val="20"/>
                <w:szCs w:val="20"/>
              </w:rPr>
              <w:t>step</w:t>
            </w:r>
            <w:proofErr w:type="spellEnd"/>
            <w:proofErr w:type="gramEnd"/>
            <w:r w:rsidRPr="00DB4CC1">
              <w:rPr>
                <w:rFonts w:ascii="Arial" w:hAnsi="Arial" w:cs="Arial"/>
                <w:sz w:val="20"/>
                <w:szCs w:val="20"/>
              </w:rPr>
              <w:t xml:space="preserve">-in </w:t>
            </w:r>
            <w:proofErr w:type="spellStart"/>
            <w:r w:rsidRPr="00DB4CC1">
              <w:rPr>
                <w:rFonts w:ascii="Arial" w:hAnsi="Arial" w:cs="Arial"/>
                <w:sz w:val="20"/>
                <w:szCs w:val="20"/>
              </w:rPr>
              <w:t>risk</w:t>
            </w:r>
            <w:proofErr w:type="spellEnd"/>
            <w:r w:rsidRPr="00DB4CC1">
              <w:rPr>
                <w:rFonts w:ascii="Arial" w:hAnsi="Arial" w:cs="Arial"/>
                <w:sz w:val="20"/>
                <w:szCs w:val="20"/>
              </w:rPr>
              <w:t xml:space="preserve">»), c’est-à-dire le risque qui peut résulter de la nécessité d’apporter un soutien financier à un prestataire de services en difficulté ou de reprendre ses activités commerciales; et </w:t>
            </w:r>
          </w:p>
          <w:p w14:paraId="4A6B91CA" w14:textId="77777777" w:rsidR="00676DBE" w:rsidRDefault="00676DBE" w:rsidP="00C80CF0">
            <w:pPr>
              <w:pStyle w:val="NormalWeb"/>
              <w:spacing w:before="0" w:beforeAutospacing="0" w:after="0" w:afterAutospacing="0"/>
              <w:ind w:left="284" w:hanging="284"/>
              <w:rPr>
                <w:rFonts w:ascii="Arial" w:hAnsi="Arial" w:cs="Arial"/>
                <w:sz w:val="20"/>
                <w:szCs w:val="20"/>
              </w:rPr>
            </w:pPr>
            <w:r w:rsidRPr="00DB4CC1">
              <w:rPr>
                <w:rFonts w:ascii="Arial" w:hAnsi="Arial" w:cs="Arial"/>
                <w:sz w:val="20"/>
                <w:szCs w:val="20"/>
              </w:rPr>
              <w:t xml:space="preserve">(d) les mesures mises en </w:t>
            </w:r>
            <w:proofErr w:type="spellStart"/>
            <w:r w:rsidRPr="00DB4CC1">
              <w:rPr>
                <w:rFonts w:ascii="Arial" w:hAnsi="Arial" w:cs="Arial"/>
                <w:sz w:val="20"/>
                <w:szCs w:val="20"/>
              </w:rPr>
              <w:t>oeuvre</w:t>
            </w:r>
            <w:proofErr w:type="spellEnd"/>
            <w:r w:rsidRPr="00DB4CC1">
              <w:rPr>
                <w:rFonts w:ascii="Arial" w:hAnsi="Arial" w:cs="Arial"/>
                <w:sz w:val="20"/>
                <w:szCs w:val="20"/>
              </w:rPr>
              <w:t xml:space="preserve"> par l’entreprise et par le prestataire de services pour gérer et atténuer les risques. </w:t>
            </w:r>
          </w:p>
          <w:p w14:paraId="1BC4DD02" w14:textId="77777777" w:rsidR="00676DBE" w:rsidRPr="00DB4CC1" w:rsidRDefault="00676DBE" w:rsidP="00C80CF0">
            <w:pPr>
              <w:pStyle w:val="NormalWeb"/>
              <w:ind w:left="284" w:hanging="284"/>
              <w:rPr>
                <w:rFonts w:ascii="Arial" w:hAnsi="Arial" w:cs="Arial"/>
                <w:sz w:val="20"/>
                <w:szCs w:val="20"/>
              </w:rPr>
            </w:pPr>
          </w:p>
        </w:tc>
        <w:tc>
          <w:tcPr>
            <w:tcW w:w="2126" w:type="dxa"/>
          </w:tcPr>
          <w:p w14:paraId="6A5F5B68" w14:textId="77777777" w:rsidR="00676DBE" w:rsidRPr="00EE6E86" w:rsidRDefault="00676DBE" w:rsidP="00C80CF0">
            <w:pPr>
              <w:rPr>
                <w:i/>
                <w:sz w:val="16"/>
                <w:szCs w:val="16"/>
                <w:lang w:val="fr-BE"/>
              </w:rPr>
            </w:pPr>
            <w:r w:rsidRPr="00EE1A70">
              <w:rPr>
                <w:i/>
                <w:sz w:val="16"/>
                <w:szCs w:val="16"/>
                <w:lang w:val="fr-BE"/>
              </w:rPr>
              <w:lastRenderedPageBreak/>
              <w:t>Section 7.3.1. de la circulaire coupole gouvernance</w:t>
            </w:r>
          </w:p>
        </w:tc>
        <w:tc>
          <w:tcPr>
            <w:tcW w:w="5103" w:type="dxa"/>
          </w:tcPr>
          <w:p w14:paraId="6742A222" w14:textId="77777777" w:rsidR="00676DBE" w:rsidRDefault="00676DBE" w:rsidP="00C80CF0">
            <w:pPr>
              <w:autoSpaceDE w:val="0"/>
              <w:autoSpaceDN w:val="0"/>
              <w:adjustRightInd w:val="0"/>
              <w:spacing w:line="240" w:lineRule="auto"/>
              <w:rPr>
                <w:rFonts w:cs="Arial"/>
                <w:sz w:val="16"/>
                <w:szCs w:val="16"/>
                <w:lang w:val="fr-BE" w:eastAsia="nl-BE"/>
              </w:rPr>
            </w:pPr>
            <w:r>
              <w:rPr>
                <w:rFonts w:cs="Arial"/>
                <w:sz w:val="16"/>
                <w:szCs w:val="16"/>
                <w:lang w:val="fr-BE" w:eastAsia="nl-BE"/>
              </w:rPr>
              <w:t>- pleinement</w:t>
            </w:r>
          </w:p>
          <w:p w14:paraId="0252EE23" w14:textId="77777777" w:rsidR="00676DBE" w:rsidRDefault="00676DBE" w:rsidP="00C80CF0">
            <w:pPr>
              <w:autoSpaceDE w:val="0"/>
              <w:autoSpaceDN w:val="0"/>
              <w:adjustRightInd w:val="0"/>
              <w:spacing w:line="240" w:lineRule="auto"/>
              <w:rPr>
                <w:rFonts w:cs="Arial"/>
                <w:sz w:val="16"/>
                <w:szCs w:val="16"/>
                <w:lang w:val="fr-BE" w:eastAsia="nl-BE"/>
              </w:rPr>
            </w:pPr>
            <w:r>
              <w:rPr>
                <w:rFonts w:cs="Arial"/>
                <w:sz w:val="16"/>
                <w:szCs w:val="16"/>
                <w:lang w:val="fr-BE" w:eastAsia="nl-BE"/>
              </w:rPr>
              <w:t xml:space="preserve">- partiellement car </w:t>
            </w:r>
            <w:r w:rsidRPr="00EB4D38">
              <w:rPr>
                <w:rFonts w:cs="Arial"/>
                <w:sz w:val="16"/>
                <w:szCs w:val="16"/>
                <w:highlight w:val="green"/>
                <w:lang w:val="fr-BE" w:eastAsia="nl-BE"/>
              </w:rPr>
              <w:t>[texte libre]</w:t>
            </w:r>
          </w:p>
          <w:p w14:paraId="42866AE3" w14:textId="77777777" w:rsidR="00676DBE" w:rsidRDefault="00676DBE" w:rsidP="00C80CF0">
            <w:pPr>
              <w:rPr>
                <w:lang w:val="fr-BE"/>
              </w:rPr>
            </w:pPr>
          </w:p>
        </w:tc>
      </w:tr>
      <w:tr w:rsidR="00676DBE" w:rsidRPr="005B6567" w14:paraId="4AC44C27" w14:textId="77777777" w:rsidTr="00C80CF0">
        <w:trPr>
          <w:trHeight w:val="319"/>
        </w:trPr>
        <w:tc>
          <w:tcPr>
            <w:tcW w:w="14850" w:type="dxa"/>
            <w:gridSpan w:val="3"/>
            <w:shd w:val="clear" w:color="auto" w:fill="D9D9D9" w:themeFill="background1" w:themeFillShade="D9"/>
          </w:tcPr>
          <w:p w14:paraId="7FBE8369" w14:textId="77777777" w:rsidR="00676DBE" w:rsidRPr="00DB4CC1" w:rsidRDefault="00676DBE" w:rsidP="00676DBE">
            <w:pPr>
              <w:pStyle w:val="ListParagraph"/>
              <w:numPr>
                <w:ilvl w:val="1"/>
                <w:numId w:val="11"/>
              </w:numPr>
              <w:rPr>
                <w:b/>
                <w:lang w:val="fr-BE"/>
              </w:rPr>
            </w:pPr>
            <w:r w:rsidRPr="00DB4CC1">
              <w:rPr>
                <w:b/>
                <w:lang w:val="fr-BE"/>
              </w:rPr>
              <w:t>Phase contractuelle : contenu minimum de l’accord écrit avec le prestataire de services</w:t>
            </w:r>
          </w:p>
        </w:tc>
      </w:tr>
      <w:tr w:rsidR="00676DBE" w:rsidRPr="005B6567" w14:paraId="1EC0B624" w14:textId="77777777" w:rsidTr="00C80CF0">
        <w:trPr>
          <w:trHeight w:val="319"/>
        </w:trPr>
        <w:tc>
          <w:tcPr>
            <w:tcW w:w="7621" w:type="dxa"/>
          </w:tcPr>
          <w:p w14:paraId="67AA5B7E" w14:textId="77777777" w:rsidR="00676DBE" w:rsidRDefault="00676DBE" w:rsidP="00C80CF0">
            <w:pPr>
              <w:pStyle w:val="NormalWeb"/>
              <w:spacing w:before="60" w:beforeAutospacing="0" w:after="60" w:afterAutospacing="0"/>
              <w:ind w:left="426" w:hanging="426"/>
              <w:jc w:val="both"/>
              <w:rPr>
                <w:rFonts w:ascii="Arial" w:hAnsi="Arial" w:cs="Arial"/>
                <w:sz w:val="20"/>
                <w:szCs w:val="20"/>
              </w:rPr>
            </w:pPr>
          </w:p>
        </w:tc>
        <w:tc>
          <w:tcPr>
            <w:tcW w:w="2126" w:type="dxa"/>
            <w:shd w:val="clear" w:color="auto" w:fill="DBE5F1" w:themeFill="accent1" w:themeFillTint="33"/>
          </w:tcPr>
          <w:p w14:paraId="0D84DD20" w14:textId="77777777" w:rsidR="00676DBE" w:rsidRDefault="00676DBE" w:rsidP="00C80CF0">
            <w:pPr>
              <w:autoSpaceDE w:val="0"/>
              <w:autoSpaceDN w:val="0"/>
              <w:adjustRightInd w:val="0"/>
              <w:spacing w:line="240" w:lineRule="auto"/>
              <w:rPr>
                <w:i/>
                <w:lang w:val="fr-BE"/>
              </w:rPr>
            </w:pPr>
            <w:r w:rsidRPr="0027205B">
              <w:rPr>
                <w:rFonts w:cs="Arial"/>
                <w:sz w:val="16"/>
                <w:szCs w:val="16"/>
                <w:lang w:val="fr-BE" w:eastAsia="nl-BE"/>
              </w:rPr>
              <w:t>Source de l’exigence applicable</w:t>
            </w:r>
          </w:p>
        </w:tc>
        <w:tc>
          <w:tcPr>
            <w:tcW w:w="5103" w:type="dxa"/>
            <w:shd w:val="clear" w:color="auto" w:fill="DBE5F1" w:themeFill="accent1" w:themeFillTint="33"/>
          </w:tcPr>
          <w:p w14:paraId="3D23BAC4" w14:textId="77777777" w:rsidR="00676DBE" w:rsidRDefault="00676DBE" w:rsidP="00C80CF0">
            <w:pPr>
              <w:autoSpaceDE w:val="0"/>
              <w:autoSpaceDN w:val="0"/>
              <w:adjustRightInd w:val="0"/>
              <w:spacing w:line="240" w:lineRule="auto"/>
              <w:rPr>
                <w:rFonts w:cs="Arial"/>
                <w:sz w:val="16"/>
                <w:szCs w:val="16"/>
                <w:lang w:val="fr-BE" w:eastAsia="nl-BE"/>
              </w:rPr>
            </w:pPr>
            <w:r>
              <w:rPr>
                <w:rFonts w:cs="Arial"/>
                <w:sz w:val="16"/>
                <w:szCs w:val="16"/>
                <w:lang w:val="fr-BE" w:eastAsia="nl-BE"/>
              </w:rPr>
              <w:t xml:space="preserve">Indiquez si l’accord écrit de sous-traitance répond aux exigences prudentielles en termes de contenu pleinement, suffisamment mais avec des constats ou insuffisamment </w:t>
            </w:r>
          </w:p>
        </w:tc>
      </w:tr>
      <w:tr w:rsidR="00676DBE" w:rsidRPr="0087133E" w14:paraId="1D2F6740" w14:textId="77777777" w:rsidTr="00C80CF0">
        <w:trPr>
          <w:trHeight w:val="319"/>
        </w:trPr>
        <w:tc>
          <w:tcPr>
            <w:tcW w:w="7621" w:type="dxa"/>
          </w:tcPr>
          <w:p w14:paraId="62183AC0" w14:textId="77777777" w:rsidR="00676DBE" w:rsidRPr="00DB4CC1" w:rsidRDefault="00676DBE" w:rsidP="00C80CF0">
            <w:pPr>
              <w:pStyle w:val="NormalWeb"/>
              <w:spacing w:before="240" w:beforeAutospacing="0" w:after="240" w:afterAutospacing="0"/>
              <w:jc w:val="both"/>
              <w:rPr>
                <w:rFonts w:ascii="Arial" w:hAnsi="Arial" w:cs="Arial"/>
                <w:sz w:val="20"/>
                <w:szCs w:val="20"/>
              </w:rPr>
            </w:pPr>
            <w:r w:rsidRPr="00DB4CC1">
              <w:rPr>
                <w:rFonts w:ascii="Arial" w:hAnsi="Arial" w:cs="Arial"/>
                <w:sz w:val="20"/>
                <w:szCs w:val="20"/>
              </w:rPr>
              <w:t xml:space="preserve">L'accord écrit conclu entre l'entreprise d'assurance et le prestataire de services énonce clairement, en particulier, l'ensemble des points </w:t>
            </w:r>
            <w:proofErr w:type="gramStart"/>
            <w:r w:rsidRPr="00DB4CC1">
              <w:rPr>
                <w:rFonts w:ascii="Arial" w:hAnsi="Arial" w:cs="Arial"/>
                <w:sz w:val="20"/>
                <w:szCs w:val="20"/>
              </w:rPr>
              <w:t>suivants:</w:t>
            </w:r>
            <w:proofErr w:type="gramEnd"/>
            <w:r w:rsidRPr="00DB4CC1">
              <w:rPr>
                <w:rFonts w:ascii="Arial" w:hAnsi="Arial" w:cs="Arial"/>
                <w:sz w:val="20"/>
                <w:szCs w:val="20"/>
              </w:rPr>
              <w:t xml:space="preserve"> </w:t>
            </w:r>
          </w:p>
          <w:p w14:paraId="5692B004" w14:textId="77777777" w:rsidR="00676DBE" w:rsidRPr="00DB4CC1" w:rsidRDefault="00676DBE" w:rsidP="00C80CF0">
            <w:pPr>
              <w:pStyle w:val="NormalWeb"/>
              <w:spacing w:before="60" w:beforeAutospacing="0" w:after="60" w:afterAutospacing="0"/>
              <w:ind w:left="426" w:hanging="426"/>
              <w:jc w:val="both"/>
              <w:rPr>
                <w:rFonts w:ascii="Arial" w:hAnsi="Arial" w:cs="Arial"/>
                <w:sz w:val="20"/>
                <w:szCs w:val="20"/>
              </w:rPr>
            </w:pPr>
            <w:r w:rsidRPr="00DB4CC1">
              <w:rPr>
                <w:rFonts w:ascii="Arial" w:hAnsi="Arial" w:cs="Arial"/>
                <w:sz w:val="20"/>
                <w:szCs w:val="20"/>
              </w:rPr>
              <w:t>(a)</w:t>
            </w:r>
            <w:r w:rsidRPr="00DB4CC1">
              <w:rPr>
                <w:rFonts w:ascii="Arial" w:hAnsi="Arial" w:cs="Arial"/>
                <w:sz w:val="20"/>
                <w:szCs w:val="20"/>
              </w:rPr>
              <w:tab/>
              <w:t xml:space="preserve">les devoirs et responsabilités des deux </w:t>
            </w:r>
            <w:proofErr w:type="gramStart"/>
            <w:r w:rsidRPr="00DB4CC1">
              <w:rPr>
                <w:rFonts w:ascii="Arial" w:hAnsi="Arial" w:cs="Arial"/>
                <w:sz w:val="20"/>
                <w:szCs w:val="20"/>
              </w:rPr>
              <w:t>parties;</w:t>
            </w:r>
            <w:proofErr w:type="gramEnd"/>
            <w:r w:rsidRPr="00DB4CC1">
              <w:rPr>
                <w:rFonts w:ascii="Arial" w:hAnsi="Arial" w:cs="Arial"/>
                <w:sz w:val="20"/>
                <w:szCs w:val="20"/>
              </w:rPr>
              <w:t xml:space="preserve"> </w:t>
            </w:r>
          </w:p>
          <w:p w14:paraId="5477623E" w14:textId="77777777" w:rsidR="00676DBE" w:rsidRPr="00DB4CC1" w:rsidRDefault="00676DBE" w:rsidP="00C80CF0">
            <w:pPr>
              <w:pStyle w:val="NormalWeb"/>
              <w:spacing w:before="60" w:beforeAutospacing="0" w:after="60" w:afterAutospacing="0"/>
              <w:ind w:left="426" w:hanging="426"/>
              <w:jc w:val="both"/>
              <w:rPr>
                <w:rFonts w:ascii="Arial" w:hAnsi="Arial" w:cs="Arial"/>
                <w:sz w:val="20"/>
                <w:szCs w:val="20"/>
              </w:rPr>
            </w:pPr>
            <w:r w:rsidRPr="00DB4CC1">
              <w:rPr>
                <w:rFonts w:ascii="Arial" w:hAnsi="Arial" w:cs="Arial"/>
                <w:sz w:val="20"/>
                <w:szCs w:val="20"/>
              </w:rPr>
              <w:t>(b)</w:t>
            </w:r>
            <w:r w:rsidRPr="00DB4CC1">
              <w:rPr>
                <w:rFonts w:ascii="Arial" w:hAnsi="Arial" w:cs="Arial"/>
                <w:sz w:val="20"/>
                <w:szCs w:val="20"/>
              </w:rPr>
              <w:tab/>
              <w:t>l'engagement du prestataire de services de se conformer à toutes les dispositions législatives, exigences réglementaires et lignes directrices applicables, ainsi qu'aux politiques approuvées par l'entreprise d'assurance, et de coopérer avec la Banque pour ce qui concerne les activités ou fonctions sous-</w:t>
            </w:r>
            <w:proofErr w:type="gramStart"/>
            <w:r w:rsidRPr="00DB4CC1">
              <w:rPr>
                <w:rFonts w:ascii="Arial" w:hAnsi="Arial" w:cs="Arial"/>
                <w:sz w:val="20"/>
                <w:szCs w:val="20"/>
              </w:rPr>
              <w:t>traitées;</w:t>
            </w:r>
            <w:proofErr w:type="gramEnd"/>
            <w:r w:rsidRPr="00DB4CC1">
              <w:rPr>
                <w:rFonts w:ascii="Arial" w:hAnsi="Arial" w:cs="Arial"/>
                <w:sz w:val="20"/>
                <w:szCs w:val="20"/>
              </w:rPr>
              <w:t xml:space="preserve"> </w:t>
            </w:r>
          </w:p>
          <w:p w14:paraId="0300C7BC" w14:textId="77777777" w:rsidR="00676DBE" w:rsidRPr="00DB4CC1" w:rsidRDefault="00676DBE" w:rsidP="00C80CF0">
            <w:pPr>
              <w:pStyle w:val="NormalWeb"/>
              <w:spacing w:before="60" w:beforeAutospacing="0" w:after="60" w:afterAutospacing="0"/>
              <w:ind w:left="426" w:hanging="426"/>
              <w:jc w:val="both"/>
              <w:rPr>
                <w:rFonts w:ascii="Arial" w:hAnsi="Arial" w:cs="Arial"/>
                <w:sz w:val="20"/>
                <w:szCs w:val="20"/>
              </w:rPr>
            </w:pPr>
            <w:r w:rsidRPr="00DB4CC1">
              <w:rPr>
                <w:rFonts w:ascii="Arial" w:hAnsi="Arial" w:cs="Arial"/>
                <w:sz w:val="20"/>
                <w:szCs w:val="20"/>
              </w:rPr>
              <w:t>(c)</w:t>
            </w:r>
            <w:r w:rsidRPr="00DB4CC1">
              <w:rPr>
                <w:rFonts w:ascii="Arial" w:hAnsi="Arial" w:cs="Arial"/>
                <w:sz w:val="20"/>
                <w:szCs w:val="20"/>
              </w:rPr>
              <w:tab/>
              <w:t xml:space="preserve">l'obligation, pour le prestataire de services, de signaler tout événement susceptible d'avoir un impact important sur sa capacité à exercer les activités ou fonctions sous-traitées de manière efficace et conforme aux dispositions législatives et exigences réglementaires </w:t>
            </w:r>
            <w:proofErr w:type="gramStart"/>
            <w:r w:rsidRPr="00DB4CC1">
              <w:rPr>
                <w:rFonts w:ascii="Arial" w:hAnsi="Arial" w:cs="Arial"/>
                <w:sz w:val="20"/>
                <w:szCs w:val="20"/>
              </w:rPr>
              <w:t>applicables;</w:t>
            </w:r>
            <w:proofErr w:type="gramEnd"/>
            <w:r w:rsidRPr="00DB4CC1">
              <w:rPr>
                <w:rFonts w:ascii="Arial" w:hAnsi="Arial" w:cs="Arial"/>
                <w:sz w:val="20"/>
                <w:szCs w:val="20"/>
              </w:rPr>
              <w:t xml:space="preserve"> </w:t>
            </w:r>
          </w:p>
          <w:p w14:paraId="4FFB174A" w14:textId="77777777" w:rsidR="00676DBE" w:rsidRPr="00DB4CC1" w:rsidRDefault="00676DBE" w:rsidP="00C80CF0">
            <w:pPr>
              <w:pStyle w:val="NormalWeb"/>
              <w:spacing w:before="60" w:beforeAutospacing="0" w:after="60" w:afterAutospacing="0"/>
              <w:ind w:left="426" w:hanging="426"/>
              <w:jc w:val="both"/>
              <w:rPr>
                <w:rFonts w:ascii="Arial" w:hAnsi="Arial" w:cs="Arial"/>
                <w:sz w:val="20"/>
                <w:szCs w:val="20"/>
              </w:rPr>
            </w:pPr>
            <w:r w:rsidRPr="00DB4CC1">
              <w:rPr>
                <w:rFonts w:ascii="Arial" w:hAnsi="Arial" w:cs="Arial"/>
                <w:sz w:val="20"/>
                <w:szCs w:val="20"/>
              </w:rPr>
              <w:t>(d)</w:t>
            </w:r>
            <w:r w:rsidRPr="00DB4CC1">
              <w:rPr>
                <w:rFonts w:ascii="Arial" w:hAnsi="Arial" w:cs="Arial"/>
                <w:sz w:val="20"/>
                <w:szCs w:val="20"/>
              </w:rPr>
              <w:tab/>
              <w:t xml:space="preserve">un délai de préavis, pour l'annulation du contrat par le prestataire de services, qui soit suffisamment long pour permettre à l'entreprise d'assurance de trouver une solution de </w:t>
            </w:r>
            <w:proofErr w:type="gramStart"/>
            <w:r w:rsidRPr="00DB4CC1">
              <w:rPr>
                <w:rFonts w:ascii="Arial" w:hAnsi="Arial" w:cs="Arial"/>
                <w:sz w:val="20"/>
                <w:szCs w:val="20"/>
              </w:rPr>
              <w:t>remplacement;</w:t>
            </w:r>
            <w:proofErr w:type="gramEnd"/>
            <w:r w:rsidRPr="00DB4CC1">
              <w:rPr>
                <w:rFonts w:ascii="Arial" w:hAnsi="Arial" w:cs="Arial"/>
                <w:sz w:val="20"/>
                <w:szCs w:val="20"/>
              </w:rPr>
              <w:t xml:space="preserve"> </w:t>
            </w:r>
          </w:p>
          <w:p w14:paraId="6EB9613A" w14:textId="77777777" w:rsidR="00676DBE" w:rsidRPr="00DB4CC1" w:rsidRDefault="00676DBE" w:rsidP="00C80CF0">
            <w:pPr>
              <w:pStyle w:val="NormalWeb"/>
              <w:spacing w:before="60" w:beforeAutospacing="0" w:after="60" w:afterAutospacing="0"/>
              <w:ind w:left="426" w:hanging="426"/>
              <w:jc w:val="both"/>
              <w:rPr>
                <w:rFonts w:ascii="Arial" w:hAnsi="Arial" w:cs="Arial"/>
                <w:sz w:val="20"/>
                <w:szCs w:val="20"/>
              </w:rPr>
            </w:pPr>
            <w:r w:rsidRPr="00DB4CC1">
              <w:rPr>
                <w:rFonts w:ascii="Arial" w:hAnsi="Arial" w:cs="Arial"/>
                <w:sz w:val="20"/>
                <w:szCs w:val="20"/>
              </w:rPr>
              <w:t>(e)</w:t>
            </w:r>
            <w:r w:rsidRPr="00DB4CC1">
              <w:rPr>
                <w:rFonts w:ascii="Arial" w:hAnsi="Arial" w:cs="Arial"/>
                <w:sz w:val="20"/>
                <w:szCs w:val="20"/>
              </w:rPr>
              <w:tab/>
              <w:t xml:space="preserve">l'entreprise d'assurance peut, si nécessaire, mettre fin à l'accord de sous-traitance sans que cela nuise à la continuité ni à la qualité de ses services aux </w:t>
            </w:r>
            <w:proofErr w:type="gramStart"/>
            <w:r w:rsidRPr="00DB4CC1">
              <w:rPr>
                <w:rFonts w:ascii="Arial" w:hAnsi="Arial" w:cs="Arial"/>
                <w:sz w:val="20"/>
                <w:szCs w:val="20"/>
              </w:rPr>
              <w:t>preneurs;</w:t>
            </w:r>
            <w:proofErr w:type="gramEnd"/>
            <w:r w:rsidRPr="00DB4CC1">
              <w:rPr>
                <w:rFonts w:ascii="Arial" w:hAnsi="Arial" w:cs="Arial"/>
                <w:sz w:val="20"/>
                <w:szCs w:val="20"/>
              </w:rPr>
              <w:t xml:space="preserve"> </w:t>
            </w:r>
          </w:p>
          <w:p w14:paraId="58D3DBC4" w14:textId="77777777" w:rsidR="00676DBE" w:rsidRPr="00DB4CC1" w:rsidRDefault="00676DBE" w:rsidP="00C80CF0">
            <w:pPr>
              <w:pStyle w:val="NormalWeb"/>
              <w:spacing w:before="60" w:beforeAutospacing="0" w:after="60" w:afterAutospacing="0"/>
              <w:ind w:left="426" w:hanging="426"/>
              <w:jc w:val="both"/>
              <w:rPr>
                <w:rFonts w:ascii="Arial" w:hAnsi="Arial" w:cs="Arial"/>
                <w:sz w:val="20"/>
                <w:szCs w:val="20"/>
              </w:rPr>
            </w:pPr>
            <w:r w:rsidRPr="00DB4CC1">
              <w:rPr>
                <w:rFonts w:ascii="Arial" w:hAnsi="Arial" w:cs="Arial"/>
                <w:sz w:val="20"/>
                <w:szCs w:val="20"/>
              </w:rPr>
              <w:t>(f)</w:t>
            </w:r>
            <w:r w:rsidRPr="00DB4CC1">
              <w:rPr>
                <w:rFonts w:ascii="Arial" w:hAnsi="Arial" w:cs="Arial"/>
                <w:sz w:val="20"/>
                <w:szCs w:val="20"/>
              </w:rPr>
              <w:tab/>
              <w:t>l'entreprise d'assurance se réserve le droit d'obtenir des informations sur les fonctions et activités sous-traitées et leur exercice par le prestataire de services, ainsi que le droit d'émettre des lignes directrices générales et des instructions particulières à l'adresse du prestataire de services sur les éléments à prendre en considération dans l'exercice des fonctions ou activités sous-</w:t>
            </w:r>
            <w:proofErr w:type="gramStart"/>
            <w:r w:rsidRPr="00DB4CC1">
              <w:rPr>
                <w:rFonts w:ascii="Arial" w:hAnsi="Arial" w:cs="Arial"/>
                <w:sz w:val="20"/>
                <w:szCs w:val="20"/>
              </w:rPr>
              <w:t>traitées;</w:t>
            </w:r>
            <w:proofErr w:type="gramEnd"/>
            <w:r w:rsidRPr="00DB4CC1">
              <w:rPr>
                <w:rFonts w:ascii="Arial" w:hAnsi="Arial" w:cs="Arial"/>
                <w:sz w:val="20"/>
                <w:szCs w:val="20"/>
              </w:rPr>
              <w:t xml:space="preserve"> </w:t>
            </w:r>
          </w:p>
          <w:p w14:paraId="52A2C50B" w14:textId="77777777" w:rsidR="00676DBE" w:rsidRPr="00DB4CC1" w:rsidRDefault="00676DBE" w:rsidP="00C80CF0">
            <w:pPr>
              <w:pStyle w:val="NormalWeb"/>
              <w:spacing w:before="60" w:beforeAutospacing="0" w:after="60" w:afterAutospacing="0"/>
              <w:ind w:left="426" w:hanging="426"/>
              <w:jc w:val="both"/>
              <w:rPr>
                <w:rFonts w:ascii="Arial" w:hAnsi="Arial" w:cs="Arial"/>
                <w:sz w:val="20"/>
                <w:szCs w:val="20"/>
              </w:rPr>
            </w:pPr>
            <w:r w:rsidRPr="00DB4CC1">
              <w:rPr>
                <w:rFonts w:ascii="Arial" w:hAnsi="Arial" w:cs="Arial"/>
                <w:sz w:val="20"/>
                <w:szCs w:val="20"/>
              </w:rPr>
              <w:t>(g)</w:t>
            </w:r>
            <w:r w:rsidRPr="00DB4CC1">
              <w:rPr>
                <w:rFonts w:ascii="Arial" w:hAnsi="Arial" w:cs="Arial"/>
                <w:sz w:val="20"/>
                <w:szCs w:val="20"/>
              </w:rPr>
              <w:tab/>
              <w:t xml:space="preserve">l'obligation, pour le prestataire de services, de protéger toute information confidentielle relative à l'entreprise d'assurance, à ses preneurs, bénéficiaires, salariés et contractants et à toute autre </w:t>
            </w:r>
            <w:proofErr w:type="gramStart"/>
            <w:r w:rsidRPr="00DB4CC1">
              <w:rPr>
                <w:rFonts w:ascii="Arial" w:hAnsi="Arial" w:cs="Arial"/>
                <w:sz w:val="20"/>
                <w:szCs w:val="20"/>
              </w:rPr>
              <w:t>personne;</w:t>
            </w:r>
            <w:proofErr w:type="gramEnd"/>
            <w:r w:rsidRPr="00DB4CC1">
              <w:rPr>
                <w:rFonts w:ascii="Arial" w:hAnsi="Arial" w:cs="Arial"/>
                <w:sz w:val="20"/>
                <w:szCs w:val="20"/>
              </w:rPr>
              <w:t xml:space="preserve"> </w:t>
            </w:r>
          </w:p>
          <w:p w14:paraId="496E24D7" w14:textId="77777777" w:rsidR="00676DBE" w:rsidRPr="00DB4CC1" w:rsidRDefault="00676DBE" w:rsidP="00C80CF0">
            <w:pPr>
              <w:pStyle w:val="NormalWeb"/>
              <w:spacing w:before="60" w:beforeAutospacing="0" w:after="60" w:afterAutospacing="0"/>
              <w:ind w:left="426" w:hanging="426"/>
              <w:jc w:val="both"/>
              <w:rPr>
                <w:rFonts w:ascii="Arial" w:hAnsi="Arial" w:cs="Arial"/>
                <w:sz w:val="20"/>
                <w:szCs w:val="20"/>
              </w:rPr>
            </w:pPr>
            <w:r w:rsidRPr="00DB4CC1">
              <w:rPr>
                <w:rFonts w:ascii="Arial" w:hAnsi="Arial" w:cs="Arial"/>
                <w:sz w:val="20"/>
                <w:szCs w:val="20"/>
              </w:rPr>
              <w:t>(h)</w:t>
            </w:r>
            <w:r w:rsidRPr="00DB4CC1">
              <w:rPr>
                <w:rFonts w:ascii="Arial" w:hAnsi="Arial" w:cs="Arial"/>
                <w:sz w:val="20"/>
                <w:szCs w:val="20"/>
              </w:rPr>
              <w:tab/>
              <w:t xml:space="preserve">l'entreprise d'assurance, son commissaire et la Banque jouissent d'un accès </w:t>
            </w:r>
            <w:r w:rsidRPr="00DB4CC1">
              <w:rPr>
                <w:rFonts w:ascii="Arial" w:hAnsi="Arial" w:cs="Arial"/>
                <w:sz w:val="20"/>
                <w:szCs w:val="20"/>
              </w:rPr>
              <w:lastRenderedPageBreak/>
              <w:t xml:space="preserve">effectif à toutes les informations relatives aux fonctions et activités sous-traitées, ce qui inclut la possibilité d'effectuer des inspections/audits sur place, dans les locaux du prestataire de </w:t>
            </w:r>
            <w:proofErr w:type="gramStart"/>
            <w:r w:rsidRPr="00DB4CC1">
              <w:rPr>
                <w:rFonts w:ascii="Arial" w:hAnsi="Arial" w:cs="Arial"/>
                <w:sz w:val="20"/>
                <w:szCs w:val="20"/>
              </w:rPr>
              <w:t>services;</w:t>
            </w:r>
            <w:proofErr w:type="gramEnd"/>
          </w:p>
          <w:p w14:paraId="218830E3" w14:textId="77777777" w:rsidR="00676DBE" w:rsidRPr="00DB4CC1" w:rsidRDefault="00676DBE" w:rsidP="00C80CF0">
            <w:pPr>
              <w:pStyle w:val="NormalWeb"/>
              <w:spacing w:before="60" w:beforeAutospacing="0" w:after="60" w:afterAutospacing="0"/>
              <w:ind w:left="426" w:hanging="426"/>
              <w:jc w:val="both"/>
              <w:rPr>
                <w:rFonts w:ascii="Arial" w:hAnsi="Arial" w:cs="Arial"/>
                <w:sz w:val="20"/>
                <w:szCs w:val="20"/>
              </w:rPr>
            </w:pPr>
            <w:r w:rsidRPr="00DB4CC1">
              <w:rPr>
                <w:rFonts w:ascii="Arial" w:hAnsi="Arial" w:cs="Arial"/>
                <w:sz w:val="20"/>
                <w:szCs w:val="20"/>
              </w:rPr>
              <w:t>(i)</w:t>
            </w:r>
            <w:r w:rsidRPr="00DB4CC1">
              <w:rPr>
                <w:rFonts w:ascii="Arial" w:hAnsi="Arial" w:cs="Arial"/>
                <w:sz w:val="20"/>
                <w:szCs w:val="20"/>
              </w:rPr>
              <w:tab/>
              <w:t xml:space="preserve">lorsque cela est approprié et nécessaire aux fins du contrôle, la Banque peut adresser directement au prestataire de services des questions auxquelles celui-ci est tenu de </w:t>
            </w:r>
            <w:proofErr w:type="gramStart"/>
            <w:r w:rsidRPr="00DB4CC1">
              <w:rPr>
                <w:rFonts w:ascii="Arial" w:hAnsi="Arial" w:cs="Arial"/>
                <w:sz w:val="20"/>
                <w:szCs w:val="20"/>
              </w:rPr>
              <w:t>répondre;</w:t>
            </w:r>
            <w:proofErr w:type="gramEnd"/>
            <w:r w:rsidRPr="00DB4CC1">
              <w:rPr>
                <w:rFonts w:ascii="Arial" w:hAnsi="Arial" w:cs="Arial"/>
                <w:sz w:val="20"/>
                <w:szCs w:val="20"/>
              </w:rPr>
              <w:t xml:space="preserve"> </w:t>
            </w:r>
          </w:p>
          <w:p w14:paraId="00C833B5" w14:textId="77777777" w:rsidR="00676DBE" w:rsidRPr="00DB4CC1" w:rsidRDefault="00676DBE" w:rsidP="00C80CF0">
            <w:pPr>
              <w:pStyle w:val="NormalWeb"/>
              <w:spacing w:before="60" w:beforeAutospacing="0" w:after="60" w:afterAutospacing="0"/>
              <w:ind w:left="426" w:hanging="426"/>
              <w:jc w:val="both"/>
              <w:rPr>
                <w:rFonts w:ascii="Arial" w:hAnsi="Arial" w:cs="Arial"/>
                <w:sz w:val="20"/>
                <w:szCs w:val="20"/>
              </w:rPr>
            </w:pPr>
            <w:r w:rsidRPr="00DB4CC1">
              <w:rPr>
                <w:rFonts w:ascii="Arial" w:hAnsi="Arial" w:cs="Arial"/>
                <w:sz w:val="20"/>
                <w:szCs w:val="20"/>
              </w:rPr>
              <w:t>(j)  l’entreprise d’assurance peut obtenir des informations sur les fonctions et activités sous-traitées et donner des instructions en ce qui concerne les fonctions et activités sous-traitées ;</w:t>
            </w:r>
          </w:p>
          <w:p w14:paraId="1B7465EC" w14:textId="77777777" w:rsidR="00676DBE" w:rsidRPr="00DB4CC1" w:rsidRDefault="00676DBE" w:rsidP="00C80CF0">
            <w:pPr>
              <w:pStyle w:val="NormalWeb"/>
              <w:spacing w:before="60" w:beforeAutospacing="0" w:after="60" w:afterAutospacing="0"/>
              <w:ind w:left="426" w:hanging="426"/>
              <w:jc w:val="both"/>
              <w:rPr>
                <w:rFonts w:ascii="Arial" w:hAnsi="Arial" w:cs="Arial"/>
                <w:sz w:val="20"/>
                <w:szCs w:val="20"/>
              </w:rPr>
            </w:pPr>
            <w:r w:rsidRPr="00DB4CC1">
              <w:rPr>
                <w:rFonts w:ascii="Arial" w:hAnsi="Arial" w:cs="Arial"/>
                <w:sz w:val="20"/>
                <w:szCs w:val="20"/>
              </w:rPr>
              <w:t xml:space="preserve"> (k)</w:t>
            </w:r>
            <w:r w:rsidRPr="00DB4CC1">
              <w:rPr>
                <w:rFonts w:ascii="Arial" w:hAnsi="Arial" w:cs="Arial"/>
                <w:sz w:val="20"/>
                <w:szCs w:val="20"/>
              </w:rPr>
              <w:tab/>
              <w:t>le cas échéant, les conditions selon lesquelles le prestataire de services peut lui-même sous-traiter l'une ou l'autre des fonctions et activités qui lui ont été sous-</w:t>
            </w:r>
            <w:proofErr w:type="gramStart"/>
            <w:r w:rsidRPr="00DB4CC1">
              <w:rPr>
                <w:rFonts w:ascii="Arial" w:hAnsi="Arial" w:cs="Arial"/>
                <w:sz w:val="20"/>
                <w:szCs w:val="20"/>
              </w:rPr>
              <w:t>traitées;</w:t>
            </w:r>
            <w:proofErr w:type="gramEnd"/>
            <w:r w:rsidRPr="00DB4CC1">
              <w:rPr>
                <w:rFonts w:ascii="Arial" w:hAnsi="Arial" w:cs="Arial"/>
                <w:sz w:val="20"/>
                <w:szCs w:val="20"/>
              </w:rPr>
              <w:t xml:space="preserve"> </w:t>
            </w:r>
          </w:p>
          <w:p w14:paraId="5B76C6EE" w14:textId="77777777" w:rsidR="00676DBE" w:rsidRPr="00DB4CC1" w:rsidRDefault="00676DBE" w:rsidP="00C80CF0">
            <w:pPr>
              <w:pStyle w:val="NormalWeb"/>
              <w:spacing w:before="60" w:beforeAutospacing="0" w:after="60" w:afterAutospacing="0"/>
              <w:ind w:left="426" w:hanging="426"/>
              <w:jc w:val="both"/>
              <w:rPr>
                <w:rFonts w:ascii="Arial" w:hAnsi="Arial" w:cs="Arial"/>
                <w:sz w:val="20"/>
                <w:szCs w:val="20"/>
              </w:rPr>
            </w:pPr>
            <w:r w:rsidRPr="00DB4CC1">
              <w:rPr>
                <w:rFonts w:ascii="Arial" w:hAnsi="Arial" w:cs="Arial"/>
                <w:sz w:val="20"/>
                <w:szCs w:val="20"/>
              </w:rPr>
              <w:t>(l)</w:t>
            </w:r>
            <w:r w:rsidRPr="00DB4CC1">
              <w:rPr>
                <w:rFonts w:ascii="Arial" w:hAnsi="Arial" w:cs="Arial"/>
                <w:sz w:val="20"/>
                <w:szCs w:val="20"/>
              </w:rPr>
              <w:tab/>
              <w:t xml:space="preserve">toute sous-traitance effectuée conformément au point k) est sans préjudice des devoirs et responsabilités </w:t>
            </w:r>
            <w:r w:rsidRPr="00EE1A70">
              <w:rPr>
                <w:rFonts w:ascii="Arial" w:hAnsi="Arial" w:cs="Arial"/>
                <w:sz w:val="20"/>
                <w:szCs w:val="20"/>
              </w:rPr>
              <w:t xml:space="preserve">incombant au prestataire de services en vertu de son accord avec l'entreprise </w:t>
            </w:r>
            <w:r w:rsidRPr="00A65DCD">
              <w:rPr>
                <w:rFonts w:ascii="Arial" w:hAnsi="Arial" w:cs="Arial"/>
                <w:sz w:val="20"/>
                <w:szCs w:val="20"/>
              </w:rPr>
              <w:t>d'assurance.</w:t>
            </w:r>
          </w:p>
          <w:p w14:paraId="76BA86A4" w14:textId="77777777" w:rsidR="00676DBE" w:rsidRPr="00DB4CC1" w:rsidRDefault="00676DBE" w:rsidP="00C80CF0">
            <w:pPr>
              <w:pStyle w:val="NormalWeb"/>
              <w:spacing w:before="60" w:after="60"/>
            </w:pPr>
            <w:r>
              <w:t xml:space="preserve">   </w:t>
            </w:r>
          </w:p>
        </w:tc>
        <w:tc>
          <w:tcPr>
            <w:tcW w:w="2126" w:type="dxa"/>
          </w:tcPr>
          <w:p w14:paraId="6CCC3291" w14:textId="77777777" w:rsidR="00676DBE" w:rsidRPr="00EE6E86" w:rsidRDefault="00676DBE" w:rsidP="00C80CF0">
            <w:pPr>
              <w:rPr>
                <w:sz w:val="16"/>
                <w:szCs w:val="16"/>
                <w:lang w:val="fr-BE"/>
              </w:rPr>
            </w:pPr>
            <w:r w:rsidRPr="00EE6E86">
              <w:rPr>
                <w:i/>
                <w:sz w:val="16"/>
                <w:szCs w:val="16"/>
                <w:lang w:val="fr-BE"/>
              </w:rPr>
              <w:lastRenderedPageBreak/>
              <w:t>Section 7.3.2. de la circulaire coupole gouvernance</w:t>
            </w:r>
          </w:p>
        </w:tc>
        <w:tc>
          <w:tcPr>
            <w:tcW w:w="5103" w:type="dxa"/>
          </w:tcPr>
          <w:p w14:paraId="70BCE194" w14:textId="77777777" w:rsidR="00676DBE" w:rsidRDefault="00676DBE" w:rsidP="00C80CF0">
            <w:pPr>
              <w:rPr>
                <w:lang w:val="fr-BE"/>
              </w:rPr>
            </w:pPr>
            <w:r>
              <w:rPr>
                <w:lang w:val="fr-BE"/>
              </w:rPr>
              <w:t>- pleinement</w:t>
            </w:r>
          </w:p>
          <w:p w14:paraId="1926E32E" w14:textId="77777777" w:rsidR="00676DBE" w:rsidRDefault="00676DBE" w:rsidP="00C80CF0">
            <w:pPr>
              <w:rPr>
                <w:lang w:val="fr-BE"/>
              </w:rPr>
            </w:pPr>
            <w:r>
              <w:rPr>
                <w:lang w:val="fr-BE"/>
              </w:rPr>
              <w:t xml:space="preserve">- suffisamment mais avec les constats suivants </w:t>
            </w:r>
            <w:r w:rsidRPr="00EB4D38">
              <w:rPr>
                <w:highlight w:val="green"/>
                <w:lang w:val="fr-BE"/>
              </w:rPr>
              <w:t>[texte libre]</w:t>
            </w:r>
          </w:p>
          <w:p w14:paraId="03E60B4B" w14:textId="77777777" w:rsidR="00676DBE" w:rsidRDefault="00676DBE" w:rsidP="00C80CF0">
            <w:pPr>
              <w:rPr>
                <w:lang w:val="fr-BE"/>
              </w:rPr>
            </w:pPr>
            <w:r>
              <w:rPr>
                <w:lang w:val="fr-BE"/>
              </w:rPr>
              <w:t xml:space="preserve">- insuffisamment </w:t>
            </w:r>
          </w:p>
          <w:p w14:paraId="2B4BFCD6" w14:textId="77777777" w:rsidR="00676DBE" w:rsidRPr="00670A08" w:rsidRDefault="00676DBE" w:rsidP="00C80CF0">
            <w:pPr>
              <w:rPr>
                <w:lang w:val="fr-BE"/>
              </w:rPr>
            </w:pPr>
            <w:r>
              <w:rPr>
                <w:lang w:val="fr-BE"/>
              </w:rPr>
              <w:t>- non applicable</w:t>
            </w:r>
          </w:p>
        </w:tc>
      </w:tr>
      <w:tr w:rsidR="00676DBE" w:rsidRPr="005B6567" w14:paraId="33501C58" w14:textId="77777777" w:rsidTr="00C80CF0">
        <w:trPr>
          <w:trHeight w:val="356"/>
        </w:trPr>
        <w:tc>
          <w:tcPr>
            <w:tcW w:w="7621" w:type="dxa"/>
            <w:shd w:val="clear" w:color="auto" w:fill="auto"/>
          </w:tcPr>
          <w:p w14:paraId="3E98BCFF" w14:textId="77777777" w:rsidR="00676DBE" w:rsidRPr="00DB4CC1" w:rsidRDefault="00676DBE" w:rsidP="00C80CF0">
            <w:pPr>
              <w:contextualSpacing/>
              <w:rPr>
                <w:bCs/>
                <w:lang w:val="fr-BE"/>
              </w:rPr>
            </w:pPr>
            <w:r w:rsidRPr="00DB4CC1">
              <w:rPr>
                <w:bCs/>
                <w:lang w:val="fr-BE"/>
              </w:rPr>
              <w:t>Les conditions générales de l’accord de sous-traitance ont été clairement expliquées au comité de direction et au conseil d’administration et avalisées par ceux-ci.</w:t>
            </w:r>
          </w:p>
        </w:tc>
        <w:tc>
          <w:tcPr>
            <w:tcW w:w="2126" w:type="dxa"/>
            <w:shd w:val="clear" w:color="auto" w:fill="auto"/>
          </w:tcPr>
          <w:p w14:paraId="049745B4" w14:textId="77777777" w:rsidR="00676DBE" w:rsidRDefault="00676DBE" w:rsidP="00C80CF0">
            <w:pPr>
              <w:contextualSpacing/>
              <w:rPr>
                <w:b/>
                <w:lang w:val="fr-BE"/>
              </w:rPr>
            </w:pPr>
            <w:r w:rsidRPr="00EE6E86">
              <w:rPr>
                <w:i/>
                <w:sz w:val="16"/>
                <w:szCs w:val="16"/>
                <w:lang w:val="fr-BE"/>
              </w:rPr>
              <w:t>Section 7.3.</w:t>
            </w:r>
            <w:r>
              <w:rPr>
                <w:i/>
                <w:sz w:val="16"/>
                <w:szCs w:val="16"/>
                <w:lang w:val="fr-BE"/>
              </w:rPr>
              <w:t>2</w:t>
            </w:r>
            <w:r w:rsidRPr="00EE6E86">
              <w:rPr>
                <w:i/>
                <w:sz w:val="16"/>
                <w:szCs w:val="16"/>
                <w:lang w:val="fr-BE"/>
              </w:rPr>
              <w:t>. de la circulaire coupole gouvernance</w:t>
            </w:r>
          </w:p>
        </w:tc>
        <w:tc>
          <w:tcPr>
            <w:tcW w:w="5103" w:type="dxa"/>
            <w:shd w:val="clear" w:color="auto" w:fill="auto"/>
          </w:tcPr>
          <w:p w14:paraId="3A59AD4F" w14:textId="77777777" w:rsidR="00676DBE" w:rsidRPr="00273F68" w:rsidRDefault="00676DBE" w:rsidP="00C80CF0">
            <w:pPr>
              <w:contextualSpacing/>
              <w:rPr>
                <w:bCs/>
                <w:lang w:val="fr-BE"/>
              </w:rPr>
            </w:pPr>
            <w:r w:rsidRPr="00273F68">
              <w:rPr>
                <w:bCs/>
                <w:lang w:val="fr-BE"/>
              </w:rPr>
              <w:t>[Date de la réunion du comité de direction]</w:t>
            </w:r>
          </w:p>
          <w:p w14:paraId="1D5A7BE7" w14:textId="77777777" w:rsidR="00676DBE" w:rsidRDefault="00676DBE" w:rsidP="00C80CF0">
            <w:pPr>
              <w:contextualSpacing/>
              <w:rPr>
                <w:b/>
                <w:lang w:val="fr-BE"/>
              </w:rPr>
            </w:pPr>
            <w:r w:rsidRPr="00273F68">
              <w:rPr>
                <w:bCs/>
                <w:lang w:val="fr-BE"/>
              </w:rPr>
              <w:t>[Date de la réunion du conseil d’administration]</w:t>
            </w:r>
          </w:p>
        </w:tc>
      </w:tr>
      <w:tr w:rsidR="00676DBE" w:rsidRPr="005B6567" w14:paraId="20E2B665" w14:textId="77777777" w:rsidTr="00C80CF0">
        <w:trPr>
          <w:trHeight w:val="319"/>
        </w:trPr>
        <w:tc>
          <w:tcPr>
            <w:tcW w:w="14850" w:type="dxa"/>
            <w:gridSpan w:val="3"/>
            <w:shd w:val="clear" w:color="auto" w:fill="F2F2F2" w:themeFill="background1" w:themeFillShade="F2"/>
          </w:tcPr>
          <w:p w14:paraId="235C2420" w14:textId="77777777" w:rsidR="00676DBE" w:rsidRPr="00DB4CC1" w:rsidRDefault="00676DBE" w:rsidP="00676DBE">
            <w:pPr>
              <w:pStyle w:val="ListParagraph"/>
              <w:numPr>
                <w:ilvl w:val="1"/>
                <w:numId w:val="11"/>
              </w:numPr>
              <w:rPr>
                <w:b/>
                <w:i/>
                <w:lang w:val="fr-BE"/>
              </w:rPr>
            </w:pPr>
            <w:r w:rsidRPr="00873A23">
              <w:rPr>
                <w:rFonts w:cs="Arial"/>
                <w:b/>
                <w:i/>
                <w:u w:val="single"/>
                <w:lang w:val="fr-BE"/>
              </w:rPr>
              <w:t>Phase post-contractuelle : exigences à respecter après avoir conclu un accord de sous-traitance</w:t>
            </w:r>
          </w:p>
        </w:tc>
      </w:tr>
      <w:tr w:rsidR="00676DBE" w:rsidRPr="005B6567" w14:paraId="34AA1BB9" w14:textId="77777777" w:rsidTr="00C80CF0">
        <w:trPr>
          <w:trHeight w:val="319"/>
        </w:trPr>
        <w:tc>
          <w:tcPr>
            <w:tcW w:w="7621" w:type="dxa"/>
          </w:tcPr>
          <w:p w14:paraId="347C0135" w14:textId="77777777" w:rsidR="00676DBE" w:rsidRDefault="00676DBE" w:rsidP="00C80CF0">
            <w:pPr>
              <w:pStyle w:val="NormalWeb"/>
              <w:spacing w:before="60" w:beforeAutospacing="0" w:after="60" w:afterAutospacing="0"/>
              <w:ind w:left="426" w:hanging="426"/>
              <w:jc w:val="both"/>
              <w:rPr>
                <w:rFonts w:ascii="Arial" w:hAnsi="Arial" w:cs="Arial"/>
                <w:sz w:val="20"/>
                <w:szCs w:val="20"/>
              </w:rPr>
            </w:pPr>
          </w:p>
        </w:tc>
        <w:tc>
          <w:tcPr>
            <w:tcW w:w="2126" w:type="dxa"/>
            <w:shd w:val="clear" w:color="auto" w:fill="DBE5F1" w:themeFill="accent1" w:themeFillTint="33"/>
          </w:tcPr>
          <w:p w14:paraId="144710CB" w14:textId="77777777" w:rsidR="00676DBE" w:rsidRDefault="00676DBE" w:rsidP="00C80CF0">
            <w:pPr>
              <w:autoSpaceDE w:val="0"/>
              <w:autoSpaceDN w:val="0"/>
              <w:adjustRightInd w:val="0"/>
              <w:spacing w:line="240" w:lineRule="auto"/>
              <w:rPr>
                <w:i/>
                <w:lang w:val="fr-BE"/>
              </w:rPr>
            </w:pPr>
            <w:r w:rsidRPr="0027205B">
              <w:rPr>
                <w:rFonts w:cs="Arial"/>
                <w:sz w:val="16"/>
                <w:szCs w:val="16"/>
                <w:lang w:val="fr-BE" w:eastAsia="nl-BE"/>
              </w:rPr>
              <w:t>Source de l’exigence applicable</w:t>
            </w:r>
          </w:p>
        </w:tc>
        <w:tc>
          <w:tcPr>
            <w:tcW w:w="5103" w:type="dxa"/>
            <w:shd w:val="clear" w:color="auto" w:fill="DBE5F1" w:themeFill="accent1" w:themeFillTint="33"/>
          </w:tcPr>
          <w:p w14:paraId="055BFA9D" w14:textId="77777777" w:rsidR="00676DBE" w:rsidRDefault="00676DBE" w:rsidP="00C80CF0">
            <w:pPr>
              <w:autoSpaceDE w:val="0"/>
              <w:autoSpaceDN w:val="0"/>
              <w:adjustRightInd w:val="0"/>
              <w:spacing w:line="240" w:lineRule="auto"/>
              <w:rPr>
                <w:rFonts w:cs="Arial"/>
                <w:sz w:val="16"/>
                <w:szCs w:val="16"/>
                <w:lang w:val="fr-BE" w:eastAsia="nl-BE"/>
              </w:rPr>
            </w:pPr>
            <w:r>
              <w:rPr>
                <w:rFonts w:cs="Arial"/>
                <w:sz w:val="16"/>
                <w:szCs w:val="16"/>
                <w:lang w:val="fr-BE" w:eastAsia="nl-BE"/>
              </w:rPr>
              <w:t>Indiquez, pour chacune des exigences reprises ci-dessous, si vous trouvez que les procédures internes de votre entreprise sur le sujet concerné ont été pleinement ou partiellement mises en œuvre de manière effective au sein de votre entreprise pour répondre à cette exigence.  En cas de réponse « partiellement », les problèmes identifiés sont à mentionner.</w:t>
            </w:r>
          </w:p>
        </w:tc>
      </w:tr>
      <w:tr w:rsidR="00676DBE" w:rsidRPr="005B6567" w14:paraId="781C1064" w14:textId="77777777" w:rsidTr="00C80CF0">
        <w:trPr>
          <w:trHeight w:val="319"/>
        </w:trPr>
        <w:tc>
          <w:tcPr>
            <w:tcW w:w="7621" w:type="dxa"/>
          </w:tcPr>
          <w:p w14:paraId="7CF65501" w14:textId="77777777" w:rsidR="00676DBE" w:rsidRPr="0087133E" w:rsidRDefault="00676DBE" w:rsidP="00C80CF0">
            <w:pPr>
              <w:pStyle w:val="NormalWeb"/>
              <w:spacing w:before="60" w:beforeAutospacing="0" w:after="60" w:afterAutospacing="0"/>
              <w:ind w:left="426" w:hanging="426"/>
              <w:jc w:val="both"/>
            </w:pPr>
            <w:r>
              <w:rPr>
                <w:rFonts w:ascii="Arial" w:hAnsi="Arial" w:cs="Arial"/>
                <w:sz w:val="20"/>
                <w:szCs w:val="20"/>
              </w:rPr>
              <w:t>(a) L’entreprise</w:t>
            </w:r>
            <w:r w:rsidRPr="008B3AD6">
              <w:rPr>
                <w:rFonts w:ascii="Arial" w:hAnsi="Arial" w:cs="Arial"/>
                <w:sz w:val="20"/>
                <w:szCs w:val="20"/>
              </w:rPr>
              <w:t xml:space="preserve"> </w:t>
            </w:r>
            <w:r>
              <w:rPr>
                <w:rFonts w:ascii="Arial" w:hAnsi="Arial" w:cs="Arial"/>
                <w:sz w:val="20"/>
                <w:szCs w:val="20"/>
              </w:rPr>
              <w:t>a vérifié</w:t>
            </w:r>
            <w:r w:rsidRPr="008B3AD6">
              <w:rPr>
                <w:rFonts w:ascii="Arial" w:hAnsi="Arial" w:cs="Arial"/>
                <w:sz w:val="20"/>
                <w:szCs w:val="20"/>
              </w:rPr>
              <w:t xml:space="preserve"> que les éléments pertinents des systèmes de gestion des risques et de contrôle interne du prestataire de services </w:t>
            </w:r>
            <w:r>
              <w:rPr>
                <w:rFonts w:ascii="Arial" w:hAnsi="Arial" w:cs="Arial"/>
                <w:sz w:val="20"/>
                <w:szCs w:val="20"/>
              </w:rPr>
              <w:t>sont</w:t>
            </w:r>
            <w:r w:rsidRPr="008B3AD6">
              <w:rPr>
                <w:rFonts w:ascii="Arial" w:hAnsi="Arial" w:cs="Arial"/>
                <w:sz w:val="20"/>
                <w:szCs w:val="20"/>
              </w:rPr>
              <w:t xml:space="preserve"> propres à garantir le respect des dispositions ci-dessus de la</w:t>
            </w:r>
            <w:r>
              <w:rPr>
                <w:rFonts w:ascii="Arial" w:hAnsi="Arial" w:cs="Arial"/>
                <w:sz w:val="20"/>
                <w:szCs w:val="20"/>
              </w:rPr>
              <w:t xml:space="preserve"> loi du 13 mars 2016 (« </w:t>
            </w:r>
            <w:r w:rsidRPr="008B3AD6">
              <w:rPr>
                <w:rFonts w:ascii="Arial" w:hAnsi="Arial" w:cs="Arial"/>
                <w:sz w:val="20"/>
                <w:szCs w:val="20"/>
              </w:rPr>
              <w:t>loi Solvabilité II</w:t>
            </w:r>
            <w:r>
              <w:rPr>
                <w:rFonts w:ascii="Arial" w:hAnsi="Arial" w:cs="Arial"/>
                <w:sz w:val="20"/>
                <w:szCs w:val="20"/>
              </w:rPr>
              <w:t> »</w:t>
            </w:r>
            <w:proofErr w:type="gramStart"/>
            <w:r>
              <w:rPr>
                <w:rFonts w:ascii="Arial" w:hAnsi="Arial" w:cs="Arial"/>
                <w:sz w:val="20"/>
                <w:szCs w:val="20"/>
              </w:rPr>
              <w:t>)</w:t>
            </w:r>
            <w:r w:rsidRPr="008B3AD6">
              <w:rPr>
                <w:rFonts w:ascii="Arial" w:hAnsi="Arial" w:cs="Arial"/>
                <w:sz w:val="20"/>
                <w:szCs w:val="20"/>
              </w:rPr>
              <w:t>;</w:t>
            </w:r>
            <w:proofErr w:type="gramEnd"/>
            <w:r w:rsidRPr="008B3AD6">
              <w:rPr>
                <w:rFonts w:ascii="Arial" w:hAnsi="Arial" w:cs="Arial"/>
                <w:sz w:val="20"/>
                <w:szCs w:val="20"/>
              </w:rPr>
              <w:t xml:space="preserve"> </w:t>
            </w:r>
          </w:p>
        </w:tc>
        <w:tc>
          <w:tcPr>
            <w:tcW w:w="2126" w:type="dxa"/>
          </w:tcPr>
          <w:p w14:paraId="11280E89" w14:textId="77777777" w:rsidR="00676DBE" w:rsidRPr="00EE6E86" w:rsidRDefault="00676DBE" w:rsidP="00C80CF0">
            <w:pPr>
              <w:rPr>
                <w:i/>
                <w:sz w:val="16"/>
                <w:szCs w:val="16"/>
                <w:lang w:val="fr-BE"/>
              </w:rPr>
            </w:pPr>
            <w:r w:rsidRPr="00EE6E86">
              <w:rPr>
                <w:i/>
                <w:sz w:val="16"/>
                <w:szCs w:val="16"/>
                <w:lang w:val="fr-BE"/>
              </w:rPr>
              <w:t>Section 7.3.3. de la circulaire coupole gouvernance</w:t>
            </w:r>
          </w:p>
        </w:tc>
        <w:tc>
          <w:tcPr>
            <w:tcW w:w="5103" w:type="dxa"/>
          </w:tcPr>
          <w:p w14:paraId="48C26B52" w14:textId="77777777" w:rsidR="00676DBE" w:rsidRDefault="00676DBE" w:rsidP="00C80CF0">
            <w:pPr>
              <w:autoSpaceDE w:val="0"/>
              <w:autoSpaceDN w:val="0"/>
              <w:adjustRightInd w:val="0"/>
              <w:spacing w:line="240" w:lineRule="auto"/>
              <w:rPr>
                <w:rFonts w:cs="Arial"/>
                <w:sz w:val="16"/>
                <w:szCs w:val="16"/>
                <w:lang w:val="fr-BE" w:eastAsia="nl-BE"/>
              </w:rPr>
            </w:pPr>
            <w:r>
              <w:rPr>
                <w:rFonts w:cs="Arial"/>
                <w:sz w:val="16"/>
                <w:szCs w:val="16"/>
                <w:lang w:val="fr-BE" w:eastAsia="nl-BE"/>
              </w:rPr>
              <w:t>- pleinement</w:t>
            </w:r>
          </w:p>
          <w:p w14:paraId="659C028D" w14:textId="77777777" w:rsidR="00676DBE" w:rsidRDefault="00676DBE" w:rsidP="00C80CF0">
            <w:pPr>
              <w:autoSpaceDE w:val="0"/>
              <w:autoSpaceDN w:val="0"/>
              <w:adjustRightInd w:val="0"/>
              <w:spacing w:line="240" w:lineRule="auto"/>
              <w:rPr>
                <w:rFonts w:cs="Arial"/>
                <w:sz w:val="16"/>
                <w:szCs w:val="16"/>
                <w:lang w:val="fr-BE" w:eastAsia="nl-BE"/>
              </w:rPr>
            </w:pPr>
            <w:r>
              <w:rPr>
                <w:rFonts w:cs="Arial"/>
                <w:sz w:val="16"/>
                <w:szCs w:val="16"/>
                <w:lang w:val="fr-BE" w:eastAsia="nl-BE"/>
              </w:rPr>
              <w:t xml:space="preserve">- partiellement car </w:t>
            </w:r>
            <w:r w:rsidRPr="00EB4D38">
              <w:rPr>
                <w:rFonts w:cs="Arial"/>
                <w:sz w:val="16"/>
                <w:szCs w:val="16"/>
                <w:highlight w:val="green"/>
                <w:lang w:val="fr-BE" w:eastAsia="nl-BE"/>
              </w:rPr>
              <w:t>[texte libre]</w:t>
            </w:r>
          </w:p>
          <w:p w14:paraId="2D1ACC4A" w14:textId="77777777" w:rsidR="00676DBE" w:rsidRPr="0087133E" w:rsidRDefault="00676DBE" w:rsidP="00C80CF0">
            <w:pPr>
              <w:autoSpaceDE w:val="0"/>
              <w:autoSpaceDN w:val="0"/>
              <w:adjustRightInd w:val="0"/>
              <w:spacing w:line="240" w:lineRule="auto"/>
              <w:rPr>
                <w:lang w:val="fr-BE"/>
              </w:rPr>
            </w:pPr>
          </w:p>
        </w:tc>
      </w:tr>
      <w:tr w:rsidR="00676DBE" w:rsidRPr="005B6567" w14:paraId="7708C3B4" w14:textId="77777777" w:rsidTr="00C80CF0">
        <w:trPr>
          <w:trHeight w:val="319"/>
        </w:trPr>
        <w:tc>
          <w:tcPr>
            <w:tcW w:w="7621" w:type="dxa"/>
          </w:tcPr>
          <w:p w14:paraId="67ADC08A" w14:textId="77777777" w:rsidR="00676DBE" w:rsidRPr="0087133E" w:rsidRDefault="00676DBE" w:rsidP="00C80CF0">
            <w:pPr>
              <w:pStyle w:val="NormalWeb"/>
              <w:spacing w:before="60" w:beforeAutospacing="0" w:after="60" w:afterAutospacing="0"/>
              <w:ind w:left="426" w:hanging="426"/>
              <w:jc w:val="both"/>
            </w:pPr>
            <w:r>
              <w:rPr>
                <w:rFonts w:ascii="Arial" w:hAnsi="Arial" w:cs="Arial"/>
                <w:sz w:val="20"/>
                <w:szCs w:val="20"/>
              </w:rPr>
              <w:t>(b) l’entreprise</w:t>
            </w:r>
            <w:r w:rsidRPr="008B3AD6">
              <w:rPr>
                <w:rFonts w:ascii="Arial" w:hAnsi="Arial" w:cs="Arial"/>
                <w:sz w:val="20"/>
                <w:szCs w:val="20"/>
              </w:rPr>
              <w:t xml:space="preserve"> </w:t>
            </w:r>
            <w:r>
              <w:rPr>
                <w:rFonts w:ascii="Arial" w:hAnsi="Arial" w:cs="Arial"/>
                <w:sz w:val="20"/>
                <w:szCs w:val="20"/>
              </w:rPr>
              <w:t>a tenu</w:t>
            </w:r>
            <w:r w:rsidRPr="008B3AD6">
              <w:rPr>
                <w:rFonts w:ascii="Arial" w:hAnsi="Arial" w:cs="Arial"/>
                <w:sz w:val="20"/>
                <w:szCs w:val="20"/>
              </w:rPr>
              <w:t xml:space="preserve"> dûment compte des fonctions ou activités sous-traitées dans ses systèmes de gestion des risques et de contrôle interne, de façon à respecter les dispositions de la loi Solvabilité </w:t>
            </w:r>
            <w:proofErr w:type="gramStart"/>
            <w:r w:rsidRPr="008B3AD6">
              <w:rPr>
                <w:rFonts w:ascii="Arial" w:hAnsi="Arial" w:cs="Arial"/>
                <w:sz w:val="20"/>
                <w:szCs w:val="20"/>
              </w:rPr>
              <w:t>II;</w:t>
            </w:r>
            <w:proofErr w:type="gramEnd"/>
            <w:r w:rsidRPr="008B3AD6">
              <w:rPr>
                <w:rFonts w:ascii="Arial" w:hAnsi="Arial" w:cs="Arial"/>
                <w:sz w:val="20"/>
                <w:szCs w:val="20"/>
              </w:rPr>
              <w:t xml:space="preserve"> </w:t>
            </w:r>
          </w:p>
        </w:tc>
        <w:tc>
          <w:tcPr>
            <w:tcW w:w="2126" w:type="dxa"/>
          </w:tcPr>
          <w:p w14:paraId="0FC063D9" w14:textId="77777777" w:rsidR="00676DBE" w:rsidRPr="00EE6E86" w:rsidRDefault="00676DBE" w:rsidP="00C80CF0">
            <w:pPr>
              <w:rPr>
                <w:i/>
                <w:sz w:val="16"/>
                <w:szCs w:val="16"/>
                <w:lang w:val="fr-BE"/>
              </w:rPr>
            </w:pPr>
            <w:r w:rsidRPr="00EE6E86">
              <w:rPr>
                <w:i/>
                <w:sz w:val="16"/>
                <w:szCs w:val="16"/>
                <w:lang w:val="fr-BE"/>
              </w:rPr>
              <w:t>Section 7.3.3. de la circulaire coupole gouvernance</w:t>
            </w:r>
          </w:p>
        </w:tc>
        <w:tc>
          <w:tcPr>
            <w:tcW w:w="5103" w:type="dxa"/>
          </w:tcPr>
          <w:p w14:paraId="62C33D05" w14:textId="77777777" w:rsidR="00676DBE" w:rsidRPr="0087133E" w:rsidRDefault="00676DBE" w:rsidP="00C80CF0">
            <w:pPr>
              <w:rPr>
                <w:lang w:val="fr-BE"/>
              </w:rPr>
            </w:pPr>
          </w:p>
        </w:tc>
      </w:tr>
      <w:tr w:rsidR="00676DBE" w:rsidRPr="005B6567" w14:paraId="1A989906" w14:textId="77777777" w:rsidTr="00C80CF0">
        <w:trPr>
          <w:trHeight w:val="319"/>
        </w:trPr>
        <w:tc>
          <w:tcPr>
            <w:tcW w:w="7621" w:type="dxa"/>
          </w:tcPr>
          <w:p w14:paraId="2648B6E5" w14:textId="77777777" w:rsidR="00676DBE" w:rsidRPr="0087133E" w:rsidRDefault="00676DBE" w:rsidP="00C80CF0">
            <w:pPr>
              <w:pStyle w:val="Default"/>
              <w:ind w:left="360" w:hanging="360"/>
              <w:rPr>
                <w:lang w:val="fr-BE"/>
              </w:rPr>
            </w:pPr>
            <w:r w:rsidRPr="00273F68">
              <w:rPr>
                <w:rFonts w:ascii="Arial" w:hAnsi="Arial" w:cs="Arial"/>
                <w:sz w:val="20"/>
                <w:szCs w:val="20"/>
                <w:lang w:val="fr-BE"/>
              </w:rPr>
              <w:t xml:space="preserve">(c) l’entreprise a mis en place un dispositif de </w:t>
            </w:r>
            <w:r w:rsidRPr="00273F68">
              <w:rPr>
                <w:rFonts w:ascii="Arial" w:hAnsi="Arial" w:cs="Arial"/>
                <w:i/>
                <w:sz w:val="20"/>
                <w:szCs w:val="20"/>
                <w:lang w:val="fr-BE"/>
              </w:rPr>
              <w:t>monitoring</w:t>
            </w:r>
            <w:r w:rsidRPr="00273F68">
              <w:rPr>
                <w:rFonts w:ascii="Arial" w:hAnsi="Arial" w:cs="Arial"/>
                <w:sz w:val="20"/>
                <w:szCs w:val="20"/>
                <w:lang w:val="fr-BE"/>
              </w:rPr>
              <w:t xml:space="preserve"> des fonctions ou activités </w:t>
            </w:r>
            <w:r w:rsidRPr="00273F68">
              <w:rPr>
                <w:rFonts w:ascii="Arial" w:hAnsi="Arial" w:cs="Arial"/>
                <w:sz w:val="20"/>
                <w:szCs w:val="20"/>
                <w:lang w:val="fr-BE"/>
              </w:rPr>
              <w:lastRenderedPageBreak/>
              <w:t>sous-traité</w:t>
            </w:r>
            <w:r>
              <w:rPr>
                <w:rFonts w:ascii="Arial" w:hAnsi="Arial" w:cs="Arial"/>
                <w:sz w:val="20"/>
                <w:szCs w:val="20"/>
                <w:lang w:val="fr-BE"/>
              </w:rPr>
              <w:t>e</w:t>
            </w:r>
            <w:r w:rsidRPr="00273F68">
              <w:rPr>
                <w:rFonts w:ascii="Arial" w:hAnsi="Arial" w:cs="Arial"/>
                <w:sz w:val="20"/>
                <w:szCs w:val="20"/>
                <w:lang w:val="fr-BE"/>
              </w:rPr>
              <w:t xml:space="preserve">s en effectuant un </w:t>
            </w:r>
            <w:r w:rsidRPr="00DB4CC1">
              <w:rPr>
                <w:rFonts w:ascii="Arial" w:hAnsi="Arial" w:cs="Arial"/>
                <w:sz w:val="20"/>
                <w:szCs w:val="20"/>
                <w:lang w:val="fr-BE"/>
              </w:rPr>
              <w:t>suivi régulier des</w:t>
            </w:r>
            <w:r w:rsidRPr="00273F68">
              <w:rPr>
                <w:rFonts w:ascii="Arial" w:hAnsi="Arial" w:cs="Arial"/>
                <w:sz w:val="20"/>
                <w:szCs w:val="20"/>
                <w:lang w:val="fr-BE"/>
              </w:rPr>
              <w:t xml:space="preserve"> performances des prestataires de services de manière structuré</w:t>
            </w:r>
            <w:r>
              <w:rPr>
                <w:rFonts w:ascii="Arial" w:hAnsi="Arial" w:cs="Arial"/>
                <w:sz w:val="20"/>
                <w:szCs w:val="20"/>
                <w:lang w:val="fr-BE"/>
              </w:rPr>
              <w:t>e</w:t>
            </w:r>
            <w:r w:rsidRPr="00273F68">
              <w:rPr>
                <w:rFonts w:ascii="Arial" w:hAnsi="Arial" w:cs="Arial"/>
                <w:sz w:val="20"/>
                <w:szCs w:val="20"/>
                <w:lang w:val="fr-BE"/>
              </w:rPr>
              <w:t xml:space="preserve"> (en utilisant par exemple des indicateurs de performance clé) et selon une approche par les risques comprenant notamment l’intégrité et la sécurité des données ; </w:t>
            </w:r>
          </w:p>
        </w:tc>
        <w:tc>
          <w:tcPr>
            <w:tcW w:w="2126" w:type="dxa"/>
          </w:tcPr>
          <w:p w14:paraId="4E9D3540" w14:textId="77777777" w:rsidR="00676DBE" w:rsidRPr="00EE6E86" w:rsidRDefault="00676DBE" w:rsidP="00C80CF0">
            <w:pPr>
              <w:rPr>
                <w:i/>
                <w:sz w:val="16"/>
                <w:szCs w:val="16"/>
                <w:lang w:val="fr-BE"/>
              </w:rPr>
            </w:pPr>
            <w:r w:rsidRPr="00EE6E86">
              <w:rPr>
                <w:i/>
                <w:sz w:val="16"/>
                <w:szCs w:val="16"/>
                <w:lang w:val="fr-BE"/>
              </w:rPr>
              <w:lastRenderedPageBreak/>
              <w:t xml:space="preserve">Section 7.3.3. de la </w:t>
            </w:r>
            <w:r w:rsidRPr="00EE6E86">
              <w:rPr>
                <w:i/>
                <w:sz w:val="16"/>
                <w:szCs w:val="16"/>
                <w:lang w:val="fr-BE"/>
              </w:rPr>
              <w:lastRenderedPageBreak/>
              <w:t>circulaire coupole gouvernance</w:t>
            </w:r>
          </w:p>
        </w:tc>
        <w:tc>
          <w:tcPr>
            <w:tcW w:w="5103" w:type="dxa"/>
          </w:tcPr>
          <w:p w14:paraId="0010ABB9" w14:textId="77777777" w:rsidR="00676DBE" w:rsidRPr="0087133E" w:rsidRDefault="00676DBE" w:rsidP="00C80CF0">
            <w:pPr>
              <w:rPr>
                <w:lang w:val="fr-BE"/>
              </w:rPr>
            </w:pPr>
          </w:p>
        </w:tc>
      </w:tr>
      <w:tr w:rsidR="00676DBE" w:rsidRPr="005B6567" w14:paraId="09ED6B9A" w14:textId="77777777" w:rsidTr="00C80CF0">
        <w:trPr>
          <w:trHeight w:val="319"/>
        </w:trPr>
        <w:tc>
          <w:tcPr>
            <w:tcW w:w="7621" w:type="dxa"/>
          </w:tcPr>
          <w:p w14:paraId="6B33333A" w14:textId="77777777" w:rsidR="00676DBE" w:rsidRPr="0087133E" w:rsidRDefault="00676DBE" w:rsidP="00C80CF0">
            <w:pPr>
              <w:pStyle w:val="NormalWeb"/>
              <w:spacing w:before="60" w:beforeAutospacing="0" w:after="60" w:afterAutospacing="0"/>
              <w:ind w:left="426" w:hanging="426"/>
              <w:jc w:val="both"/>
            </w:pPr>
            <w:r w:rsidRPr="008B3AD6">
              <w:rPr>
                <w:rFonts w:ascii="Arial" w:hAnsi="Arial" w:cs="Arial"/>
                <w:sz w:val="20"/>
                <w:szCs w:val="20"/>
              </w:rPr>
              <w:t>(d)</w:t>
            </w:r>
            <w:r w:rsidRPr="008B3AD6">
              <w:rPr>
                <w:rFonts w:ascii="Arial" w:hAnsi="Arial" w:cs="Arial"/>
                <w:sz w:val="20"/>
                <w:szCs w:val="20"/>
              </w:rPr>
              <w:tab/>
            </w:r>
            <w:r>
              <w:rPr>
                <w:rFonts w:ascii="Arial" w:hAnsi="Arial" w:cs="Arial"/>
                <w:sz w:val="20"/>
                <w:szCs w:val="20"/>
              </w:rPr>
              <w:t>l’entreprise a</w:t>
            </w:r>
            <w:r w:rsidRPr="008B3AD6">
              <w:rPr>
                <w:rFonts w:ascii="Arial" w:hAnsi="Arial" w:cs="Arial"/>
                <w:sz w:val="20"/>
                <w:szCs w:val="20"/>
              </w:rPr>
              <w:t xml:space="preserve"> </w:t>
            </w:r>
            <w:r>
              <w:rPr>
                <w:rFonts w:ascii="Arial" w:hAnsi="Arial" w:cs="Arial"/>
                <w:sz w:val="20"/>
                <w:szCs w:val="20"/>
              </w:rPr>
              <w:t>vérifié</w:t>
            </w:r>
            <w:r w:rsidRPr="008B3AD6">
              <w:rPr>
                <w:rFonts w:ascii="Arial" w:hAnsi="Arial" w:cs="Arial"/>
                <w:sz w:val="20"/>
                <w:szCs w:val="20"/>
              </w:rPr>
              <w:t xml:space="preserve"> que le prestataire de services </w:t>
            </w:r>
            <w:r>
              <w:rPr>
                <w:rFonts w:ascii="Arial" w:hAnsi="Arial" w:cs="Arial"/>
                <w:sz w:val="20"/>
                <w:szCs w:val="20"/>
              </w:rPr>
              <w:t>a mis</w:t>
            </w:r>
            <w:r w:rsidRPr="008B3AD6">
              <w:rPr>
                <w:rFonts w:ascii="Arial" w:hAnsi="Arial" w:cs="Arial"/>
                <w:sz w:val="20"/>
                <w:szCs w:val="20"/>
              </w:rPr>
              <w:t xml:space="preserve"> en place des plans d'urgence adéquats pour faire </w:t>
            </w:r>
            <w:r>
              <w:rPr>
                <w:rFonts w:ascii="Arial" w:hAnsi="Arial" w:cs="Arial"/>
                <w:sz w:val="20"/>
                <w:szCs w:val="20"/>
              </w:rPr>
              <w:t xml:space="preserve">face </w:t>
            </w:r>
            <w:r w:rsidRPr="008B3AD6">
              <w:rPr>
                <w:rFonts w:ascii="Arial" w:hAnsi="Arial" w:cs="Arial"/>
                <w:sz w:val="20"/>
                <w:szCs w:val="20"/>
              </w:rPr>
              <w:t>aux situations d'urgence ou d'interruption de son activité et qu'il teste régulièrement ses systèmes de secours, si nécessaire, compte tenu des fonctions ou activités sous-traitées</w:t>
            </w:r>
            <w:r>
              <w:rPr>
                <w:rFonts w:ascii="Arial" w:hAnsi="Arial" w:cs="Arial"/>
                <w:sz w:val="20"/>
                <w:szCs w:val="20"/>
              </w:rPr>
              <w:t> ;</w:t>
            </w:r>
          </w:p>
        </w:tc>
        <w:tc>
          <w:tcPr>
            <w:tcW w:w="2126" w:type="dxa"/>
          </w:tcPr>
          <w:p w14:paraId="26411A79" w14:textId="77777777" w:rsidR="00676DBE" w:rsidRPr="00EE6E86" w:rsidRDefault="00676DBE" w:rsidP="00C80CF0">
            <w:pPr>
              <w:rPr>
                <w:i/>
                <w:sz w:val="16"/>
                <w:szCs w:val="16"/>
                <w:lang w:val="fr-BE"/>
              </w:rPr>
            </w:pPr>
            <w:r w:rsidRPr="00EE6E86">
              <w:rPr>
                <w:i/>
                <w:sz w:val="16"/>
                <w:szCs w:val="16"/>
                <w:lang w:val="fr-BE"/>
              </w:rPr>
              <w:t>Section 7.3.3. de la circulaire coupole gouvernance</w:t>
            </w:r>
          </w:p>
        </w:tc>
        <w:tc>
          <w:tcPr>
            <w:tcW w:w="5103" w:type="dxa"/>
          </w:tcPr>
          <w:p w14:paraId="2AA152AC" w14:textId="77777777" w:rsidR="00676DBE" w:rsidRPr="0087133E" w:rsidRDefault="00676DBE" w:rsidP="00C80CF0">
            <w:pPr>
              <w:rPr>
                <w:lang w:val="fr-BE"/>
              </w:rPr>
            </w:pPr>
          </w:p>
        </w:tc>
      </w:tr>
      <w:tr w:rsidR="00676DBE" w:rsidRPr="005B6567" w14:paraId="6D838E79" w14:textId="77777777" w:rsidTr="00C80CF0">
        <w:trPr>
          <w:trHeight w:val="319"/>
        </w:trPr>
        <w:tc>
          <w:tcPr>
            <w:tcW w:w="7621" w:type="dxa"/>
          </w:tcPr>
          <w:p w14:paraId="7445A19F" w14:textId="77777777" w:rsidR="00676DBE" w:rsidRPr="00CF5D16" w:rsidRDefault="00676DBE" w:rsidP="00C80CF0">
            <w:pPr>
              <w:pStyle w:val="NormalWeb"/>
              <w:spacing w:before="60" w:after="60"/>
              <w:ind w:left="426" w:hanging="426"/>
              <w:jc w:val="both"/>
              <w:rPr>
                <w:rFonts w:ascii="Arial" w:hAnsi="Arial" w:cs="Arial"/>
                <w:sz w:val="20"/>
                <w:szCs w:val="20"/>
              </w:rPr>
            </w:pPr>
            <w:r>
              <w:rPr>
                <w:rFonts w:ascii="Arial" w:hAnsi="Arial" w:cs="Arial"/>
                <w:sz w:val="20"/>
                <w:szCs w:val="20"/>
              </w:rPr>
              <w:t xml:space="preserve">(e) </w:t>
            </w:r>
            <w:r>
              <w:rPr>
                <w:rFonts w:ascii="Arial" w:hAnsi="Arial" w:cs="Arial"/>
                <w:sz w:val="20"/>
                <w:szCs w:val="20"/>
              </w:rPr>
              <w:tab/>
              <w:t xml:space="preserve">l’entreprise </w:t>
            </w:r>
            <w:r w:rsidRPr="00781485">
              <w:rPr>
                <w:rFonts w:ascii="Arial" w:hAnsi="Arial" w:cs="Arial"/>
                <w:sz w:val="20"/>
                <w:szCs w:val="20"/>
              </w:rPr>
              <w:t>dispose d’une stratégie de sortie documentée</w:t>
            </w:r>
            <w:r>
              <w:rPr>
                <w:rFonts w:ascii="Arial" w:hAnsi="Arial" w:cs="Arial"/>
                <w:sz w:val="20"/>
                <w:szCs w:val="20"/>
              </w:rPr>
              <w:t>.</w:t>
            </w:r>
          </w:p>
        </w:tc>
        <w:tc>
          <w:tcPr>
            <w:tcW w:w="2126" w:type="dxa"/>
          </w:tcPr>
          <w:p w14:paraId="2E56572F" w14:textId="77777777" w:rsidR="00676DBE" w:rsidRPr="00EE6E86" w:rsidRDefault="00676DBE" w:rsidP="00C80CF0">
            <w:pPr>
              <w:rPr>
                <w:i/>
                <w:sz w:val="16"/>
                <w:szCs w:val="16"/>
                <w:lang w:val="fr-BE"/>
              </w:rPr>
            </w:pPr>
            <w:r w:rsidRPr="00EE6E86">
              <w:rPr>
                <w:i/>
                <w:sz w:val="16"/>
                <w:szCs w:val="16"/>
                <w:lang w:val="fr-BE"/>
              </w:rPr>
              <w:t>Section 7.3.3. de la circulaire coupole gouvernance</w:t>
            </w:r>
          </w:p>
        </w:tc>
        <w:tc>
          <w:tcPr>
            <w:tcW w:w="5103" w:type="dxa"/>
          </w:tcPr>
          <w:p w14:paraId="415B7AD2" w14:textId="77777777" w:rsidR="00676DBE" w:rsidRPr="0087133E" w:rsidRDefault="00676DBE" w:rsidP="00C80CF0">
            <w:pPr>
              <w:rPr>
                <w:lang w:val="fr-BE"/>
              </w:rPr>
            </w:pPr>
          </w:p>
        </w:tc>
      </w:tr>
      <w:tr w:rsidR="00676DBE" w:rsidRPr="005B6567" w14:paraId="1E7E3D76" w14:textId="77777777" w:rsidTr="00C80CF0">
        <w:trPr>
          <w:trHeight w:val="356"/>
        </w:trPr>
        <w:tc>
          <w:tcPr>
            <w:tcW w:w="14850" w:type="dxa"/>
            <w:gridSpan w:val="3"/>
            <w:shd w:val="clear" w:color="auto" w:fill="D9D9D9" w:themeFill="background1" w:themeFillShade="D9"/>
          </w:tcPr>
          <w:p w14:paraId="6AFD9D08" w14:textId="77777777" w:rsidR="00676DBE" w:rsidRPr="00680331" w:rsidRDefault="00676DBE" w:rsidP="00676DBE">
            <w:pPr>
              <w:numPr>
                <w:ilvl w:val="0"/>
                <w:numId w:val="13"/>
              </w:numPr>
              <w:contextualSpacing/>
              <w:rPr>
                <w:b/>
                <w:lang w:val="fr-BE"/>
              </w:rPr>
            </w:pPr>
            <w:r>
              <w:rPr>
                <w:b/>
                <w:lang w:val="fr-BE"/>
              </w:rPr>
              <w:t>Caractère complet du dossier transmis à la Banque nationale de Belgique</w:t>
            </w:r>
          </w:p>
        </w:tc>
      </w:tr>
      <w:tr w:rsidR="00676DBE" w:rsidRPr="005B6567" w14:paraId="7BAE1A66" w14:textId="77777777" w:rsidTr="00C80CF0">
        <w:trPr>
          <w:trHeight w:val="319"/>
        </w:trPr>
        <w:tc>
          <w:tcPr>
            <w:tcW w:w="14850" w:type="dxa"/>
            <w:gridSpan w:val="3"/>
          </w:tcPr>
          <w:p w14:paraId="6C088D97" w14:textId="77777777" w:rsidR="00676DBE" w:rsidRDefault="00676DBE" w:rsidP="00C80CF0">
            <w:pPr>
              <w:rPr>
                <w:lang w:val="fr-BE"/>
              </w:rPr>
            </w:pPr>
            <w:r w:rsidRPr="007A61D6">
              <w:rPr>
                <w:lang w:val="fr-BE"/>
              </w:rPr>
              <w:t>Par l</w:t>
            </w:r>
            <w:r>
              <w:rPr>
                <w:lang w:val="fr-BE"/>
              </w:rPr>
              <w:t>e</w:t>
            </w:r>
            <w:r w:rsidRPr="007A61D6">
              <w:rPr>
                <w:lang w:val="fr-BE"/>
              </w:rPr>
              <w:t xml:space="preserve"> présent </w:t>
            </w:r>
            <w:r>
              <w:rPr>
                <w:lang w:val="fr-BE"/>
              </w:rPr>
              <w:t>avis</w:t>
            </w:r>
            <w:r w:rsidRPr="007A61D6">
              <w:rPr>
                <w:lang w:val="fr-BE"/>
              </w:rPr>
              <w:t>, le soussigné</w:t>
            </w:r>
          </w:p>
          <w:p w14:paraId="1F2CBCC3" w14:textId="77777777" w:rsidR="00676DBE" w:rsidRPr="00C62E68" w:rsidRDefault="00676DBE" w:rsidP="00676DBE">
            <w:pPr>
              <w:pStyle w:val="ListParagraph"/>
              <w:numPr>
                <w:ilvl w:val="0"/>
                <w:numId w:val="12"/>
              </w:numPr>
              <w:rPr>
                <w:lang w:val="fr-BE"/>
              </w:rPr>
            </w:pPr>
            <w:r>
              <w:rPr>
                <w:lang w:val="fr-BE"/>
              </w:rPr>
              <w:t>déclare avoir vérifié le respect des règles entourant la gouvernance la sous-traitance critique ou importante reprise ci-dessus et le contenu de l’accord avec le prestataire de services, desquels il ne ressort pas d’autres observations que celles mentionnées ci-dessus ; et</w:t>
            </w:r>
          </w:p>
          <w:p w14:paraId="125255B1" w14:textId="77777777" w:rsidR="00676DBE" w:rsidRPr="00057B2E" w:rsidRDefault="00676DBE" w:rsidP="00676DBE">
            <w:pPr>
              <w:pStyle w:val="ListParagraph"/>
              <w:numPr>
                <w:ilvl w:val="0"/>
                <w:numId w:val="12"/>
              </w:numPr>
              <w:rPr>
                <w:i/>
                <w:lang w:val="fr-BE"/>
              </w:rPr>
            </w:pPr>
            <w:r w:rsidRPr="00C62E68">
              <w:rPr>
                <w:lang w:val="fr-BE"/>
              </w:rPr>
              <w:t>confirme que le dossier transmis à la Banque nationale de Belgique contient l’ensemble des documents requis à la section 7.</w:t>
            </w:r>
            <w:r w:rsidRPr="00C80CF0">
              <w:rPr>
                <w:highlight w:val="cyan"/>
                <w:lang w:val="fr-BE"/>
              </w:rPr>
              <w:t>6</w:t>
            </w:r>
            <w:r w:rsidRPr="00C62E68">
              <w:rPr>
                <w:lang w:val="fr-BE"/>
              </w:rPr>
              <w:t>. de la circulaire coupole gouvernance.</w:t>
            </w:r>
          </w:p>
        </w:tc>
      </w:tr>
    </w:tbl>
    <w:p w14:paraId="6137B69C" w14:textId="77777777" w:rsidR="00676DBE" w:rsidRPr="00273F68" w:rsidRDefault="00676DBE" w:rsidP="00676DBE">
      <w:pPr>
        <w:rPr>
          <w:lang w:val="fr-BE"/>
        </w:rPr>
      </w:pPr>
    </w:p>
    <w:p w14:paraId="31656CBE" w14:textId="77777777" w:rsidR="00676DBE" w:rsidRPr="00273F68" w:rsidRDefault="00676DBE" w:rsidP="00676DBE">
      <w:pPr>
        <w:rPr>
          <w:lang w:val="fr-BE"/>
        </w:rPr>
      </w:pPr>
      <w:proofErr w:type="gramStart"/>
      <w:r w:rsidRPr="00273F68">
        <w:rPr>
          <w:lang w:val="fr-BE"/>
        </w:rPr>
        <w:t>Date:</w:t>
      </w:r>
      <w:proofErr w:type="gramEnd"/>
      <w:r w:rsidRPr="00273F68">
        <w:rPr>
          <w:lang w:val="fr-BE"/>
        </w:rPr>
        <w:t xml:space="preserve"> </w:t>
      </w:r>
      <w:r w:rsidRPr="00EB4D38">
        <w:rPr>
          <w:highlight w:val="green"/>
          <w:lang w:val="fr-BE"/>
        </w:rPr>
        <w:t>[JJ/MM/AAAA]</w:t>
      </w:r>
    </w:p>
    <w:p w14:paraId="1B098859" w14:textId="77777777" w:rsidR="00676DBE" w:rsidRPr="00273F68" w:rsidRDefault="00676DBE" w:rsidP="00676DBE">
      <w:pPr>
        <w:rPr>
          <w:lang w:val="fr-BE"/>
        </w:rPr>
      </w:pPr>
    </w:p>
    <w:p w14:paraId="57C07135" w14:textId="77777777" w:rsidR="00676DBE" w:rsidRPr="00273F68" w:rsidRDefault="00676DBE" w:rsidP="00676DBE">
      <w:pPr>
        <w:rPr>
          <w:lang w:val="fr-BE"/>
        </w:rPr>
      </w:pPr>
    </w:p>
    <w:p w14:paraId="0CC3E4E9" w14:textId="77777777" w:rsidR="00676DBE" w:rsidRPr="00273F68" w:rsidRDefault="00676DBE" w:rsidP="00676DBE">
      <w:pPr>
        <w:rPr>
          <w:lang w:val="fr-BE"/>
        </w:rPr>
      </w:pPr>
    </w:p>
    <w:p w14:paraId="52316C46" w14:textId="77777777" w:rsidR="00676DBE" w:rsidRPr="00273F68" w:rsidRDefault="00676DBE" w:rsidP="00676DBE">
      <w:pPr>
        <w:rPr>
          <w:lang w:val="fr-BE"/>
        </w:rPr>
      </w:pPr>
      <w:r w:rsidRPr="00273F68">
        <w:rPr>
          <w:lang w:val="fr-BE"/>
        </w:rPr>
        <w:t>___________________</w:t>
      </w:r>
    </w:p>
    <w:p w14:paraId="4D13AB05" w14:textId="77777777" w:rsidR="00676DBE" w:rsidRPr="00273F68" w:rsidRDefault="00676DBE" w:rsidP="00676DBE">
      <w:pPr>
        <w:rPr>
          <w:lang w:val="fr-BE"/>
        </w:rPr>
      </w:pPr>
      <w:r w:rsidRPr="00EB4D38">
        <w:rPr>
          <w:highlight w:val="green"/>
          <w:lang w:val="fr-BE"/>
        </w:rPr>
        <w:t>[Nom et Prénom]</w:t>
      </w:r>
    </w:p>
    <w:p w14:paraId="0694C6BF" w14:textId="77777777" w:rsidR="00676DBE" w:rsidRPr="00273F68" w:rsidRDefault="00676DBE" w:rsidP="00676DBE">
      <w:pPr>
        <w:rPr>
          <w:lang w:val="fr-BE"/>
        </w:rPr>
      </w:pPr>
      <w:r w:rsidRPr="00273F68">
        <w:rPr>
          <w:lang w:val="fr-BE"/>
        </w:rPr>
        <w:t>Responsable de la f</w:t>
      </w:r>
      <w:r>
        <w:rPr>
          <w:lang w:val="fr-BE"/>
        </w:rPr>
        <w:t>o</w:t>
      </w:r>
      <w:r w:rsidRPr="00273F68">
        <w:rPr>
          <w:lang w:val="fr-BE"/>
        </w:rPr>
        <w:t>nction Compliance de [</w:t>
      </w:r>
      <w:r w:rsidRPr="00EB4D38">
        <w:rPr>
          <w:highlight w:val="green"/>
          <w:lang w:val="fr-BE"/>
        </w:rPr>
        <w:t>entreprise</w:t>
      </w:r>
      <w:r w:rsidRPr="00273F68">
        <w:rPr>
          <w:lang w:val="fr-BE"/>
        </w:rPr>
        <w:t>]</w:t>
      </w:r>
    </w:p>
    <w:p w14:paraId="0B408C43" w14:textId="77777777" w:rsidR="00676DBE" w:rsidRPr="00873A23" w:rsidRDefault="00676DBE" w:rsidP="007060FF">
      <w:pPr>
        <w:rPr>
          <w:lang w:val="fr-BE"/>
        </w:rPr>
      </w:pPr>
    </w:p>
    <w:p w14:paraId="4651A042" w14:textId="77777777" w:rsidR="00676DBE" w:rsidRPr="00873A23" w:rsidRDefault="00676DBE" w:rsidP="007060FF">
      <w:pPr>
        <w:rPr>
          <w:lang w:val="fr-BE"/>
        </w:rPr>
      </w:pPr>
    </w:p>
    <w:sectPr w:rsidR="00676DBE" w:rsidRPr="00873A23" w:rsidSect="00676DBE">
      <w:headerReference w:type="even" r:id="rId10"/>
      <w:headerReference w:type="default" r:id="rId11"/>
      <w:headerReference w:type="first" r:id="rId12"/>
      <w:pgSz w:w="16840" w:h="11907" w:orient="landscape" w:code="9"/>
      <w:pgMar w:top="1559" w:right="1134" w:bottom="155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C389E" w14:textId="77777777" w:rsidR="00676DBE" w:rsidRDefault="00676DBE">
      <w:r>
        <w:separator/>
      </w:r>
    </w:p>
  </w:endnote>
  <w:endnote w:type="continuationSeparator" w:id="0">
    <w:p w14:paraId="09D452D9" w14:textId="77777777" w:rsidR="00676DBE" w:rsidRDefault="0067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55172" w14:textId="77777777" w:rsidR="00676DBE" w:rsidRDefault="00676DBE">
      <w:r>
        <w:separator/>
      </w:r>
    </w:p>
  </w:footnote>
  <w:footnote w:type="continuationSeparator" w:id="0">
    <w:p w14:paraId="65DD61EF" w14:textId="77777777" w:rsidR="00676DBE" w:rsidRDefault="00676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A32AA" w14:textId="77777777" w:rsidR="00796132" w:rsidRDefault="00796132">
    <w:pPr>
      <w:pStyle w:val="Header"/>
      <w:tabs>
        <w:tab w:val="clear" w:pos="4394"/>
        <w:tab w:val="center" w:pos="4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F8598" w14:textId="5FEF9D63" w:rsidR="00796132" w:rsidRPr="00873A23" w:rsidRDefault="00873A23">
    <w:pPr>
      <w:pStyle w:val="Header"/>
      <w:tabs>
        <w:tab w:val="clear" w:pos="4394"/>
        <w:tab w:val="center" w:pos="4395"/>
      </w:tabs>
      <w:jc w:val="right"/>
      <w:rPr>
        <w:lang w:val="fr-BE"/>
      </w:rPr>
    </w:pPr>
    <w:r w:rsidRPr="00873A23">
      <w:rPr>
        <w:lang w:val="fr-BE"/>
      </w:rPr>
      <w:t>Merci d’envoyer ce document à</w:t>
    </w:r>
    <w:r>
      <w:rPr>
        <w:lang w:val="fr-BE"/>
      </w:rPr>
      <w:t xml:space="preserve"> </w:t>
    </w:r>
    <w:r w:rsidRPr="00873A23">
      <w:rPr>
        <w:lang w:val="fr-BE"/>
      </w:rPr>
      <w:t xml:space="preserve">: </w:t>
    </w:r>
    <w:hyperlink r:id="rId1" w:history="1">
      <w:r w:rsidRPr="00FA036B">
        <w:rPr>
          <w:rStyle w:val="Hyperlink"/>
          <w:lang w:val="fr-BE"/>
        </w:rPr>
        <w:t>insurance.supervision@nbb.be</w:t>
      </w:r>
    </w:hyperlink>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sidR="003B6994">
      <w:fldChar w:fldCharType="begin"/>
    </w:r>
    <w:r w:rsidR="003B6994" w:rsidRPr="00873A23">
      <w:rPr>
        <w:lang w:val="fr-BE"/>
      </w:rPr>
      <w:instrText>PAGE</w:instrText>
    </w:r>
    <w:r w:rsidR="003B6994">
      <w:fldChar w:fldCharType="separate"/>
    </w:r>
    <w:r w:rsidR="003B6994" w:rsidRPr="00873A23">
      <w:rPr>
        <w:noProof/>
        <w:lang w:val="fr-BE"/>
      </w:rPr>
      <w:t>1</w:t>
    </w:r>
    <w:r w:rsidR="003B6994">
      <w:rPr>
        <w:noProof/>
      </w:rPr>
      <w:fldChar w:fldCharType="end"/>
    </w:r>
    <w:r w:rsidR="00796132" w:rsidRPr="00873A23">
      <w:rPr>
        <w:lang w:val="fr-B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F42FC" w14:textId="77777777" w:rsidR="00796132" w:rsidRDefault="00796132">
    <w:pPr>
      <w:pStyle w:val="Header"/>
      <w:tabs>
        <w:tab w:val="clear" w:pos="4394"/>
        <w:tab w:val="center" w:pos="43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38845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C0E6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B8E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84B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62A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8E5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983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7C1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834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6E8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12E51"/>
    <w:multiLevelType w:val="multilevel"/>
    <w:tmpl w:val="68EEF95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5DF4020"/>
    <w:multiLevelType w:val="hybridMultilevel"/>
    <w:tmpl w:val="793697CE"/>
    <w:lvl w:ilvl="0" w:tplc="AF7A604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676168F"/>
    <w:multiLevelType w:val="hybridMultilevel"/>
    <w:tmpl w:val="96EE93D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BAD2A82"/>
    <w:multiLevelType w:val="multilevel"/>
    <w:tmpl w:val="112C06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6DBE"/>
    <w:rsid w:val="00002AB1"/>
    <w:rsid w:val="00005848"/>
    <w:rsid w:val="0001064F"/>
    <w:rsid w:val="00016588"/>
    <w:rsid w:val="0002547B"/>
    <w:rsid w:val="00082B62"/>
    <w:rsid w:val="00092F24"/>
    <w:rsid w:val="000A43B4"/>
    <w:rsid w:val="000C2D0A"/>
    <w:rsid w:val="001726FE"/>
    <w:rsid w:val="001767E5"/>
    <w:rsid w:val="00190BA2"/>
    <w:rsid w:val="00217B38"/>
    <w:rsid w:val="0022049F"/>
    <w:rsid w:val="00243709"/>
    <w:rsid w:val="00247B44"/>
    <w:rsid w:val="002968E4"/>
    <w:rsid w:val="002D19CB"/>
    <w:rsid w:val="002F65B9"/>
    <w:rsid w:val="00310D8D"/>
    <w:rsid w:val="00352DC7"/>
    <w:rsid w:val="003B6994"/>
    <w:rsid w:val="003C268F"/>
    <w:rsid w:val="00477796"/>
    <w:rsid w:val="00577B66"/>
    <w:rsid w:val="005B6567"/>
    <w:rsid w:val="005C7148"/>
    <w:rsid w:val="006356E0"/>
    <w:rsid w:val="00637909"/>
    <w:rsid w:val="00661343"/>
    <w:rsid w:val="00662196"/>
    <w:rsid w:val="00665FF1"/>
    <w:rsid w:val="006720E3"/>
    <w:rsid w:val="00676DBE"/>
    <w:rsid w:val="00683E12"/>
    <w:rsid w:val="0068491F"/>
    <w:rsid w:val="00692D3A"/>
    <w:rsid w:val="006A50FA"/>
    <w:rsid w:val="006E020F"/>
    <w:rsid w:val="007060FF"/>
    <w:rsid w:val="0071233C"/>
    <w:rsid w:val="007360DD"/>
    <w:rsid w:val="00772B0D"/>
    <w:rsid w:val="00782E97"/>
    <w:rsid w:val="00796132"/>
    <w:rsid w:val="007B7057"/>
    <w:rsid w:val="007F0CC7"/>
    <w:rsid w:val="0083501D"/>
    <w:rsid w:val="00840F95"/>
    <w:rsid w:val="008448B4"/>
    <w:rsid w:val="008533D0"/>
    <w:rsid w:val="00871F80"/>
    <w:rsid w:val="00873A23"/>
    <w:rsid w:val="00876A19"/>
    <w:rsid w:val="00892821"/>
    <w:rsid w:val="008A6313"/>
    <w:rsid w:val="008C53AF"/>
    <w:rsid w:val="0090787B"/>
    <w:rsid w:val="00913394"/>
    <w:rsid w:val="00960F42"/>
    <w:rsid w:val="0096502C"/>
    <w:rsid w:val="00993CCE"/>
    <w:rsid w:val="009F23EB"/>
    <w:rsid w:val="00A126F9"/>
    <w:rsid w:val="00A80218"/>
    <w:rsid w:val="00A86AC8"/>
    <w:rsid w:val="00AA3C24"/>
    <w:rsid w:val="00AC79A6"/>
    <w:rsid w:val="00B37AA8"/>
    <w:rsid w:val="00B40075"/>
    <w:rsid w:val="00BC6750"/>
    <w:rsid w:val="00BE791D"/>
    <w:rsid w:val="00C377BC"/>
    <w:rsid w:val="00C769A5"/>
    <w:rsid w:val="00CA177B"/>
    <w:rsid w:val="00CA5A74"/>
    <w:rsid w:val="00CB4B76"/>
    <w:rsid w:val="00CD268E"/>
    <w:rsid w:val="00D84645"/>
    <w:rsid w:val="00DE2E9A"/>
    <w:rsid w:val="00E02090"/>
    <w:rsid w:val="00EA01EB"/>
    <w:rsid w:val="00EA6773"/>
    <w:rsid w:val="00ED1B50"/>
    <w:rsid w:val="00F27D53"/>
    <w:rsid w:val="00F7258B"/>
    <w:rsid w:val="00FA5EF5"/>
    <w:rsid w:val="00FF5A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39729"/>
  <w15:chartTrackingRefBased/>
  <w15:docId w15:val="{E0EC955D-2D23-4413-B672-4661FE09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DBE"/>
    <w:pPr>
      <w:spacing w:line="260" w:lineRule="atLeast"/>
      <w:jc w:val="both"/>
    </w:pPr>
    <w:rPr>
      <w:rFonts w:ascii="Arial" w:hAnsi="Arial"/>
      <w:lang w:val="en-GB" w:eastAsia="en-US"/>
    </w:rPr>
  </w:style>
  <w:style w:type="paragraph" w:styleId="Heading1">
    <w:name w:val="heading 1"/>
    <w:basedOn w:val="Normal"/>
    <w:next w:val="Normal"/>
    <w:qFormat/>
    <w:rsid w:val="00CA177B"/>
    <w:pPr>
      <w:keepNext/>
      <w:keepLines/>
      <w:spacing w:before="240" w:after="240"/>
      <w:outlineLvl w:val="0"/>
    </w:pPr>
    <w:rPr>
      <w:b/>
      <w:caps/>
      <w:u w:val="single"/>
    </w:rPr>
  </w:style>
  <w:style w:type="paragraph" w:styleId="Heading2">
    <w:name w:val="heading 2"/>
    <w:basedOn w:val="Normal"/>
    <w:next w:val="Normal"/>
    <w:qFormat/>
    <w:rsid w:val="00CA177B"/>
    <w:pPr>
      <w:keepNext/>
      <w:keepLines/>
      <w:spacing w:before="120" w:after="120"/>
      <w:outlineLvl w:val="1"/>
    </w:pPr>
    <w:rPr>
      <w:caps/>
      <w:u w:val="single"/>
    </w:rPr>
  </w:style>
  <w:style w:type="paragraph" w:styleId="Heading3">
    <w:name w:val="heading 3"/>
    <w:basedOn w:val="Normal"/>
    <w:next w:val="Normal"/>
    <w:qFormat/>
    <w:rsid w:val="00CA177B"/>
    <w:pPr>
      <w:keepNext/>
      <w:keepLines/>
      <w:outlineLvl w:val="2"/>
    </w:pPr>
    <w:rPr>
      <w:caps/>
    </w:rPr>
  </w:style>
  <w:style w:type="paragraph" w:styleId="Heading4">
    <w:name w:val="heading 4"/>
    <w:basedOn w:val="Normal"/>
    <w:next w:val="Normal"/>
    <w:qFormat/>
    <w:rsid w:val="00CA177B"/>
    <w:pPr>
      <w:keepNext/>
      <w:keepLines/>
      <w:outlineLvl w:val="3"/>
    </w:pPr>
    <w:rPr>
      <w:u w:val="single"/>
    </w:rPr>
  </w:style>
  <w:style w:type="paragraph" w:styleId="Heading5">
    <w:name w:val="heading 5"/>
    <w:basedOn w:val="Normal"/>
    <w:next w:val="Normal"/>
    <w:qFormat/>
    <w:rsid w:val="00CA177B"/>
    <w:pPr>
      <w:keepNext/>
      <w:keepLines/>
      <w:outlineLvl w:val="4"/>
    </w:pPr>
  </w:style>
  <w:style w:type="paragraph" w:styleId="Heading6">
    <w:name w:val="heading 6"/>
    <w:basedOn w:val="Normal"/>
    <w:next w:val="Normal"/>
    <w:qFormat/>
    <w:rsid w:val="00CA177B"/>
    <w:pPr>
      <w:keepNext/>
      <w:keepLines/>
      <w:outlineLvl w:val="5"/>
    </w:pPr>
  </w:style>
  <w:style w:type="paragraph" w:styleId="Heading7">
    <w:name w:val="heading 7"/>
    <w:basedOn w:val="Normal"/>
    <w:next w:val="Normal"/>
    <w:qFormat/>
    <w:rsid w:val="00CA177B"/>
    <w:pPr>
      <w:keepNext/>
      <w:keepLines/>
      <w:outlineLvl w:val="6"/>
    </w:pPr>
  </w:style>
  <w:style w:type="paragraph" w:styleId="Heading8">
    <w:name w:val="heading 8"/>
    <w:basedOn w:val="Normal"/>
    <w:next w:val="Normal"/>
    <w:qFormat/>
    <w:rsid w:val="00CA177B"/>
    <w:pPr>
      <w:keepNext/>
      <w:keepLines/>
      <w:outlineLvl w:val="7"/>
    </w:pPr>
  </w:style>
  <w:style w:type="paragraph" w:styleId="Heading9">
    <w:name w:val="heading 9"/>
    <w:basedOn w:val="Normal"/>
    <w:next w:val="Normal"/>
    <w:qFormat/>
    <w:rsid w:val="00CA177B"/>
    <w:pPr>
      <w:keepNext/>
      <w:keep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CA177B"/>
    <w:pPr>
      <w:keepLines/>
      <w:tabs>
        <w:tab w:val="right" w:leader="dot" w:pos="8789"/>
      </w:tabs>
      <w:ind w:left="879" w:right="567" w:hanging="879"/>
      <w:jc w:val="left"/>
    </w:pPr>
  </w:style>
  <w:style w:type="paragraph" w:styleId="TOC4">
    <w:name w:val="toc 4"/>
    <w:basedOn w:val="Normal"/>
    <w:next w:val="Normal"/>
    <w:semiHidden/>
    <w:rsid w:val="00CA177B"/>
    <w:pPr>
      <w:keepLines/>
      <w:tabs>
        <w:tab w:val="right" w:leader="dot" w:pos="8789"/>
      </w:tabs>
      <w:ind w:left="714" w:right="567" w:hanging="714"/>
      <w:jc w:val="left"/>
    </w:pPr>
  </w:style>
  <w:style w:type="paragraph" w:styleId="TOC3">
    <w:name w:val="toc 3"/>
    <w:basedOn w:val="Normal"/>
    <w:next w:val="Normal"/>
    <w:semiHidden/>
    <w:rsid w:val="00CA177B"/>
    <w:pPr>
      <w:keepLines/>
      <w:tabs>
        <w:tab w:val="right" w:leader="dot" w:pos="8789"/>
      </w:tabs>
      <w:ind w:left="556" w:right="567" w:hanging="556"/>
      <w:jc w:val="left"/>
    </w:pPr>
  </w:style>
  <w:style w:type="paragraph" w:styleId="TOC2">
    <w:name w:val="toc 2"/>
    <w:basedOn w:val="Normal"/>
    <w:next w:val="Normal"/>
    <w:semiHidden/>
    <w:rsid w:val="00CA177B"/>
    <w:pPr>
      <w:keepLines/>
      <w:tabs>
        <w:tab w:val="right" w:leader="dot" w:pos="8789"/>
      </w:tabs>
      <w:ind w:left="397" w:right="567" w:hanging="397"/>
      <w:jc w:val="left"/>
    </w:pPr>
  </w:style>
  <w:style w:type="paragraph" w:styleId="TOC1">
    <w:name w:val="toc 1"/>
    <w:basedOn w:val="Normal"/>
    <w:next w:val="Normal"/>
    <w:semiHidden/>
    <w:rsid w:val="00CA177B"/>
    <w:pPr>
      <w:keepLines/>
      <w:tabs>
        <w:tab w:val="right" w:leader="dot" w:pos="8789"/>
      </w:tabs>
      <w:ind w:left="227" w:right="567" w:hanging="227"/>
      <w:jc w:val="left"/>
    </w:pPr>
  </w:style>
  <w:style w:type="paragraph" w:styleId="Footer">
    <w:name w:val="footer"/>
    <w:basedOn w:val="Normal"/>
    <w:rsid w:val="00CA177B"/>
    <w:pPr>
      <w:tabs>
        <w:tab w:val="center" w:pos="4395"/>
        <w:tab w:val="right" w:pos="8789"/>
      </w:tabs>
      <w:spacing w:line="240" w:lineRule="auto"/>
    </w:pPr>
    <w:rPr>
      <w:sz w:val="18"/>
    </w:rPr>
  </w:style>
  <w:style w:type="paragraph" w:styleId="Header">
    <w:name w:val="header"/>
    <w:basedOn w:val="Normal"/>
    <w:rsid w:val="00CA177B"/>
    <w:pPr>
      <w:tabs>
        <w:tab w:val="center" w:pos="4394"/>
        <w:tab w:val="right" w:pos="8789"/>
      </w:tabs>
      <w:spacing w:line="240" w:lineRule="auto"/>
    </w:pPr>
  </w:style>
  <w:style w:type="character" w:styleId="FootnoteReference">
    <w:name w:val="footnote reference"/>
    <w:basedOn w:val="DefaultParagraphFont"/>
    <w:semiHidden/>
    <w:rsid w:val="00CA177B"/>
    <w:rPr>
      <w:position w:val="6"/>
      <w:sz w:val="16"/>
    </w:rPr>
  </w:style>
  <w:style w:type="paragraph" w:styleId="FootnoteText">
    <w:name w:val="footnote text"/>
    <w:basedOn w:val="Normal"/>
    <w:semiHidden/>
    <w:rsid w:val="00CA177B"/>
    <w:pPr>
      <w:spacing w:line="240" w:lineRule="atLeast"/>
    </w:pPr>
    <w:rPr>
      <w:sz w:val="18"/>
    </w:rPr>
  </w:style>
  <w:style w:type="paragraph" w:styleId="NormalIndent">
    <w:name w:val="Normal Indent"/>
    <w:basedOn w:val="Normal"/>
    <w:rsid w:val="00CA177B"/>
    <w:pPr>
      <w:tabs>
        <w:tab w:val="left" w:pos="567"/>
      </w:tabs>
      <w:ind w:left="284"/>
    </w:pPr>
  </w:style>
  <w:style w:type="paragraph" w:customStyle="1" w:styleId="auteurs">
    <w:name w:val="auteurs"/>
    <w:basedOn w:val="Normal"/>
    <w:rsid w:val="00CA177B"/>
    <w:pPr>
      <w:tabs>
        <w:tab w:val="center" w:pos="1985"/>
        <w:tab w:val="center" w:pos="6521"/>
      </w:tabs>
      <w:jc w:val="left"/>
    </w:pPr>
  </w:style>
  <w:style w:type="paragraph" w:styleId="MacroText">
    <w:name w:val="macro"/>
    <w:semiHidden/>
    <w:rsid w:val="00CA177B"/>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semiHidden/>
    <w:rsid w:val="00CA177B"/>
    <w:pPr>
      <w:keepLines/>
      <w:tabs>
        <w:tab w:val="right" w:leader="dot" w:pos="8789"/>
      </w:tabs>
      <w:ind w:left="1049" w:right="567" w:hanging="1049"/>
      <w:jc w:val="left"/>
    </w:pPr>
  </w:style>
  <w:style w:type="paragraph" w:styleId="TOC7">
    <w:name w:val="toc 7"/>
    <w:basedOn w:val="Normal"/>
    <w:next w:val="Normal"/>
    <w:semiHidden/>
    <w:rsid w:val="00CA177B"/>
    <w:pPr>
      <w:keepLines/>
      <w:tabs>
        <w:tab w:val="right" w:leader="dot" w:pos="8789"/>
      </w:tabs>
      <w:ind w:left="1219" w:right="567" w:hanging="1219"/>
      <w:jc w:val="left"/>
    </w:pPr>
  </w:style>
  <w:style w:type="paragraph" w:styleId="TOC8">
    <w:name w:val="toc 8"/>
    <w:basedOn w:val="Normal"/>
    <w:next w:val="Normal"/>
    <w:semiHidden/>
    <w:rsid w:val="00CA177B"/>
    <w:pPr>
      <w:keepLines/>
      <w:tabs>
        <w:tab w:val="right" w:leader="dot" w:pos="8789"/>
      </w:tabs>
      <w:ind w:left="1378" w:right="567" w:hanging="1378"/>
      <w:jc w:val="left"/>
    </w:pPr>
  </w:style>
  <w:style w:type="paragraph" w:styleId="TOC9">
    <w:name w:val="toc 9"/>
    <w:basedOn w:val="Normal"/>
    <w:next w:val="Normal"/>
    <w:semiHidden/>
    <w:rsid w:val="00CA177B"/>
    <w:pPr>
      <w:keepLines/>
      <w:tabs>
        <w:tab w:val="right" w:leader="dot" w:pos="8789"/>
      </w:tabs>
      <w:ind w:left="1548" w:right="567" w:hanging="1548"/>
      <w:jc w:val="left"/>
    </w:pPr>
  </w:style>
  <w:style w:type="paragraph" w:styleId="DocumentMap">
    <w:name w:val="Document Map"/>
    <w:basedOn w:val="Normal"/>
    <w:semiHidden/>
    <w:rsid w:val="00CA177B"/>
    <w:pPr>
      <w:shd w:val="clear" w:color="auto" w:fill="000080"/>
    </w:pPr>
    <w:rPr>
      <w:rFonts w:ascii="Tahoma" w:hAnsi="Tahoma"/>
    </w:rPr>
  </w:style>
  <w:style w:type="paragraph" w:styleId="ListParagraph">
    <w:name w:val="List Paragraph"/>
    <w:basedOn w:val="Normal"/>
    <w:link w:val="ListParagraphChar"/>
    <w:uiPriority w:val="34"/>
    <w:qFormat/>
    <w:rsid w:val="00676DBE"/>
    <w:pPr>
      <w:ind w:left="720"/>
      <w:contextualSpacing/>
    </w:pPr>
  </w:style>
  <w:style w:type="paragraph" w:styleId="NormalWeb">
    <w:name w:val="Normal (Web)"/>
    <w:basedOn w:val="Normal"/>
    <w:uiPriority w:val="99"/>
    <w:unhideWhenUsed/>
    <w:rsid w:val="00676DBE"/>
    <w:pPr>
      <w:spacing w:before="100" w:beforeAutospacing="1" w:after="100" w:afterAutospacing="1" w:line="240" w:lineRule="auto"/>
      <w:jc w:val="left"/>
    </w:pPr>
    <w:rPr>
      <w:rFonts w:ascii="Times New Roman" w:hAnsi="Times New Roman"/>
      <w:sz w:val="24"/>
      <w:szCs w:val="24"/>
      <w:lang w:val="fr-BE" w:eastAsia="fr-BE"/>
    </w:rPr>
  </w:style>
  <w:style w:type="paragraph" w:customStyle="1" w:styleId="Default">
    <w:name w:val="Default"/>
    <w:rsid w:val="00676DBE"/>
    <w:pPr>
      <w:autoSpaceDE w:val="0"/>
      <w:autoSpaceDN w:val="0"/>
      <w:adjustRightInd w:val="0"/>
    </w:pPr>
    <w:rPr>
      <w:rFonts w:ascii="Verdana" w:hAnsi="Verdana" w:cs="Verdana"/>
      <w:color w:val="000000"/>
      <w:sz w:val="24"/>
      <w:szCs w:val="24"/>
      <w:lang w:val="en-US"/>
    </w:rPr>
  </w:style>
  <w:style w:type="character" w:customStyle="1" w:styleId="ListParagraphChar">
    <w:name w:val="List Paragraph Char"/>
    <w:link w:val="ListParagraph"/>
    <w:uiPriority w:val="34"/>
    <w:locked/>
    <w:rsid w:val="00676DBE"/>
    <w:rPr>
      <w:rFonts w:ascii="Arial" w:hAnsi="Arial"/>
      <w:lang w:val="en-GB" w:eastAsia="en-US"/>
    </w:rPr>
  </w:style>
  <w:style w:type="table" w:customStyle="1" w:styleId="TableGrid2">
    <w:name w:val="Table Grid2"/>
    <w:basedOn w:val="TableNormal"/>
    <w:next w:val="TableGrid"/>
    <w:rsid w:val="00676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76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73A23"/>
    <w:rPr>
      <w:color w:val="0000FF" w:themeColor="hyperlink"/>
      <w:u w:val="single"/>
    </w:rPr>
  </w:style>
  <w:style w:type="character" w:styleId="UnresolvedMention">
    <w:name w:val="Unresolved Mention"/>
    <w:basedOn w:val="DefaultParagraphFont"/>
    <w:uiPriority w:val="99"/>
    <w:semiHidden/>
    <w:unhideWhenUsed/>
    <w:rsid w:val="00873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insurance.supervision@nbb.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AF3A5484B6FF448ACCCA69E8472B16" ma:contentTypeVersion="4" ma:contentTypeDescription="Create a new document." ma:contentTypeScope="" ma:versionID="ad456aad5134b0d3923add5b8672737a">
  <xsd:schema xmlns:xsd="http://www.w3.org/2001/XMLSchema" xmlns:xs="http://www.w3.org/2001/XMLSchema" xmlns:p="http://schemas.microsoft.com/office/2006/metadata/properties" xmlns:ns3="9d8deac5-fb3e-42b5-850d-8cad8f8fcad4" targetNamespace="http://schemas.microsoft.com/office/2006/metadata/properties" ma:root="true" ma:fieldsID="257cfc3988ec7cd48dc4a0674d913462" ns3:_="">
    <xsd:import namespace="9d8deac5-fb3e-42b5-850d-8cad8f8fca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deac5-fb3e-42b5-850d-8cad8f8fc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F8EF7-9AB8-4C5A-BA64-EA5495AE97B2}">
  <ds:schemaRefs>
    <ds:schemaRef ds:uri="http://schemas.microsoft.com/office/infopath/2007/PartnerControl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9d8deac5-fb3e-42b5-850d-8cad8f8fcad4"/>
    <ds:schemaRef ds:uri="http://www.w3.org/XML/1998/namespace"/>
  </ds:schemaRefs>
</ds:datastoreItem>
</file>

<file path=customXml/itemProps2.xml><?xml version="1.0" encoding="utf-8"?>
<ds:datastoreItem xmlns:ds="http://schemas.openxmlformats.org/officeDocument/2006/customXml" ds:itemID="{889FC2CA-458D-4FD8-AAE8-698EB5041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deac5-fb3e-42b5-850d-8cad8f8fc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FFA113-1556-4277-B20F-64ACD46067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1758</Words>
  <Characters>9673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Strypstein Nicolas</dc:creator>
  <cp:keywords/>
  <dc:description/>
  <cp:lastModifiedBy>Cornille Jonathan</cp:lastModifiedBy>
  <cp:revision>2</cp:revision>
  <cp:lastPrinted>1900-12-31T22:00:00Z</cp:lastPrinted>
  <dcterms:created xsi:type="dcterms:W3CDTF">2021-10-08T14:47:00Z</dcterms:created>
  <dcterms:modified xsi:type="dcterms:W3CDTF">2021-10-08T14:47:00Z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0x010100F5AF3A5484B6FF448ACCCA69E8472B16</vt:lpwstr>
  </property>
</Properties>
</file>