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815A99" w:rsidRPr="00562A44" w14:paraId="1BB7C441" w14:textId="77777777" w:rsidTr="004E6FD5">
        <w:trPr>
          <w:cantSplit/>
          <w:trHeight w:hRule="exact" w:val="1077"/>
        </w:trPr>
        <w:tc>
          <w:tcPr>
            <w:tcW w:w="6067" w:type="dxa"/>
            <w:vAlign w:val="center"/>
          </w:tcPr>
          <w:p w14:paraId="3BD4315D" w14:textId="77777777" w:rsidR="00815A99" w:rsidRPr="00FE24A6" w:rsidRDefault="00815A99" w:rsidP="007B7965">
            <w:pPr>
              <w:pStyle w:val="AdresseAdres"/>
              <w:spacing w:before="300"/>
            </w:pPr>
            <w:r w:rsidRPr="00FE24A6">
              <w:t>boulevard de Berlaimont 14 – 1000 Bruxelles</w:t>
            </w:r>
          </w:p>
          <w:p w14:paraId="567695B9" w14:textId="7732AFE6" w:rsidR="00815A99" w:rsidRPr="00FE24A6" w:rsidRDefault="00815A99" w:rsidP="00F07FD0">
            <w:pPr>
              <w:pStyle w:val="AdresseAdres"/>
            </w:pPr>
            <w:r>
              <w:t xml:space="preserve">tél. +32 2 221 </w:t>
            </w:r>
            <w:r w:rsidR="00855866">
              <w:t>38 12</w:t>
            </w:r>
          </w:p>
          <w:p w14:paraId="1E5ACB5A" w14:textId="77777777" w:rsidR="00815A99" w:rsidRPr="00FE24A6" w:rsidRDefault="00815A99" w:rsidP="00F07FD0">
            <w:pPr>
              <w:pStyle w:val="AdresseAdres"/>
            </w:pPr>
            <w:r w:rsidRPr="00FE24A6">
              <w:t>numéro d’entreprise: 0203.201.340</w:t>
            </w:r>
          </w:p>
          <w:p w14:paraId="1C37F9D0" w14:textId="77777777" w:rsidR="00815A99" w:rsidRPr="00FE24A6" w:rsidRDefault="00815A99" w:rsidP="00F07FD0">
            <w:pPr>
              <w:pStyle w:val="AdresseAdres"/>
            </w:pPr>
            <w:r w:rsidRPr="00FE24A6">
              <w:t>RPM Bruxelles</w:t>
            </w:r>
          </w:p>
          <w:p w14:paraId="2A776A4B" w14:textId="0A819745" w:rsidR="00815A99" w:rsidRPr="00562A44" w:rsidRDefault="00000000" w:rsidP="00815A99">
            <w:pPr>
              <w:pStyle w:val="AdresseAdres"/>
              <w:rPr>
                <w:lang w:val="fr-BE"/>
              </w:rPr>
            </w:pPr>
            <w:hyperlink r:id="rId11" w:history="1">
              <w:r w:rsidR="00BD5CDB" w:rsidRPr="00655281">
                <w:rPr>
                  <w:rStyle w:val="Hyperlink"/>
                </w:rPr>
                <w:t>www.bnb.be</w:t>
              </w:r>
            </w:hyperlink>
          </w:p>
        </w:tc>
        <w:tc>
          <w:tcPr>
            <w:tcW w:w="3856" w:type="dxa"/>
            <w:shd w:val="clear" w:color="auto" w:fill="auto"/>
            <w:vAlign w:val="center"/>
          </w:tcPr>
          <w:p w14:paraId="42358EE5" w14:textId="77777777" w:rsidR="00815A99" w:rsidRPr="00562A44" w:rsidRDefault="00815A99" w:rsidP="00682F2F">
            <w:pPr>
              <w:rPr>
                <w:sz w:val="16"/>
                <w:szCs w:val="16"/>
                <w:lang w:val="fr-BE"/>
              </w:rPr>
            </w:pPr>
            <w:r w:rsidRPr="00DD0AAC">
              <w:rPr>
                <w:noProof/>
                <w:sz w:val="16"/>
                <w:szCs w:val="16"/>
                <w:lang w:val="nl-BE" w:eastAsia="nl-BE"/>
              </w:rPr>
              <w:drawing>
                <wp:inline distT="0" distB="0" distL="0" distR="0" wp14:anchorId="21A8C889" wp14:editId="6321EF3B">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2"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815A99" w:rsidRPr="00562A44" w14:paraId="32074B2C" w14:textId="77777777" w:rsidTr="00A52B3E">
        <w:trPr>
          <w:cantSplit/>
          <w:trHeight w:hRule="exact" w:val="850"/>
        </w:trPr>
        <w:tc>
          <w:tcPr>
            <w:tcW w:w="6067" w:type="dxa"/>
            <w:shd w:val="clear" w:color="auto" w:fill="auto"/>
          </w:tcPr>
          <w:p w14:paraId="73F0BC04" w14:textId="77777777" w:rsidR="00815A99" w:rsidRPr="000A56E5" w:rsidRDefault="00815A99" w:rsidP="00682F2F">
            <w:pPr>
              <w:pStyle w:val="AdresseAdres"/>
              <w:tabs>
                <w:tab w:val="center" w:pos="4678"/>
                <w:tab w:val="right" w:pos="9356"/>
              </w:tabs>
              <w:spacing w:line="260" w:lineRule="atLeast"/>
              <w:rPr>
                <w:sz w:val="16"/>
              </w:rPr>
            </w:pPr>
          </w:p>
        </w:tc>
        <w:tc>
          <w:tcPr>
            <w:tcW w:w="3856" w:type="dxa"/>
            <w:shd w:val="clear" w:color="auto" w:fill="auto"/>
          </w:tcPr>
          <w:p w14:paraId="7569CD73" w14:textId="77777777" w:rsidR="00815A99" w:rsidRDefault="00815A99" w:rsidP="00A52B3E">
            <w:pPr>
              <w:pStyle w:val="TitreTitel"/>
              <w:keepLines/>
              <w:tabs>
                <w:tab w:val="left" w:pos="284"/>
                <w:tab w:val="right" w:leader="dot" w:pos="9639"/>
              </w:tabs>
              <w:spacing w:after="120"/>
              <w:ind w:left="397" w:right="567" w:hanging="397"/>
            </w:pPr>
          </w:p>
          <w:p w14:paraId="76FBB979" w14:textId="77777777" w:rsidR="00815A99" w:rsidRPr="00815A99" w:rsidRDefault="00815A99" w:rsidP="00A52B3E">
            <w:pPr>
              <w:pStyle w:val="TitreTitel"/>
              <w:keepLines/>
              <w:tabs>
                <w:tab w:val="left" w:pos="284"/>
                <w:tab w:val="right" w:leader="dot" w:pos="9639"/>
              </w:tabs>
              <w:spacing w:after="120"/>
              <w:ind w:left="397" w:right="567" w:hanging="397"/>
              <w:rPr>
                <w:sz w:val="20"/>
              </w:rPr>
            </w:pPr>
            <w:r>
              <w:rPr>
                <w:sz w:val="20"/>
              </w:rPr>
              <w:t>Public</w:t>
            </w:r>
          </w:p>
        </w:tc>
      </w:tr>
      <w:tr w:rsidR="00815A99" w:rsidRPr="00812A3E" w14:paraId="2DC940DA" w14:textId="77777777" w:rsidTr="004E6FD5">
        <w:trPr>
          <w:cantSplit/>
          <w:trHeight w:hRule="exact" w:val="794"/>
        </w:trPr>
        <w:tc>
          <w:tcPr>
            <w:tcW w:w="6067" w:type="dxa"/>
            <w:shd w:val="clear" w:color="auto" w:fill="auto"/>
          </w:tcPr>
          <w:p w14:paraId="5CDBA655" w14:textId="77777777" w:rsidR="00815A99" w:rsidRPr="00562A44" w:rsidRDefault="00815A99" w:rsidP="00C67902">
            <w:pPr>
              <w:pStyle w:val="AdresseAdres"/>
              <w:rPr>
                <w:lang w:val="fr-BE"/>
              </w:rPr>
            </w:pPr>
          </w:p>
        </w:tc>
        <w:tc>
          <w:tcPr>
            <w:tcW w:w="3856" w:type="dxa"/>
          </w:tcPr>
          <w:p w14:paraId="7188F26D" w14:textId="07B07852" w:rsidR="00815A99" w:rsidRPr="00562A44" w:rsidRDefault="00815A99" w:rsidP="00F07FD0">
            <w:pPr>
              <w:rPr>
                <w:lang w:val="fr-BE"/>
              </w:rPr>
            </w:pPr>
            <w:r w:rsidRPr="00562A44">
              <w:rPr>
                <w:lang w:val="fr-BE"/>
              </w:rPr>
              <w:t>Bru</w:t>
            </w:r>
            <w:r>
              <w:rPr>
                <w:lang w:val="fr-BE"/>
              </w:rPr>
              <w:t>x</w:t>
            </w:r>
            <w:r w:rsidRPr="00562A44">
              <w:rPr>
                <w:lang w:val="fr-BE"/>
              </w:rPr>
              <w:t>el</w:t>
            </w:r>
            <w:r>
              <w:rPr>
                <w:lang w:val="fr-BE"/>
              </w:rPr>
              <w:t>les</w:t>
            </w:r>
            <w:r w:rsidRPr="00562A44">
              <w:rPr>
                <w:lang w:val="fr-BE"/>
              </w:rPr>
              <w:t>,</w:t>
            </w:r>
            <w:r>
              <w:rPr>
                <w:lang w:val="fr-BE"/>
              </w:rPr>
              <w:t xml:space="preserve"> le</w:t>
            </w:r>
            <w:r w:rsidRPr="00562A44">
              <w:rPr>
                <w:lang w:val="fr-BE"/>
              </w:rPr>
              <w:t xml:space="preserve"> </w:t>
            </w:r>
            <w:r w:rsidR="00C555D7">
              <w:rPr>
                <w:lang w:val="fr-BE"/>
              </w:rPr>
              <w:t>27 juin</w:t>
            </w:r>
            <w:r w:rsidR="00855866">
              <w:rPr>
                <w:lang w:val="fr-BE"/>
              </w:rPr>
              <w:t xml:space="preserve"> </w:t>
            </w:r>
            <w:r>
              <w:rPr>
                <w:lang w:val="fr-BE"/>
              </w:rPr>
              <w:t>2023</w:t>
            </w:r>
          </w:p>
        </w:tc>
      </w:tr>
      <w:tr w:rsidR="00815A99" w:rsidRPr="00E34649" w14:paraId="7FC1A82B" w14:textId="77777777" w:rsidTr="00F07FD0">
        <w:trPr>
          <w:cantSplit/>
          <w:trHeight w:hRule="exact" w:val="340"/>
        </w:trPr>
        <w:tc>
          <w:tcPr>
            <w:tcW w:w="9923" w:type="dxa"/>
            <w:gridSpan w:val="2"/>
            <w:shd w:val="clear" w:color="auto" w:fill="auto"/>
            <w:vAlign w:val="center"/>
          </w:tcPr>
          <w:p w14:paraId="1CC9AB69" w14:textId="7CCDF0F9" w:rsidR="00815A99" w:rsidRPr="00562A44" w:rsidRDefault="00815A99" w:rsidP="00F07FD0">
            <w:pPr>
              <w:pStyle w:val="AnnexeBijlage"/>
            </w:pPr>
            <w:r>
              <w:t>Annexe 3 à la circulaire NBB_2023</w:t>
            </w:r>
            <w:r w:rsidR="00855866">
              <w:t>_</w:t>
            </w:r>
            <w:r w:rsidR="00C555D7">
              <w:t>07</w:t>
            </w:r>
          </w:p>
        </w:tc>
      </w:tr>
      <w:tr w:rsidR="00815A99" w:rsidRPr="00E34649" w14:paraId="7284F781" w14:textId="77777777" w:rsidTr="00F07FD0">
        <w:trPr>
          <w:cantSplit/>
          <w:trHeight w:hRule="exact" w:val="1304"/>
        </w:trPr>
        <w:tc>
          <w:tcPr>
            <w:tcW w:w="9923" w:type="dxa"/>
            <w:gridSpan w:val="2"/>
            <w:tcMar>
              <w:top w:w="240" w:type="dxa"/>
            </w:tcMar>
            <w:vAlign w:val="bottom"/>
          </w:tcPr>
          <w:p w14:paraId="435D6F55" w14:textId="4F5604E6" w:rsidR="00815A99" w:rsidRPr="005B17DE" w:rsidRDefault="005B17DE" w:rsidP="00F07FD0">
            <w:pPr>
              <w:pStyle w:val="SujetOnderwerp"/>
              <w:rPr>
                <w:lang w:val="fr-BE"/>
              </w:rPr>
            </w:pPr>
            <w:r w:rsidRPr="005B17DE">
              <w:t>Commentaire des tableaux de rapport 90.30.a, 90.30.b et 90.30.c</w:t>
            </w:r>
          </w:p>
        </w:tc>
      </w:tr>
      <w:tr w:rsidR="00815A99" w:rsidRPr="00E34649" w14:paraId="1BA10261" w14:textId="77777777" w:rsidTr="00682F2F">
        <w:trPr>
          <w:cantSplit/>
          <w:trHeight w:hRule="exact" w:val="397"/>
        </w:trPr>
        <w:tc>
          <w:tcPr>
            <w:tcW w:w="9923" w:type="dxa"/>
            <w:gridSpan w:val="2"/>
          </w:tcPr>
          <w:p w14:paraId="7217F1B8" w14:textId="77777777" w:rsidR="00815A99" w:rsidRPr="00562A44" w:rsidRDefault="00815A99" w:rsidP="00682F2F">
            <w:pPr>
              <w:rPr>
                <w:lang w:val="fr-BE"/>
              </w:rPr>
            </w:pPr>
          </w:p>
        </w:tc>
      </w:tr>
    </w:tbl>
    <w:p w14:paraId="051FF6B4" w14:textId="77777777" w:rsidR="0015124C" w:rsidRDefault="0015124C" w:rsidP="0015124C">
      <w:pPr>
        <w:widowControl w:val="0"/>
        <w:autoSpaceDE w:val="0"/>
        <w:autoSpaceDN w:val="0"/>
        <w:spacing w:line="260" w:lineRule="auto"/>
        <w:ind w:left="360"/>
        <w:rPr>
          <w:rFonts w:ascii="Arial MT" w:eastAsia="Arial MT" w:hAnsi="Arial MT" w:cs="Arial MT"/>
          <w:b/>
          <w:bCs/>
          <w:sz w:val="22"/>
          <w:szCs w:val="22"/>
          <w:lang w:val="fr-BE"/>
        </w:rPr>
      </w:pPr>
    </w:p>
    <w:p w14:paraId="3E75821B" w14:textId="77777777" w:rsidR="00046F25" w:rsidRDefault="00046F25" w:rsidP="00046F25">
      <w:pPr>
        <w:widowControl w:val="0"/>
        <w:autoSpaceDE w:val="0"/>
        <w:autoSpaceDN w:val="0"/>
        <w:spacing w:line="260" w:lineRule="auto"/>
        <w:ind w:left="360"/>
        <w:rPr>
          <w:rFonts w:ascii="Arial MT" w:eastAsia="Arial MT" w:hAnsi="Arial MT" w:cs="Arial MT"/>
          <w:b/>
          <w:bCs/>
          <w:sz w:val="22"/>
          <w:szCs w:val="22"/>
          <w:lang w:val="fr-BE"/>
        </w:rPr>
      </w:pPr>
    </w:p>
    <w:p w14:paraId="65A1D1BD" w14:textId="3F9E7EDC" w:rsidR="00A10895" w:rsidRPr="0052784F" w:rsidRDefault="0015124C" w:rsidP="00A10895">
      <w:pPr>
        <w:widowControl w:val="0"/>
        <w:numPr>
          <w:ilvl w:val="0"/>
          <w:numId w:val="45"/>
        </w:numPr>
        <w:autoSpaceDE w:val="0"/>
        <w:autoSpaceDN w:val="0"/>
        <w:spacing w:line="260" w:lineRule="auto"/>
        <w:rPr>
          <w:rFonts w:ascii="Arial MT" w:eastAsia="Arial MT" w:hAnsi="Arial MT" w:cs="Arial MT"/>
          <w:b/>
          <w:bCs/>
          <w:lang w:val="fr-BE"/>
        </w:rPr>
      </w:pPr>
      <w:r w:rsidRPr="0052784F">
        <w:rPr>
          <w:rFonts w:ascii="Arial MT" w:eastAsia="Arial MT" w:hAnsi="Arial MT" w:cs="Arial MT"/>
          <w:b/>
          <w:bCs/>
          <w:lang w:val="fr-BE"/>
        </w:rPr>
        <w:t>Dispositions générales</w:t>
      </w:r>
    </w:p>
    <w:p w14:paraId="79460698" w14:textId="22C1A0B7" w:rsidR="00147746" w:rsidRPr="002C7492" w:rsidRDefault="00147746" w:rsidP="002C7492">
      <w:pPr>
        <w:numPr>
          <w:ilvl w:val="1"/>
          <w:numId w:val="45"/>
        </w:numPr>
        <w:spacing w:before="120" w:line="260" w:lineRule="auto"/>
        <w:ind w:left="851" w:right="649" w:hanging="567"/>
        <w:jc w:val="both"/>
        <w:rPr>
          <w:rFonts w:ascii="Arial MT" w:eastAsia="Arial MT" w:hAnsi="Arial MT" w:cs="Arial MT"/>
          <w:lang w:val="fr-BE"/>
        </w:rPr>
      </w:pPr>
      <w:r w:rsidRPr="002C7492">
        <w:rPr>
          <w:rFonts w:ascii="Arial MT" w:eastAsia="Arial MT" w:hAnsi="Arial MT" w:cs="Arial MT"/>
          <w:lang w:val="fr-BE"/>
        </w:rPr>
        <w:t xml:space="preserve">Les tableaux de rapport 90.30.a, 90.30.b et 90.30.c se rapportent à la circulaire </w:t>
      </w:r>
      <w:r w:rsidR="00266557">
        <w:rPr>
          <w:rFonts w:ascii="Arial MT" w:eastAsia="Arial MT" w:hAnsi="Arial MT" w:cs="Arial MT"/>
          <w:lang w:val="fr-BE"/>
        </w:rPr>
        <w:t>NBB_2023_07</w:t>
      </w:r>
      <w:r w:rsidRPr="002C7492">
        <w:rPr>
          <w:rFonts w:ascii="Arial MT" w:eastAsia="Arial MT" w:hAnsi="Arial MT" w:cs="Arial MT"/>
          <w:lang w:val="fr-BE"/>
        </w:rPr>
        <w:t xml:space="preserve"> relative au saines pratiques de gestion du risque de taux d'intérêt et du risque d’écart de crédit inhérents au portefeuille bancaire. Les exigences relatives au reporting prudentiel périodique énoncés dans cette circulaire sont d’application.</w:t>
      </w:r>
    </w:p>
    <w:p w14:paraId="2976D459" w14:textId="77777777" w:rsidR="00147746" w:rsidRDefault="00147746" w:rsidP="002C7492">
      <w:pPr>
        <w:numPr>
          <w:ilvl w:val="1"/>
          <w:numId w:val="45"/>
        </w:numPr>
        <w:spacing w:before="120" w:line="260" w:lineRule="auto"/>
        <w:ind w:left="851" w:right="649" w:hanging="567"/>
        <w:jc w:val="both"/>
        <w:rPr>
          <w:rFonts w:ascii="Arial MT" w:eastAsia="Arial MT" w:hAnsi="Arial MT" w:cs="Arial MT"/>
          <w:lang w:val="fr-BE"/>
        </w:rPr>
      </w:pPr>
      <w:r w:rsidRPr="002C7492">
        <w:rPr>
          <w:rFonts w:ascii="Arial MT" w:eastAsia="Arial MT" w:hAnsi="Arial MT" w:cs="Arial MT"/>
          <w:lang w:val="fr-BE"/>
        </w:rPr>
        <w:t>Les tableaux sont établis par les établissements considérés comme moins importants par le MSU.</w:t>
      </w:r>
    </w:p>
    <w:p w14:paraId="4BBB7043" w14:textId="77777777" w:rsidR="00046F25" w:rsidRPr="002C7492" w:rsidRDefault="00046F25" w:rsidP="008E76BE">
      <w:pPr>
        <w:spacing w:before="120" w:line="260" w:lineRule="auto"/>
        <w:ind w:left="851" w:right="649"/>
        <w:jc w:val="both"/>
        <w:rPr>
          <w:rFonts w:ascii="Arial MT" w:eastAsia="Arial MT" w:hAnsi="Arial MT" w:cs="Arial MT"/>
          <w:lang w:val="fr-BE"/>
        </w:rPr>
      </w:pPr>
    </w:p>
    <w:p w14:paraId="0D96F9AE" w14:textId="77777777" w:rsidR="00147746" w:rsidRPr="0052784F" w:rsidRDefault="00147746" w:rsidP="008E76BE">
      <w:pPr>
        <w:widowControl w:val="0"/>
        <w:numPr>
          <w:ilvl w:val="0"/>
          <w:numId w:val="45"/>
        </w:numPr>
        <w:autoSpaceDE w:val="0"/>
        <w:autoSpaceDN w:val="0"/>
        <w:spacing w:line="260" w:lineRule="auto"/>
        <w:rPr>
          <w:rFonts w:ascii="Arial MT" w:eastAsia="Arial MT" w:hAnsi="Arial MT" w:cs="Arial MT"/>
          <w:b/>
          <w:bCs/>
          <w:lang w:val="fr-BE"/>
        </w:rPr>
      </w:pPr>
      <w:r w:rsidRPr="0052784F">
        <w:rPr>
          <w:rFonts w:ascii="Arial MT" w:eastAsia="Arial MT" w:hAnsi="Arial MT" w:cs="Arial MT"/>
          <w:b/>
          <w:bCs/>
          <w:lang w:val="fr-BE"/>
        </w:rPr>
        <w:t>Dispositions particulières</w:t>
      </w:r>
    </w:p>
    <w:p w14:paraId="20F16CC5" w14:textId="3DC8985F" w:rsidR="00147746" w:rsidRPr="0098545D" w:rsidRDefault="00147746" w:rsidP="008E76BE">
      <w:pPr>
        <w:numPr>
          <w:ilvl w:val="1"/>
          <w:numId w:val="45"/>
        </w:numPr>
        <w:spacing w:before="120" w:line="260" w:lineRule="auto"/>
        <w:ind w:left="851" w:right="649" w:hanging="567"/>
        <w:jc w:val="both"/>
        <w:rPr>
          <w:rFonts w:ascii="Arial MT" w:eastAsia="Arial MT" w:hAnsi="Arial MT" w:cs="Arial MT"/>
          <w:lang w:val="fr-BE"/>
        </w:rPr>
      </w:pPr>
      <w:r w:rsidRPr="0098545D">
        <w:rPr>
          <w:rFonts w:ascii="Arial MT" w:eastAsia="Arial MT" w:hAnsi="Arial MT" w:cs="Arial MT"/>
          <w:lang w:val="fr-BE"/>
        </w:rPr>
        <w:t xml:space="preserve">Les établissements calculent les données à rapporter sur la base d’une série de scénarios prudentiels de mouvements des taux, définis conformément aux dispositions de l’article </w:t>
      </w:r>
      <w:r w:rsidR="00CC06A8" w:rsidRPr="00CC06A8">
        <w:rPr>
          <w:rFonts w:ascii="Arial MT" w:hAnsi="Arial MT"/>
          <w:lang w:val="fr-BE"/>
        </w:rPr>
        <w:t xml:space="preserve">143, § 1, 12° </w:t>
      </w:r>
      <w:r w:rsidRPr="0098545D">
        <w:rPr>
          <w:rFonts w:ascii="Arial MT" w:eastAsia="Arial MT" w:hAnsi="Arial MT" w:cs="Arial MT"/>
          <w:lang w:val="fr-BE"/>
        </w:rPr>
        <w:t>de la loi bancaire et en tenant compte des exigences exposées dans les normes techniques de l'ABE précisant les hypothèses communes de paramétrage et de modélisation pour les tests prudentiels des valeurs aberrantes</w:t>
      </w:r>
      <w:r w:rsidRPr="00867B55">
        <w:rPr>
          <w:rFonts w:ascii="Arial MT" w:eastAsia="Arial MT" w:hAnsi="Arial MT" w:cs="Arial MT"/>
          <w:vertAlign w:val="superscript"/>
          <w:lang w:val="fr-BE"/>
        </w:rPr>
        <w:footnoteReference w:id="2"/>
      </w:r>
      <w:r w:rsidRPr="0098545D">
        <w:rPr>
          <w:rFonts w:ascii="Arial MT" w:eastAsia="Arial MT" w:hAnsi="Arial MT" w:cs="Arial MT"/>
          <w:lang w:val="fr-BE"/>
        </w:rPr>
        <w:t xml:space="preserve"> (ci-après normes techniques sur les tests prudentiel</w:t>
      </w:r>
      <w:r w:rsidR="003E4166">
        <w:rPr>
          <w:rFonts w:ascii="Arial MT" w:eastAsia="Arial MT" w:hAnsi="Arial MT" w:cs="Arial MT"/>
          <w:lang w:val="fr-BE"/>
        </w:rPr>
        <w:t>s</w:t>
      </w:r>
      <w:r w:rsidRPr="0098545D">
        <w:rPr>
          <w:rFonts w:ascii="Arial MT" w:eastAsia="Arial MT" w:hAnsi="Arial MT" w:cs="Arial MT"/>
          <w:lang w:val="fr-BE"/>
        </w:rPr>
        <w:t xml:space="preserve"> des valeurs aberrantes).</w:t>
      </w:r>
    </w:p>
    <w:p w14:paraId="68E67856" w14:textId="4B2B252F" w:rsidR="00147746" w:rsidRPr="0098545D" w:rsidRDefault="00147746" w:rsidP="008E76BE">
      <w:pPr>
        <w:numPr>
          <w:ilvl w:val="1"/>
          <w:numId w:val="45"/>
        </w:numPr>
        <w:spacing w:before="120" w:line="260" w:lineRule="auto"/>
        <w:ind w:left="851" w:right="649" w:hanging="567"/>
        <w:jc w:val="both"/>
        <w:rPr>
          <w:rFonts w:ascii="Arial MT" w:eastAsia="Arial MT" w:hAnsi="Arial MT" w:cs="Arial MT"/>
          <w:lang w:val="fr-BE"/>
        </w:rPr>
      </w:pPr>
      <w:r w:rsidRPr="0098545D">
        <w:rPr>
          <w:rFonts w:ascii="Arial MT" w:eastAsia="Arial MT" w:hAnsi="Arial MT" w:cs="Arial MT"/>
          <w:lang w:val="fr-BE"/>
        </w:rPr>
        <w:t>Les établissements appliquent leurs propres méthodes, définies en interne en tenant compte des exigences exposées dans les orientations de l’ABE</w:t>
      </w:r>
      <w:r w:rsidR="00BC4BA4">
        <w:rPr>
          <w:rFonts w:ascii="Arial MT" w:eastAsia="Arial MT" w:hAnsi="Arial MT" w:cs="Arial MT"/>
          <w:lang w:val="fr-BE"/>
        </w:rPr>
        <w:t xml:space="preserve"> </w:t>
      </w:r>
      <w:r w:rsidR="00BC4BA4" w:rsidRPr="00BC4BA4">
        <w:rPr>
          <w:rFonts w:ascii="Arial MT" w:eastAsia="Arial MT" w:hAnsi="Arial MT" w:cs="Arial MT"/>
          <w:lang w:val="fr-BE"/>
        </w:rPr>
        <w:t>du 20 octobre 2022 précisant les critères de détection, d’évaluation, de gestion et d’atténuation des risques découlant d’éventuelles variations des taux d’intérêt et de l’évaluation et du suivi du risque d’écart de crédit des activités hors portefeuille de négociation des établissements</w:t>
      </w:r>
      <w:r w:rsidRPr="0098545D">
        <w:rPr>
          <w:rFonts w:ascii="Arial MT" w:eastAsia="Arial MT" w:hAnsi="Arial MT" w:cs="Arial MT"/>
          <w:lang w:val="fr-BE"/>
        </w:rPr>
        <w:t>,</w:t>
      </w:r>
      <w:r w:rsidR="00487F69">
        <w:rPr>
          <w:rFonts w:ascii="Arial MT" w:eastAsia="Arial MT" w:hAnsi="Arial MT" w:cs="Arial MT"/>
          <w:lang w:val="fr-BE"/>
        </w:rPr>
        <w:t xml:space="preserve"> </w:t>
      </w:r>
      <w:r w:rsidRPr="0098545D">
        <w:rPr>
          <w:rFonts w:ascii="Arial MT" w:eastAsia="Arial MT" w:hAnsi="Arial MT" w:cs="Arial MT"/>
          <w:lang w:val="fr-BE"/>
        </w:rPr>
        <w:t>ou la méthode standard ou la méthode standard simplifiée, conformément aux dispositions de l'article 6 de l’annexe I de la loi bancaire.</w:t>
      </w:r>
    </w:p>
    <w:p w14:paraId="75262E33" w14:textId="77777777" w:rsidR="00046F25" w:rsidRDefault="00046F25" w:rsidP="00147746">
      <w:pPr>
        <w:pStyle w:val="BodyText"/>
        <w:spacing w:before="1" w:line="276" w:lineRule="auto"/>
        <w:ind w:left="416" w:right="649"/>
        <w:jc w:val="both"/>
      </w:pPr>
    </w:p>
    <w:p w14:paraId="7B4CE5CF" w14:textId="77777777" w:rsidR="00147746" w:rsidRPr="0052784F" w:rsidRDefault="00147746" w:rsidP="00177A87">
      <w:pPr>
        <w:numPr>
          <w:ilvl w:val="1"/>
          <w:numId w:val="45"/>
        </w:numPr>
        <w:spacing w:before="120" w:line="260" w:lineRule="auto"/>
        <w:ind w:left="851" w:right="649" w:hanging="567"/>
        <w:jc w:val="both"/>
        <w:rPr>
          <w:rFonts w:ascii="Arial MT" w:eastAsia="Arial MT" w:hAnsi="Arial MT" w:cs="Arial MT"/>
          <w:b/>
          <w:bCs/>
          <w:lang w:val="fr-BE"/>
        </w:rPr>
      </w:pPr>
      <w:r w:rsidRPr="0052784F">
        <w:rPr>
          <w:rFonts w:ascii="Arial MT" w:eastAsia="Arial MT" w:hAnsi="Arial MT" w:cs="Arial MT"/>
          <w:b/>
          <w:bCs/>
          <w:lang w:val="fr-BE"/>
        </w:rPr>
        <w:t>Tableau 90.30.a</w:t>
      </w:r>
    </w:p>
    <w:p w14:paraId="70FE4DF6" w14:textId="3F6C5204" w:rsidR="00147746" w:rsidRPr="00177A87" w:rsidRDefault="00437FA4" w:rsidP="00177A87">
      <w:pPr>
        <w:spacing w:before="120" w:line="260" w:lineRule="auto"/>
        <w:ind w:left="851" w:right="649"/>
        <w:jc w:val="both"/>
        <w:rPr>
          <w:rFonts w:ascii="Arial MT" w:eastAsia="Arial MT" w:hAnsi="Arial MT" w:cs="Arial MT"/>
          <w:lang w:val="fr-BE"/>
        </w:rPr>
      </w:pPr>
      <w:r>
        <w:rPr>
          <w:rFonts w:ascii="Arial MT" w:eastAsia="Arial MT" w:hAnsi="Arial MT" w:cs="Arial MT"/>
          <w:lang w:val="fr-BE"/>
        </w:rPr>
        <w:t>Le</w:t>
      </w:r>
      <w:r w:rsidR="00147746" w:rsidRPr="00177A87">
        <w:rPr>
          <w:rFonts w:ascii="Arial MT" w:eastAsia="Arial MT" w:hAnsi="Arial MT" w:cs="Arial MT"/>
          <w:lang w:val="fr-BE"/>
        </w:rPr>
        <w:t xml:space="preserve"> tableau </w:t>
      </w:r>
      <w:r>
        <w:rPr>
          <w:rFonts w:ascii="Arial MT" w:eastAsia="Arial MT" w:hAnsi="Arial MT" w:cs="Arial MT"/>
          <w:lang w:val="fr-BE"/>
        </w:rPr>
        <w:t xml:space="preserve">90.30.a </w:t>
      </w:r>
      <w:r w:rsidR="00147746" w:rsidRPr="00177A87">
        <w:rPr>
          <w:rFonts w:ascii="Arial MT" w:eastAsia="Arial MT" w:hAnsi="Arial MT" w:cs="Arial MT"/>
          <w:lang w:val="fr-BE"/>
        </w:rPr>
        <w:t>présente les résultats de l’évaluation de la sensibilité patrimoniale et de la sensibilité des revenus aux différents scénarios prudentiels de mouvements des taux.</w:t>
      </w:r>
    </w:p>
    <w:p w14:paraId="48C8BC72" w14:textId="2E9EDF8B" w:rsidR="00147746" w:rsidRPr="00177A87" w:rsidRDefault="00147746" w:rsidP="00177A87">
      <w:pPr>
        <w:spacing w:before="120" w:line="260" w:lineRule="auto"/>
        <w:ind w:left="851" w:right="649"/>
        <w:jc w:val="both"/>
        <w:rPr>
          <w:rFonts w:ascii="Arial MT" w:eastAsia="Arial MT" w:hAnsi="Arial MT" w:cs="Arial MT"/>
          <w:u w:val="single"/>
          <w:lang w:val="fr-BE"/>
        </w:rPr>
      </w:pPr>
      <w:r w:rsidRPr="00177A87">
        <w:rPr>
          <w:rFonts w:ascii="Arial MT" w:eastAsia="Arial MT" w:hAnsi="Arial MT" w:cs="Arial MT"/>
          <w:u w:val="single"/>
          <w:lang w:val="fr-BE"/>
        </w:rPr>
        <w:t>Sensibilité patrimoniale</w:t>
      </w:r>
    </w:p>
    <w:p w14:paraId="15AD3CA2" w14:textId="60AE5725" w:rsidR="00147746" w:rsidRPr="00177A87" w:rsidRDefault="00147746" w:rsidP="00177A87">
      <w:pPr>
        <w:spacing w:before="120" w:line="260" w:lineRule="auto"/>
        <w:ind w:left="851" w:right="649"/>
        <w:jc w:val="both"/>
        <w:rPr>
          <w:rFonts w:ascii="Arial MT" w:eastAsia="Arial MT" w:hAnsi="Arial MT" w:cs="Arial MT"/>
          <w:lang w:val="fr-BE"/>
        </w:rPr>
        <w:sectPr w:rsidR="00147746" w:rsidRPr="00177A87" w:rsidSect="00147746">
          <w:headerReference w:type="even" r:id="rId13"/>
          <w:headerReference w:type="default" r:id="rId14"/>
          <w:footerReference w:type="even" r:id="rId15"/>
          <w:footerReference w:type="default" r:id="rId16"/>
          <w:headerReference w:type="first" r:id="rId17"/>
          <w:footerReference w:type="first" r:id="rId18"/>
          <w:pgSz w:w="11910" w:h="16840"/>
          <w:pgMar w:top="580" w:right="480" w:bottom="280" w:left="1000" w:header="720" w:footer="720" w:gutter="0"/>
          <w:cols w:space="720"/>
        </w:sectPr>
      </w:pPr>
      <w:r w:rsidRPr="00177A87">
        <w:rPr>
          <w:rFonts w:ascii="Arial MT" w:eastAsia="Arial MT" w:hAnsi="Arial MT" w:cs="Arial MT"/>
          <w:lang w:val="fr-BE"/>
        </w:rPr>
        <w:t>Dans la colonne 010, l’établissement rapporte la valeur économique du portefeuille calculées sur la base d’une série de scénarios imposés de mouvements des taux.</w:t>
      </w:r>
    </w:p>
    <w:p w14:paraId="31FBE1D4" w14:textId="00A85672" w:rsidR="00147746" w:rsidRPr="00177A87" w:rsidRDefault="00147746" w:rsidP="00CA0014">
      <w:pPr>
        <w:spacing w:before="120" w:line="260" w:lineRule="auto"/>
        <w:ind w:left="851" w:right="649"/>
        <w:jc w:val="both"/>
        <w:rPr>
          <w:rFonts w:ascii="Arial MT" w:eastAsia="Arial MT" w:hAnsi="Arial MT" w:cs="Arial MT"/>
          <w:lang w:val="fr-BE"/>
        </w:rPr>
      </w:pPr>
      <w:r w:rsidRPr="00177A87">
        <w:rPr>
          <w:rFonts w:ascii="Arial MT" w:eastAsia="Arial MT" w:hAnsi="Arial MT" w:cs="Arial MT"/>
          <w:lang w:val="fr-BE"/>
        </w:rPr>
        <w:lastRenderedPageBreak/>
        <w:t xml:space="preserve">L’ampleur des mouvements parallèles des taux dans les hypothèses standardisées est de 200 points de base, à la hausse d’une part (ligne 300) et à la baisse d’autre part (ligne 500). Les quatre autres scénarios sont décrits dans les normes techniques </w:t>
      </w:r>
      <w:r w:rsidRPr="00CA0014">
        <w:rPr>
          <w:rFonts w:ascii="Arial MT" w:eastAsia="Arial MT" w:hAnsi="Arial MT" w:cs="Arial MT"/>
          <w:lang w:val="fr-BE"/>
        </w:rPr>
        <w:t>sur les tests prudentiel</w:t>
      </w:r>
      <w:r w:rsidR="003E5AC6">
        <w:rPr>
          <w:rFonts w:ascii="Arial MT" w:eastAsia="Arial MT" w:hAnsi="Arial MT" w:cs="Arial MT"/>
          <w:lang w:val="fr-BE"/>
        </w:rPr>
        <w:t>s</w:t>
      </w:r>
      <w:r w:rsidRPr="00CA0014">
        <w:rPr>
          <w:rFonts w:ascii="Arial MT" w:eastAsia="Arial MT" w:hAnsi="Arial MT" w:cs="Arial MT"/>
          <w:lang w:val="fr-BE"/>
        </w:rPr>
        <w:t xml:space="preserve"> des valeurs aberrantes</w:t>
      </w:r>
      <w:r w:rsidRPr="00177A87">
        <w:rPr>
          <w:rFonts w:ascii="Arial MT" w:eastAsia="Arial MT" w:hAnsi="Arial MT" w:cs="Arial MT"/>
          <w:lang w:val="fr-BE"/>
        </w:rPr>
        <w:t xml:space="preserve"> et portent sur un raidissement de la courbe de taux, (ligne 100), sur une hausse des taux à court terme (ligne 200), sur une baisse des taux à court terme (ligne 600) et sur un aplatissement de la courbe de taux (ligne 700). À ces six scénarios s’ajoute un scénario d’absence de modification des taux (ligne 400).</w:t>
      </w:r>
    </w:p>
    <w:p w14:paraId="298D16B4" w14:textId="59702D34" w:rsidR="00147746" w:rsidRPr="00177A87" w:rsidRDefault="00147746" w:rsidP="00177A87">
      <w:pPr>
        <w:spacing w:before="120" w:line="260" w:lineRule="auto"/>
        <w:ind w:left="851" w:right="649"/>
        <w:jc w:val="both"/>
        <w:rPr>
          <w:rFonts w:ascii="Arial MT" w:eastAsia="Arial MT" w:hAnsi="Arial MT" w:cs="Arial MT"/>
          <w:u w:val="single"/>
          <w:lang w:val="fr-BE"/>
        </w:rPr>
      </w:pPr>
      <w:r w:rsidRPr="00177A87">
        <w:rPr>
          <w:rFonts w:ascii="Arial MT" w:eastAsia="Arial MT" w:hAnsi="Arial MT" w:cs="Arial MT"/>
          <w:u w:val="single"/>
          <w:lang w:val="fr-BE"/>
        </w:rPr>
        <w:t>Sensibilité des revenus</w:t>
      </w:r>
    </w:p>
    <w:p w14:paraId="10C1C5B3" w14:textId="44BD36C7" w:rsidR="00147746" w:rsidRPr="00177A87" w:rsidRDefault="00147746" w:rsidP="00177A87">
      <w:pPr>
        <w:spacing w:before="120" w:line="260" w:lineRule="auto"/>
        <w:ind w:left="851" w:right="649"/>
        <w:jc w:val="both"/>
        <w:rPr>
          <w:rFonts w:ascii="Arial MT" w:eastAsia="Arial MT" w:hAnsi="Arial MT" w:cs="Arial MT"/>
          <w:lang w:val="fr-BE"/>
        </w:rPr>
      </w:pPr>
      <w:r w:rsidRPr="00177A87">
        <w:rPr>
          <w:rFonts w:ascii="Arial MT" w:eastAsia="Arial MT" w:hAnsi="Arial MT" w:cs="Arial MT"/>
          <w:lang w:val="fr-BE"/>
        </w:rPr>
        <w:t>L’établissement rapporte, de manière progressive, dans la colonne 020, son résultat d’intérêt des douze derniers mois et, dans l</w:t>
      </w:r>
      <w:r w:rsidR="00EA05B9">
        <w:rPr>
          <w:rFonts w:ascii="Arial MT" w:eastAsia="Arial MT" w:hAnsi="Arial MT" w:cs="Arial MT"/>
          <w:lang w:val="fr-BE"/>
        </w:rPr>
        <w:t>a</w:t>
      </w:r>
      <w:r w:rsidRPr="00177A87">
        <w:rPr>
          <w:rFonts w:ascii="Arial MT" w:eastAsia="Arial MT" w:hAnsi="Arial MT" w:cs="Arial MT"/>
          <w:lang w:val="fr-BE"/>
        </w:rPr>
        <w:t xml:space="preserve"> colonne 030, le résultat d’intérêt anticipé pour l</w:t>
      </w:r>
      <w:r w:rsidR="00EA05B9">
        <w:rPr>
          <w:rFonts w:ascii="Arial MT" w:eastAsia="Arial MT" w:hAnsi="Arial MT" w:cs="Arial MT"/>
          <w:lang w:val="fr-BE"/>
        </w:rPr>
        <w:t xml:space="preserve">a prochaine </w:t>
      </w:r>
      <w:r w:rsidRPr="00177A87">
        <w:rPr>
          <w:rFonts w:ascii="Arial MT" w:eastAsia="Arial MT" w:hAnsi="Arial MT" w:cs="Arial MT"/>
          <w:lang w:val="fr-BE"/>
        </w:rPr>
        <w:t>période de douze mois, en tenant compte des exigences exposées dans les normes techniques sur les tests prudentiel</w:t>
      </w:r>
      <w:r w:rsidR="004720E9">
        <w:rPr>
          <w:rFonts w:ascii="Arial MT" w:eastAsia="Arial MT" w:hAnsi="Arial MT" w:cs="Arial MT"/>
          <w:lang w:val="fr-BE"/>
        </w:rPr>
        <w:t>s</w:t>
      </w:r>
      <w:r w:rsidRPr="00177A87">
        <w:rPr>
          <w:rFonts w:ascii="Arial MT" w:eastAsia="Arial MT" w:hAnsi="Arial MT" w:cs="Arial MT"/>
          <w:lang w:val="fr-BE"/>
        </w:rPr>
        <w:t xml:space="preserve"> des valeurs aberrantes, sur la base de deux scénarios standardisés de mouvements parallèles des taux.</w:t>
      </w:r>
    </w:p>
    <w:p w14:paraId="0AF11F23" w14:textId="77777777" w:rsidR="00147746" w:rsidRPr="00177A87" w:rsidRDefault="00147746" w:rsidP="00177A87">
      <w:pPr>
        <w:spacing w:before="120" w:line="260" w:lineRule="auto"/>
        <w:ind w:left="851" w:right="649"/>
        <w:jc w:val="both"/>
        <w:rPr>
          <w:rFonts w:ascii="Arial MT" w:eastAsia="Arial MT" w:hAnsi="Arial MT" w:cs="Arial MT"/>
          <w:lang w:val="fr-BE"/>
        </w:rPr>
      </w:pPr>
      <w:r w:rsidRPr="00177A87">
        <w:rPr>
          <w:rFonts w:ascii="Arial MT" w:eastAsia="Arial MT" w:hAnsi="Arial MT" w:cs="Arial MT"/>
          <w:lang w:val="fr-BE"/>
        </w:rPr>
        <w:t>L’ampleur des mouvements parallèles des taux dans les hypothèses standardisées est de 200 points de base, à la hausse d’une part (ligne 300) et à la baisse d’autre part (ligne 500). À ces deux scénarios s’ajoute un scénario d’absence de modification des taux (ligne 400).</w:t>
      </w:r>
    </w:p>
    <w:p w14:paraId="591ACF0E" w14:textId="6FB663A7" w:rsidR="00147746" w:rsidRPr="00177A87" w:rsidRDefault="00147746" w:rsidP="00177A87">
      <w:pPr>
        <w:spacing w:before="120" w:line="260" w:lineRule="auto"/>
        <w:ind w:left="851" w:right="649"/>
        <w:jc w:val="both"/>
        <w:rPr>
          <w:rFonts w:ascii="Arial MT" w:eastAsia="Arial MT" w:hAnsi="Arial MT" w:cs="Arial MT"/>
          <w:u w:val="single"/>
          <w:lang w:val="fr-BE"/>
        </w:rPr>
      </w:pPr>
      <w:r w:rsidRPr="00177A87">
        <w:rPr>
          <w:rFonts w:ascii="Arial MT" w:eastAsia="Arial MT" w:hAnsi="Arial MT" w:cs="Arial MT"/>
          <w:u w:val="single"/>
          <w:lang w:val="fr-BE"/>
        </w:rPr>
        <w:t>Variations de la valeur de marché</w:t>
      </w:r>
    </w:p>
    <w:p w14:paraId="5AA5F88B" w14:textId="1476E9F6" w:rsidR="00147746" w:rsidRPr="00177A87" w:rsidRDefault="00147746" w:rsidP="00177A87">
      <w:pPr>
        <w:spacing w:before="120" w:line="260" w:lineRule="auto"/>
        <w:ind w:left="851" w:right="649"/>
        <w:jc w:val="both"/>
        <w:rPr>
          <w:rFonts w:ascii="Arial MT" w:eastAsia="Arial MT" w:hAnsi="Arial MT" w:cs="Arial MT"/>
          <w:lang w:val="fr-BE"/>
        </w:rPr>
      </w:pPr>
      <w:r w:rsidRPr="00177A87">
        <w:rPr>
          <w:rFonts w:ascii="Arial MT" w:eastAsia="Arial MT" w:hAnsi="Arial MT" w:cs="Arial MT"/>
          <w:lang w:val="fr-BE"/>
        </w:rPr>
        <w:t xml:space="preserve">L’établissement rapporte, dans la colonne 060, </w:t>
      </w:r>
      <w:r w:rsidR="00D9239E">
        <w:rPr>
          <w:rFonts w:ascii="Arial MT" w:eastAsia="Arial MT" w:hAnsi="Arial MT" w:cs="Arial MT"/>
          <w:lang w:val="fr-BE"/>
        </w:rPr>
        <w:t xml:space="preserve">la </w:t>
      </w:r>
      <w:r w:rsidRPr="00177A87">
        <w:rPr>
          <w:rFonts w:ascii="Arial MT" w:eastAsia="Arial MT" w:hAnsi="Arial MT" w:cs="Arial MT"/>
          <w:lang w:val="fr-BE"/>
        </w:rPr>
        <w:t xml:space="preserve">valeur de marché des instruments </w:t>
      </w:r>
      <w:r w:rsidR="00D9239E">
        <w:rPr>
          <w:rFonts w:ascii="Arial MT" w:eastAsia="Arial MT" w:hAnsi="Arial MT" w:cs="Arial MT"/>
          <w:lang w:val="fr-BE"/>
        </w:rPr>
        <w:t xml:space="preserve">dont les variations </w:t>
      </w:r>
      <w:r w:rsidR="00637160">
        <w:rPr>
          <w:rFonts w:ascii="Arial MT" w:eastAsia="Arial MT" w:hAnsi="Arial MT" w:cs="Arial MT"/>
          <w:lang w:val="fr-BE"/>
        </w:rPr>
        <w:t xml:space="preserve">de valeur </w:t>
      </w:r>
      <w:r w:rsidR="00D9239E">
        <w:rPr>
          <w:rFonts w:ascii="Arial MT" w:eastAsia="Arial MT" w:hAnsi="Arial MT" w:cs="Arial MT"/>
          <w:lang w:val="fr-BE"/>
        </w:rPr>
        <w:t xml:space="preserve">figurent </w:t>
      </w:r>
      <w:r w:rsidRPr="00177A87">
        <w:rPr>
          <w:rFonts w:ascii="Arial MT" w:eastAsia="Arial MT" w:hAnsi="Arial MT" w:cs="Arial MT"/>
          <w:lang w:val="fr-BE"/>
        </w:rPr>
        <w:t>soit dans le compte de résultat, soit directement dans les fonds propres (par exemple, via les autres éléments du revenu global)</w:t>
      </w:r>
      <w:r w:rsidR="008E266D">
        <w:rPr>
          <w:rFonts w:ascii="Arial MT" w:eastAsia="Arial MT" w:hAnsi="Arial MT" w:cs="Arial MT"/>
          <w:lang w:val="fr-BE"/>
        </w:rPr>
        <w:t xml:space="preserve"> </w:t>
      </w:r>
      <w:r w:rsidR="008E266D" w:rsidRPr="00177A87">
        <w:rPr>
          <w:rFonts w:ascii="Arial MT" w:eastAsia="Arial MT" w:hAnsi="Arial MT" w:cs="Arial MT"/>
          <w:lang w:val="fr-BE"/>
        </w:rPr>
        <w:t>sur la base d’une série de scénarios imposés de mouvements des taux</w:t>
      </w:r>
      <w:r w:rsidR="008E266D">
        <w:rPr>
          <w:rFonts w:ascii="Arial MT" w:eastAsia="Arial MT" w:hAnsi="Arial MT" w:cs="Arial MT"/>
          <w:lang w:val="fr-BE"/>
        </w:rPr>
        <w:t>.</w:t>
      </w:r>
      <w:r w:rsidR="0037530A">
        <w:rPr>
          <w:rFonts w:ascii="Arial MT" w:eastAsia="Arial MT" w:hAnsi="Arial MT" w:cs="Arial MT"/>
          <w:lang w:val="fr-BE"/>
        </w:rPr>
        <w:t xml:space="preserve"> </w:t>
      </w:r>
      <w:r w:rsidR="0037530A" w:rsidRPr="0098545D">
        <w:rPr>
          <w:rFonts w:ascii="Arial MT" w:eastAsia="Arial MT" w:hAnsi="Arial MT" w:cs="Arial MT"/>
          <w:lang w:val="fr-BE"/>
        </w:rPr>
        <w:t>L</w:t>
      </w:r>
      <w:r w:rsidR="0037530A">
        <w:rPr>
          <w:rFonts w:ascii="Arial MT" w:eastAsia="Arial MT" w:hAnsi="Arial MT" w:cs="Arial MT"/>
          <w:lang w:val="fr-BE"/>
        </w:rPr>
        <w:t>’</w:t>
      </w:r>
      <w:r w:rsidR="0037530A" w:rsidRPr="0098545D">
        <w:rPr>
          <w:rFonts w:ascii="Arial MT" w:eastAsia="Arial MT" w:hAnsi="Arial MT" w:cs="Arial MT"/>
          <w:lang w:val="fr-BE"/>
        </w:rPr>
        <w:t>établissement calcule</w:t>
      </w:r>
      <w:r w:rsidR="0037530A">
        <w:rPr>
          <w:rFonts w:ascii="Arial MT" w:eastAsia="Arial MT" w:hAnsi="Arial MT" w:cs="Arial MT"/>
          <w:lang w:val="fr-BE"/>
        </w:rPr>
        <w:t xml:space="preserve"> la </w:t>
      </w:r>
      <w:r w:rsidR="0037530A" w:rsidRPr="00177A87">
        <w:rPr>
          <w:rFonts w:ascii="Arial MT" w:eastAsia="Arial MT" w:hAnsi="Arial MT" w:cs="Arial MT"/>
          <w:lang w:val="fr-BE"/>
        </w:rPr>
        <w:t>valeur de marché de</w:t>
      </w:r>
      <w:r w:rsidR="0037530A">
        <w:rPr>
          <w:rFonts w:ascii="Arial MT" w:eastAsia="Arial MT" w:hAnsi="Arial MT" w:cs="Arial MT"/>
          <w:lang w:val="fr-BE"/>
        </w:rPr>
        <w:t xml:space="preserve"> ces</w:t>
      </w:r>
      <w:r w:rsidR="0037530A" w:rsidRPr="00177A87">
        <w:rPr>
          <w:rFonts w:ascii="Arial MT" w:eastAsia="Arial MT" w:hAnsi="Arial MT" w:cs="Arial MT"/>
          <w:lang w:val="fr-BE"/>
        </w:rPr>
        <w:t xml:space="preserve"> instruments</w:t>
      </w:r>
      <w:r w:rsidR="0037530A" w:rsidRPr="0098545D">
        <w:rPr>
          <w:rFonts w:ascii="Arial MT" w:eastAsia="Arial MT" w:hAnsi="Arial MT" w:cs="Arial MT"/>
          <w:lang w:val="fr-BE"/>
        </w:rPr>
        <w:t xml:space="preserve"> </w:t>
      </w:r>
      <w:r w:rsidRPr="00177A87">
        <w:rPr>
          <w:rFonts w:ascii="Arial MT" w:eastAsia="Arial MT" w:hAnsi="Arial MT" w:cs="Arial MT"/>
          <w:lang w:val="fr-BE"/>
        </w:rPr>
        <w:t>sur un horizon d’un an, nette de l'effet des couvertures comptables et sans tenir compte des éléments visés à l’article 33, paragraphe 1, point a) du Règlement (UE) n° 575/2013.</w:t>
      </w:r>
    </w:p>
    <w:p w14:paraId="338E9789" w14:textId="303DDF07" w:rsidR="00147746" w:rsidRPr="00177A87" w:rsidRDefault="00C37D91" w:rsidP="00177A87">
      <w:pPr>
        <w:spacing w:before="120" w:line="260" w:lineRule="auto"/>
        <w:ind w:left="851" w:right="649"/>
        <w:jc w:val="both"/>
        <w:rPr>
          <w:rFonts w:ascii="Arial MT" w:eastAsia="Arial MT" w:hAnsi="Arial MT" w:cs="Arial MT"/>
          <w:lang w:val="fr-BE"/>
        </w:rPr>
      </w:pPr>
      <w:r>
        <w:rPr>
          <w:rFonts w:ascii="Arial MT" w:eastAsia="Arial MT" w:hAnsi="Arial MT" w:cs="Arial MT"/>
          <w:lang w:val="fr-BE"/>
        </w:rPr>
        <w:t>L’établissement calcule l</w:t>
      </w:r>
      <w:r w:rsidR="00DC224C">
        <w:rPr>
          <w:rFonts w:ascii="Arial MT" w:eastAsia="Arial MT" w:hAnsi="Arial MT" w:cs="Arial MT"/>
          <w:lang w:val="fr-BE"/>
        </w:rPr>
        <w:t>es projections de la</w:t>
      </w:r>
      <w:r w:rsidR="00147746" w:rsidRPr="00177A87">
        <w:rPr>
          <w:rFonts w:ascii="Arial MT" w:eastAsia="Arial MT" w:hAnsi="Arial MT" w:cs="Arial MT"/>
          <w:lang w:val="fr-BE"/>
        </w:rPr>
        <w:t xml:space="preserve"> valeur de marché de</w:t>
      </w:r>
      <w:r w:rsidR="008D4115">
        <w:rPr>
          <w:rFonts w:ascii="Arial MT" w:eastAsia="Arial MT" w:hAnsi="Arial MT" w:cs="Arial MT"/>
          <w:lang w:val="fr-BE"/>
        </w:rPr>
        <w:t xml:space="preserve"> ces</w:t>
      </w:r>
      <w:r w:rsidR="00147746" w:rsidRPr="00177A87">
        <w:rPr>
          <w:rFonts w:ascii="Arial MT" w:eastAsia="Arial MT" w:hAnsi="Arial MT" w:cs="Arial MT"/>
          <w:lang w:val="fr-BE"/>
        </w:rPr>
        <w:t xml:space="preserve"> instruments sur base des systèmes de mesure internes ou, le cas échéant, sur base de la méthode standard (articles 15 et 20 des normes techniques de l’ABE sur la méthode standard pour l’évaluation du risque de taux d’intérêt inhérent au portefeuille bancaire</w:t>
      </w:r>
      <w:r w:rsidR="00147746" w:rsidRPr="00DC224C">
        <w:rPr>
          <w:rFonts w:ascii="Arial MT" w:eastAsia="Arial MT" w:hAnsi="Arial MT" w:cs="Arial MT"/>
          <w:vertAlign w:val="superscript"/>
        </w:rPr>
        <w:footnoteReference w:id="3"/>
      </w:r>
      <w:r w:rsidR="00147746" w:rsidRPr="00177A87">
        <w:rPr>
          <w:rFonts w:ascii="Arial MT" w:eastAsia="Arial MT" w:hAnsi="Arial MT" w:cs="Arial MT"/>
          <w:lang w:val="fr-BE"/>
        </w:rPr>
        <w:t>) ou de la méthode standard simplifiée (article 24 desdites normes techniques).</w:t>
      </w:r>
    </w:p>
    <w:p w14:paraId="516DDD1F" w14:textId="77777777" w:rsidR="00147746" w:rsidRDefault="00147746" w:rsidP="00177A87">
      <w:pPr>
        <w:spacing w:before="120" w:line="260" w:lineRule="auto"/>
        <w:ind w:left="851" w:right="649"/>
        <w:jc w:val="both"/>
        <w:rPr>
          <w:rFonts w:ascii="Arial MT" w:eastAsia="Arial MT" w:hAnsi="Arial MT" w:cs="Arial MT"/>
          <w:lang w:val="fr-BE"/>
        </w:rPr>
      </w:pPr>
      <w:r w:rsidRPr="00177A87">
        <w:rPr>
          <w:rFonts w:ascii="Arial MT" w:eastAsia="Arial MT" w:hAnsi="Arial MT" w:cs="Arial MT"/>
          <w:lang w:val="fr-BE"/>
        </w:rPr>
        <w:t>L’ampleur des mouvements parallèles des taux dans les hypothèses standardisées est de 200 points de base, à la hausse d’une part (ligne 300) et à la baisse d’autre part (ligne 500). À ces deux scénarios s’ajoute un scénario d’absence de modification des taux (ligne 400).</w:t>
      </w:r>
    </w:p>
    <w:p w14:paraId="5C91693D" w14:textId="77777777" w:rsidR="00C416DC" w:rsidRPr="00177A87" w:rsidRDefault="00C416DC" w:rsidP="00C416DC">
      <w:pPr>
        <w:spacing w:before="120" w:line="260" w:lineRule="auto"/>
        <w:ind w:right="649"/>
        <w:jc w:val="both"/>
        <w:rPr>
          <w:rFonts w:ascii="Arial MT" w:eastAsia="Arial MT" w:hAnsi="Arial MT" w:cs="Arial MT"/>
          <w:lang w:val="fr-BE"/>
        </w:rPr>
      </w:pPr>
    </w:p>
    <w:p w14:paraId="42E03B8E" w14:textId="77777777" w:rsidR="00147746" w:rsidRPr="00C416DC" w:rsidRDefault="00147746" w:rsidP="00C416DC">
      <w:pPr>
        <w:numPr>
          <w:ilvl w:val="1"/>
          <w:numId w:val="45"/>
        </w:numPr>
        <w:spacing w:before="120" w:line="260" w:lineRule="auto"/>
        <w:ind w:left="851" w:right="649" w:hanging="567"/>
        <w:jc w:val="both"/>
        <w:rPr>
          <w:rFonts w:ascii="Arial MT" w:eastAsia="Arial MT" w:hAnsi="Arial MT" w:cs="Arial MT"/>
          <w:b/>
          <w:bCs/>
          <w:lang w:val="fr-BE"/>
        </w:rPr>
      </w:pPr>
      <w:r w:rsidRPr="00C416DC">
        <w:rPr>
          <w:rFonts w:ascii="Arial MT" w:eastAsia="Arial MT" w:hAnsi="Arial MT" w:cs="Arial MT"/>
          <w:b/>
          <w:bCs/>
          <w:lang w:val="fr-BE"/>
        </w:rPr>
        <w:t>Tableau 90.30.b</w:t>
      </w:r>
    </w:p>
    <w:p w14:paraId="0ACF17A7" w14:textId="2D4E1F8D" w:rsidR="00147746" w:rsidRPr="00E714F2" w:rsidRDefault="00401C3E" w:rsidP="00E714F2">
      <w:pPr>
        <w:spacing w:before="120" w:line="260" w:lineRule="auto"/>
        <w:ind w:left="851" w:right="649"/>
        <w:jc w:val="both"/>
        <w:rPr>
          <w:rFonts w:ascii="Arial MT" w:eastAsia="Arial MT" w:hAnsi="Arial MT" w:cs="Arial MT"/>
          <w:lang w:val="fr-BE"/>
        </w:rPr>
      </w:pPr>
      <w:r>
        <w:rPr>
          <w:rFonts w:ascii="Arial MT" w:eastAsia="Arial MT" w:hAnsi="Arial MT" w:cs="Arial MT"/>
          <w:lang w:val="fr-BE"/>
        </w:rPr>
        <w:t>Le</w:t>
      </w:r>
      <w:r w:rsidR="00147746" w:rsidRPr="00C416DC">
        <w:rPr>
          <w:rFonts w:ascii="Arial MT" w:eastAsia="Arial MT" w:hAnsi="Arial MT" w:cs="Arial MT"/>
          <w:lang w:val="fr-BE"/>
        </w:rPr>
        <w:t xml:space="preserve"> tableau </w:t>
      </w:r>
      <w:r>
        <w:rPr>
          <w:rFonts w:ascii="Arial MT" w:eastAsia="Arial MT" w:hAnsi="Arial MT" w:cs="Arial MT"/>
          <w:lang w:val="fr-BE"/>
        </w:rPr>
        <w:t xml:space="preserve">90.30.b </w:t>
      </w:r>
      <w:r w:rsidR="00147746" w:rsidRPr="00C416DC">
        <w:rPr>
          <w:rFonts w:ascii="Arial MT" w:eastAsia="Arial MT" w:hAnsi="Arial MT" w:cs="Arial MT"/>
          <w:lang w:val="fr-BE"/>
        </w:rPr>
        <w:t>contient des données qualitatives sur les méthodes utilisées dans le cadre de l'évaluation du risque de taux d’intérêt inhérent au portefeuille bancaire.</w:t>
      </w:r>
    </w:p>
    <w:p w14:paraId="45CB0BA1" w14:textId="77777777" w:rsidR="00147746" w:rsidRDefault="00147746" w:rsidP="00D71A22">
      <w:pPr>
        <w:spacing w:before="120" w:line="260" w:lineRule="auto"/>
        <w:ind w:left="851" w:right="649"/>
        <w:jc w:val="both"/>
        <w:rPr>
          <w:lang w:val="fr-BE"/>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624CC392" w14:textId="77777777" w:rsidTr="00194EAE">
        <w:tc>
          <w:tcPr>
            <w:tcW w:w="1129" w:type="dxa"/>
            <w:shd w:val="clear" w:color="auto" w:fill="D9D9D9" w:themeFill="background1" w:themeFillShade="D9"/>
          </w:tcPr>
          <w:p w14:paraId="1989EE8A" w14:textId="77777777" w:rsidR="00147746" w:rsidRPr="00AE5973" w:rsidRDefault="00147746" w:rsidP="005508CC">
            <w:pPr>
              <w:pStyle w:val="InstructionsText"/>
              <w:rPr>
                <w:rStyle w:val="InstructionsTabelleText"/>
                <w:rFonts w:ascii="Arial MT" w:eastAsia="Arial" w:hAnsi="Arial MT"/>
                <w:szCs w:val="20"/>
                <w:lang w:eastAsia="en-US"/>
              </w:rPr>
            </w:pPr>
            <w:r w:rsidRPr="00AE5973">
              <w:rPr>
                <w:rStyle w:val="InstructionsTabelleText"/>
                <w:rFonts w:ascii="Arial MT" w:hAnsi="Arial MT"/>
                <w:szCs w:val="20"/>
              </w:rPr>
              <w:t>Ligne(s)</w:t>
            </w:r>
          </w:p>
        </w:tc>
        <w:tc>
          <w:tcPr>
            <w:tcW w:w="7620" w:type="dxa"/>
            <w:shd w:val="clear" w:color="auto" w:fill="D9D9D9" w:themeFill="background1" w:themeFillShade="D9"/>
          </w:tcPr>
          <w:p w14:paraId="5B90EFCF" w14:textId="77777777" w:rsidR="00147746" w:rsidRPr="00AE5973" w:rsidRDefault="00147746" w:rsidP="005508CC">
            <w:pPr>
              <w:pStyle w:val="InstructionsText"/>
              <w:rPr>
                <w:rStyle w:val="InstructionsTabelleText"/>
                <w:rFonts w:ascii="Arial MT" w:hAnsi="Arial MT"/>
                <w:bCs/>
                <w:szCs w:val="20"/>
                <w:lang w:eastAsia="en-US"/>
              </w:rPr>
            </w:pPr>
            <w:r w:rsidRPr="00AE5973">
              <w:rPr>
                <w:rStyle w:val="InstructionsTabelleText"/>
                <w:rFonts w:ascii="Arial MT" w:hAnsi="Arial MT"/>
                <w:szCs w:val="20"/>
              </w:rPr>
              <w:t>Instructions</w:t>
            </w:r>
          </w:p>
        </w:tc>
      </w:tr>
      <w:tr w:rsidR="00147746" w:rsidRPr="00AE5973" w14:paraId="5718A5A4" w14:textId="77777777" w:rsidTr="00194EAE">
        <w:tc>
          <w:tcPr>
            <w:tcW w:w="1129" w:type="dxa"/>
          </w:tcPr>
          <w:p w14:paraId="35F79D0B"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0010</w:t>
            </w:r>
          </w:p>
        </w:tc>
        <w:tc>
          <w:tcPr>
            <w:tcW w:w="7620" w:type="dxa"/>
          </w:tcPr>
          <w:p w14:paraId="77508323" w14:textId="77AE4808" w:rsidR="00147746" w:rsidRPr="0034123C" w:rsidRDefault="00184653" w:rsidP="005508CC">
            <w:pPr>
              <w:pStyle w:val="InstructionsText"/>
              <w:rPr>
                <w:rFonts w:ascii="Arial MT" w:hAnsi="Arial MT"/>
                <w:b/>
                <w:bCs/>
                <w:sz w:val="20"/>
                <w:szCs w:val="20"/>
                <w:u w:val="single"/>
              </w:rPr>
            </w:pPr>
            <w:r>
              <w:rPr>
                <w:rFonts w:ascii="Arial MT" w:hAnsi="Arial MT"/>
                <w:b/>
                <w:bCs/>
                <w:sz w:val="20"/>
                <w:szCs w:val="20"/>
                <w:u w:val="single"/>
              </w:rPr>
              <w:t>Méthode de mesure</w:t>
            </w:r>
            <w:r w:rsidR="00147746" w:rsidRPr="0034123C">
              <w:rPr>
                <w:rFonts w:ascii="Arial MT" w:hAnsi="Arial MT"/>
                <w:b/>
                <w:bCs/>
                <w:sz w:val="20"/>
                <w:szCs w:val="20"/>
                <w:u w:val="single"/>
              </w:rPr>
              <w:t xml:space="preserve"> (NII/EVE)</w:t>
            </w:r>
          </w:p>
          <w:p w14:paraId="66C3D53E"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l’approche utilisée pour l’évaluation du risque de taux d’intérêt dans le cadre des tests prudentiels des valeurs aberrantes.</w:t>
            </w:r>
          </w:p>
          <w:p w14:paraId="01D88B5C"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Méthode standard simplifiée</w:t>
            </w:r>
          </w:p>
          <w:p w14:paraId="6B67081C"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Méthode standard</w:t>
            </w:r>
          </w:p>
          <w:p w14:paraId="6AAF0325" w14:textId="77777777" w:rsidR="00147746" w:rsidRPr="00AE5973" w:rsidRDefault="00147746" w:rsidP="005508CC">
            <w:pPr>
              <w:pStyle w:val="InstructionsText"/>
              <w:numPr>
                <w:ilvl w:val="0"/>
                <w:numId w:val="43"/>
              </w:numPr>
              <w:rPr>
                <w:rFonts w:ascii="Arial MT" w:hAnsi="Arial MT"/>
                <w:b/>
                <w:bCs/>
                <w:sz w:val="20"/>
                <w:szCs w:val="20"/>
              </w:rPr>
            </w:pPr>
            <w:r w:rsidRPr="00AE5973">
              <w:rPr>
                <w:rFonts w:ascii="Arial MT" w:hAnsi="Arial MT"/>
                <w:sz w:val="20"/>
                <w:szCs w:val="20"/>
              </w:rPr>
              <w:t>Systèmes internes</w:t>
            </w:r>
          </w:p>
        </w:tc>
      </w:tr>
    </w:tbl>
    <w:p w14:paraId="661BEA95" w14:textId="77777777" w:rsidR="00E27F33" w:rsidRDefault="00E27F33">
      <w:r>
        <w:br w:type="page"/>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E34649" w14:paraId="68580089" w14:textId="77777777" w:rsidTr="00194EAE">
        <w:tc>
          <w:tcPr>
            <w:tcW w:w="1129" w:type="dxa"/>
          </w:tcPr>
          <w:p w14:paraId="67976070" w14:textId="6F45DC28" w:rsidR="00147746" w:rsidRPr="00AE5973" w:rsidRDefault="00147746" w:rsidP="005508CC">
            <w:pPr>
              <w:pStyle w:val="InstructionsText"/>
              <w:rPr>
                <w:rStyle w:val="FormatvorlageInstructionsTabelleText"/>
                <w:rFonts w:ascii="Arial MT" w:hAnsi="Arial MT"/>
                <w:szCs w:val="20"/>
              </w:rPr>
            </w:pPr>
            <w:r w:rsidRPr="00AE5973">
              <w:rPr>
                <w:rStyle w:val="FormatvorlageInstructionsTabelleText"/>
                <w:rFonts w:ascii="Arial MT" w:hAnsi="Arial MT"/>
                <w:szCs w:val="20"/>
              </w:rPr>
              <w:t>0020</w:t>
            </w:r>
          </w:p>
          <w:p w14:paraId="355B9D0D" w14:textId="77777777" w:rsidR="00147746" w:rsidRPr="00AE5973" w:rsidRDefault="00147746" w:rsidP="005508CC">
            <w:pPr>
              <w:pStyle w:val="InstructionsText"/>
              <w:rPr>
                <w:rStyle w:val="FormatvorlageInstructionsTabelleText"/>
                <w:rFonts w:ascii="Arial MT" w:hAnsi="Arial MT"/>
                <w:szCs w:val="20"/>
              </w:rPr>
            </w:pPr>
            <w:r w:rsidRPr="00AE5973">
              <w:rPr>
                <w:rStyle w:val="FormatvorlageInstructionsTabelleText"/>
                <w:rFonts w:ascii="Arial MT" w:hAnsi="Arial MT"/>
                <w:szCs w:val="20"/>
              </w:rPr>
              <w:t>0030</w:t>
            </w:r>
          </w:p>
          <w:p w14:paraId="16A4D8F0" w14:textId="77777777" w:rsidR="00147746" w:rsidRPr="00AE5973" w:rsidRDefault="00147746" w:rsidP="005508CC">
            <w:pPr>
              <w:pStyle w:val="InstructionsText"/>
              <w:rPr>
                <w:rStyle w:val="FormatvorlageInstructionsTabelleText"/>
                <w:rFonts w:ascii="Arial MT" w:hAnsi="Arial MT"/>
                <w:szCs w:val="20"/>
              </w:rPr>
            </w:pPr>
            <w:r w:rsidRPr="00AE5973">
              <w:rPr>
                <w:rStyle w:val="FormatvorlageInstructionsTabelleText"/>
                <w:rFonts w:ascii="Arial MT" w:hAnsi="Arial MT"/>
                <w:szCs w:val="20"/>
              </w:rPr>
              <w:t>0040</w:t>
            </w:r>
          </w:p>
        </w:tc>
        <w:tc>
          <w:tcPr>
            <w:tcW w:w="7620" w:type="dxa"/>
          </w:tcPr>
          <w:p w14:paraId="4D23212A"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Devises importantes 2, 3 et 4 (NII/EVE)</w:t>
            </w:r>
          </w:p>
          <w:p w14:paraId="57BC2804" w14:textId="77777777" w:rsidR="00147746" w:rsidRPr="00AE5973" w:rsidRDefault="00147746" w:rsidP="005508CC">
            <w:pPr>
              <w:pStyle w:val="InstructionsText"/>
              <w:rPr>
                <w:rStyle w:val="InstructionsTabelleberschrift"/>
                <w:rFonts w:ascii="Arial MT" w:hAnsi="Arial MT"/>
                <w:szCs w:val="20"/>
              </w:rPr>
            </w:pPr>
            <w:r w:rsidRPr="00AE5973">
              <w:rPr>
                <w:rFonts w:ascii="Arial MT" w:hAnsi="Arial MT"/>
                <w:sz w:val="20"/>
                <w:szCs w:val="20"/>
              </w:rPr>
              <w:t>L’établissement rapporte, le cas échéant, les trois devises les plus importantes, après l’Euro, utilisées pour l’évaluation de la sensibilité patrimoniale et de la sensibilité des revenus dans le cadre des tests prudentiels des valeurs aberrantes.</w:t>
            </w:r>
          </w:p>
        </w:tc>
      </w:tr>
      <w:tr w:rsidR="00147746" w:rsidRPr="00E34649" w14:paraId="1D1E87C3" w14:textId="77777777" w:rsidTr="00194EAE">
        <w:tc>
          <w:tcPr>
            <w:tcW w:w="1129" w:type="dxa"/>
          </w:tcPr>
          <w:p w14:paraId="131974DE"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0050</w:t>
            </w:r>
          </w:p>
        </w:tc>
        <w:tc>
          <w:tcPr>
            <w:tcW w:w="7620" w:type="dxa"/>
          </w:tcPr>
          <w:p w14:paraId="52A52E1B"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Autres devises importantes (NII/EVE)</w:t>
            </w:r>
          </w:p>
          <w:p w14:paraId="25E6AA43" w14:textId="77777777" w:rsidR="00147746" w:rsidRPr="00AE5973" w:rsidRDefault="00147746" w:rsidP="005508CC">
            <w:pPr>
              <w:pStyle w:val="InstructionsText"/>
              <w:rPr>
                <w:rStyle w:val="InstructionsTabelleberschrift"/>
                <w:rFonts w:ascii="Arial MT" w:hAnsi="Arial MT"/>
                <w:szCs w:val="20"/>
              </w:rPr>
            </w:pPr>
            <w:r w:rsidRPr="00AE5973">
              <w:rPr>
                <w:rFonts w:ascii="Arial MT" w:hAnsi="Arial MT"/>
                <w:sz w:val="20"/>
                <w:szCs w:val="20"/>
              </w:rPr>
              <w:t>L’établissement rapporte, le cas échéant, les autres devises les plus importantes utilisées pour l’évaluation de la sensibilité patrimoniale et de la sensibilité des revenus dans le cadre des tests prudentiels des valeurs aberrantes.</w:t>
            </w:r>
          </w:p>
        </w:tc>
      </w:tr>
      <w:tr w:rsidR="00147746" w:rsidRPr="00AE5973" w14:paraId="4F31A56F" w14:textId="77777777" w:rsidTr="00194EAE">
        <w:tc>
          <w:tcPr>
            <w:tcW w:w="1129" w:type="dxa"/>
          </w:tcPr>
          <w:p w14:paraId="374AF8E4"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0060</w:t>
            </w:r>
          </w:p>
        </w:tc>
        <w:tc>
          <w:tcPr>
            <w:tcW w:w="7620" w:type="dxa"/>
          </w:tcPr>
          <w:p w14:paraId="523B0D62"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Méthodologie (NII)</w:t>
            </w:r>
          </w:p>
          <w:p w14:paraId="3E7D382D"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la méthode utilisée pour l’évaluation de la sensibilité des revenus dans le cadre des tests prudentiels des valeurs aberrantes.</w:t>
            </w:r>
          </w:p>
          <w:p w14:paraId="64E0EC70"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Analyse de décalage de révision des taux </w:t>
            </w:r>
          </w:p>
          <w:p w14:paraId="23DB7994"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Méthode de revalorisation complète</w:t>
            </w:r>
          </w:p>
          <w:p w14:paraId="35D3E407"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Approche mixte</w:t>
            </w:r>
          </w:p>
          <w:p w14:paraId="1CDFC267"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Autre</w:t>
            </w:r>
          </w:p>
        </w:tc>
      </w:tr>
      <w:tr w:rsidR="00147746" w:rsidRPr="00AE5973" w14:paraId="389AFD66" w14:textId="77777777" w:rsidTr="00194EAE">
        <w:tc>
          <w:tcPr>
            <w:tcW w:w="1129" w:type="dxa"/>
          </w:tcPr>
          <w:p w14:paraId="3EA4801F"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0070</w:t>
            </w:r>
          </w:p>
        </w:tc>
        <w:tc>
          <w:tcPr>
            <w:tcW w:w="7620" w:type="dxa"/>
          </w:tcPr>
          <w:p w14:paraId="47D3F536"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Flux de trésorerie conditionnels (NII)</w:t>
            </w:r>
          </w:p>
          <w:p w14:paraId="2972EB31"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dans quelle mesure l’évaluation de la sensibilité des revenus dans le cadre des tests prudentiels des valeurs aberrantes se base sur des méthodes de modélisation des flux de trésorerie conditionnels.</w:t>
            </w:r>
          </w:p>
          <w:p w14:paraId="38B570B9"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Des méthodes de modélisation des flux de trésorerie conditionnels sont appliquées pour :</w:t>
            </w:r>
          </w:p>
          <w:p w14:paraId="23B22C58"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Tous les éléments matériels </w:t>
            </w:r>
          </w:p>
          <w:p w14:paraId="055BFC39"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Certains éléments matériels </w:t>
            </w:r>
          </w:p>
          <w:p w14:paraId="34E7B86D"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Non considérées</w:t>
            </w:r>
          </w:p>
        </w:tc>
      </w:tr>
      <w:tr w:rsidR="00147746" w:rsidRPr="00AE5973" w14:paraId="59552D7C" w14:textId="77777777" w:rsidTr="00194EAE">
        <w:tc>
          <w:tcPr>
            <w:tcW w:w="1129" w:type="dxa"/>
          </w:tcPr>
          <w:p w14:paraId="2CF7F6B1"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0080</w:t>
            </w:r>
          </w:p>
        </w:tc>
        <w:tc>
          <w:tcPr>
            <w:tcW w:w="7620" w:type="dxa"/>
          </w:tcPr>
          <w:p w14:paraId="3FBFA676"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Risque d’option (NII)</w:t>
            </w:r>
          </w:p>
          <w:p w14:paraId="3661E59E"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la méthode utilisée pour l’évaluation de la sensibilité des revenus dans le cadre des tests prudentiels des valeurs aberrantes évalue le risque d’option.</w:t>
            </w:r>
          </w:p>
          <w:p w14:paraId="64B2B5B0"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Considéré </w:t>
            </w:r>
          </w:p>
          <w:p w14:paraId="36F1123B" w14:textId="77777777" w:rsidR="00147746" w:rsidRPr="00AE5973" w:rsidRDefault="00147746" w:rsidP="005508CC">
            <w:pPr>
              <w:pStyle w:val="InstructionsText"/>
              <w:numPr>
                <w:ilvl w:val="0"/>
                <w:numId w:val="43"/>
              </w:numPr>
              <w:rPr>
                <w:rFonts w:ascii="Arial MT" w:hAnsi="Arial MT"/>
                <w:sz w:val="20"/>
                <w:szCs w:val="20"/>
                <w:lang w:val="en-US"/>
              </w:rPr>
            </w:pPr>
            <w:r w:rsidRPr="00AE5973">
              <w:rPr>
                <w:rFonts w:ascii="Arial MT" w:hAnsi="Arial MT"/>
                <w:sz w:val="20"/>
                <w:szCs w:val="20"/>
              </w:rPr>
              <w:t>Non considéré</w:t>
            </w:r>
          </w:p>
        </w:tc>
      </w:tr>
      <w:tr w:rsidR="00147746" w:rsidRPr="00AE5973" w14:paraId="41C57588" w14:textId="77777777" w:rsidTr="00194EAE">
        <w:tc>
          <w:tcPr>
            <w:tcW w:w="1129" w:type="dxa"/>
          </w:tcPr>
          <w:p w14:paraId="33BED5E6"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0090</w:t>
            </w:r>
          </w:p>
        </w:tc>
        <w:tc>
          <w:tcPr>
            <w:tcW w:w="7620" w:type="dxa"/>
          </w:tcPr>
          <w:p w14:paraId="3B20A8F4"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Risque de base (NII)</w:t>
            </w:r>
          </w:p>
          <w:p w14:paraId="6EFE6EA8"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la méthode utilisée pour l’évaluation de la sensibilité des revenus dans le cadre des tests prudentiels des valeurs aberrantes évalue le risque de base.</w:t>
            </w:r>
          </w:p>
          <w:p w14:paraId="31E810F4"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Considéré </w:t>
            </w:r>
          </w:p>
          <w:p w14:paraId="2EDF261A" w14:textId="77777777" w:rsidR="00147746" w:rsidRPr="00AE5973" w:rsidRDefault="00147746" w:rsidP="005508CC">
            <w:pPr>
              <w:pStyle w:val="InstructionsText"/>
              <w:numPr>
                <w:ilvl w:val="0"/>
                <w:numId w:val="43"/>
              </w:numPr>
              <w:rPr>
                <w:rFonts w:ascii="Arial MT" w:hAnsi="Arial MT"/>
                <w:sz w:val="20"/>
                <w:szCs w:val="20"/>
                <w:lang w:val="en-US"/>
              </w:rPr>
            </w:pPr>
            <w:r w:rsidRPr="00AE5973">
              <w:rPr>
                <w:rFonts w:ascii="Arial MT" w:hAnsi="Arial MT"/>
                <w:sz w:val="20"/>
                <w:szCs w:val="20"/>
              </w:rPr>
              <w:t>Non considéré</w:t>
            </w:r>
          </w:p>
        </w:tc>
      </w:tr>
      <w:tr w:rsidR="00147746" w:rsidRPr="00AE5973" w14:paraId="44D6A96C" w14:textId="77777777" w:rsidTr="00194EAE">
        <w:tc>
          <w:tcPr>
            <w:tcW w:w="1129" w:type="dxa"/>
          </w:tcPr>
          <w:p w14:paraId="4F3AC430"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0100</w:t>
            </w:r>
          </w:p>
        </w:tc>
        <w:tc>
          <w:tcPr>
            <w:tcW w:w="7620" w:type="dxa"/>
          </w:tcPr>
          <w:p w14:paraId="1C8540DA"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Méthodologie (EVE)</w:t>
            </w:r>
          </w:p>
          <w:p w14:paraId="3F15B5C0"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la méthode utilisée pour l’évaluation de la sensibilité patrimoniale dans le cadre des tests prudentiels des valeurs aberrantes.</w:t>
            </w:r>
          </w:p>
          <w:p w14:paraId="3EEA5653"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Analyse de décalage de révision des taux </w:t>
            </w:r>
          </w:p>
          <w:p w14:paraId="3EFE843F"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Méthode de revalorisation complète</w:t>
            </w:r>
          </w:p>
          <w:p w14:paraId="45243369"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Approche mixte</w:t>
            </w:r>
          </w:p>
          <w:p w14:paraId="18D52AC6"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Autre</w:t>
            </w:r>
          </w:p>
        </w:tc>
      </w:tr>
    </w:tbl>
    <w:p w14:paraId="0FC6B293" w14:textId="77777777" w:rsidR="00E27F33" w:rsidRDefault="00E27F33">
      <w:r>
        <w:br w:type="page"/>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35321346" w14:textId="77777777" w:rsidTr="00194EAE">
        <w:tc>
          <w:tcPr>
            <w:tcW w:w="1129" w:type="dxa"/>
          </w:tcPr>
          <w:p w14:paraId="7A2E769D" w14:textId="5803404D"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0110</w:t>
            </w:r>
          </w:p>
        </w:tc>
        <w:tc>
          <w:tcPr>
            <w:tcW w:w="7620" w:type="dxa"/>
          </w:tcPr>
          <w:p w14:paraId="638951D4"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Flux de trésorerie conditionnels (EVE)</w:t>
            </w:r>
          </w:p>
          <w:p w14:paraId="26152854"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dans quelle mesure l’évaluation de la sensibilité patrimoniale dans le cadre des tests prudentiels des valeurs aberrantes se base sur des méthodes de modélisation des flux de trésorerie conditionnels.</w:t>
            </w:r>
          </w:p>
          <w:p w14:paraId="14B8F117"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Des méthodes de modélisation des flux de trésorerie conditionnels sont appliquées pour :</w:t>
            </w:r>
          </w:p>
          <w:p w14:paraId="1605B947"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Tous les éléments matériels </w:t>
            </w:r>
          </w:p>
          <w:p w14:paraId="74A19BED"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Certains éléments matériels </w:t>
            </w:r>
          </w:p>
          <w:p w14:paraId="76E7C9B5"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Non considérées</w:t>
            </w:r>
          </w:p>
        </w:tc>
      </w:tr>
      <w:tr w:rsidR="00147746" w:rsidRPr="00AE5973" w14:paraId="5C4DD2A0" w14:textId="77777777" w:rsidTr="00194EAE">
        <w:tc>
          <w:tcPr>
            <w:tcW w:w="1129" w:type="dxa"/>
          </w:tcPr>
          <w:p w14:paraId="5D1A3B45"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0120</w:t>
            </w:r>
          </w:p>
        </w:tc>
        <w:tc>
          <w:tcPr>
            <w:tcW w:w="7620" w:type="dxa"/>
          </w:tcPr>
          <w:p w14:paraId="5260B3E9"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Risque d’option (EVE)</w:t>
            </w:r>
          </w:p>
          <w:p w14:paraId="62E2D66C"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la méthode utilisée pour l’évaluation de la sensibilité patrimoniale dans le cadre des tests prudentiels des valeurs aberrantes évalue le risque d’option.</w:t>
            </w:r>
          </w:p>
          <w:p w14:paraId="3348D2D7"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Considéré </w:t>
            </w:r>
          </w:p>
          <w:p w14:paraId="0BCD4146" w14:textId="77777777" w:rsidR="00147746" w:rsidRPr="00AE5973" w:rsidRDefault="00147746" w:rsidP="005508CC">
            <w:pPr>
              <w:pStyle w:val="InstructionsText"/>
              <w:numPr>
                <w:ilvl w:val="0"/>
                <w:numId w:val="43"/>
              </w:numPr>
              <w:rPr>
                <w:rFonts w:ascii="Arial MT" w:hAnsi="Arial MT"/>
                <w:sz w:val="20"/>
                <w:szCs w:val="20"/>
                <w:lang w:val="en-GB"/>
              </w:rPr>
            </w:pPr>
            <w:r w:rsidRPr="00AE5973">
              <w:rPr>
                <w:rFonts w:ascii="Arial MT" w:hAnsi="Arial MT"/>
                <w:sz w:val="20"/>
                <w:szCs w:val="20"/>
              </w:rPr>
              <w:t>Non considéré</w:t>
            </w:r>
          </w:p>
        </w:tc>
      </w:tr>
      <w:tr w:rsidR="00147746" w:rsidRPr="00AE5973" w14:paraId="0A5BEDA3" w14:textId="77777777" w:rsidTr="00194EAE">
        <w:tc>
          <w:tcPr>
            <w:tcW w:w="1129" w:type="dxa"/>
          </w:tcPr>
          <w:p w14:paraId="309626CF"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0130</w:t>
            </w:r>
          </w:p>
        </w:tc>
        <w:tc>
          <w:tcPr>
            <w:tcW w:w="7620" w:type="dxa"/>
          </w:tcPr>
          <w:p w14:paraId="0B5B8F25"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Risque de base (EVE)</w:t>
            </w:r>
          </w:p>
          <w:p w14:paraId="528F3DE8"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la méthode utilisée pour mesurer la sensibilité patrimoniale dans le cadre des tests prudentiels des valeurs aberrantes évalue le risque de base.</w:t>
            </w:r>
          </w:p>
          <w:p w14:paraId="5C46C159"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 xml:space="preserve">Considéré </w:t>
            </w:r>
          </w:p>
          <w:p w14:paraId="21746BE5" w14:textId="77777777" w:rsidR="00147746" w:rsidRPr="00AE5973" w:rsidRDefault="00147746" w:rsidP="005508CC">
            <w:pPr>
              <w:pStyle w:val="InstructionsText"/>
              <w:numPr>
                <w:ilvl w:val="0"/>
                <w:numId w:val="43"/>
              </w:numPr>
              <w:rPr>
                <w:rFonts w:ascii="Arial MT" w:hAnsi="Arial MT"/>
                <w:sz w:val="20"/>
                <w:szCs w:val="20"/>
                <w:lang w:val="en-US"/>
              </w:rPr>
            </w:pPr>
            <w:r w:rsidRPr="00AE5973">
              <w:rPr>
                <w:rFonts w:ascii="Arial MT" w:hAnsi="Arial MT"/>
                <w:sz w:val="20"/>
                <w:szCs w:val="20"/>
              </w:rPr>
              <w:t>Non considéré</w:t>
            </w:r>
          </w:p>
        </w:tc>
      </w:tr>
      <w:tr w:rsidR="00147746" w:rsidRPr="00AE5973" w14:paraId="46607635" w14:textId="77777777" w:rsidTr="00194EAE">
        <w:tc>
          <w:tcPr>
            <w:tcW w:w="1129" w:type="dxa"/>
          </w:tcPr>
          <w:p w14:paraId="03B83799"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0140</w:t>
            </w:r>
          </w:p>
        </w:tc>
        <w:tc>
          <w:tcPr>
            <w:tcW w:w="7620" w:type="dxa"/>
          </w:tcPr>
          <w:p w14:paraId="4D399098"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Marges commerciales et autres composantes de marge (EVE)</w:t>
            </w:r>
          </w:p>
          <w:p w14:paraId="346CF0E9"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les marges commerciales et autres composantes de marge sont considérées dans la méthode mise en œuvre pour mesurer la sensibilité patrimoniale dans le cadre des tests prudentiels des valeurs aberrantes.</w:t>
            </w:r>
          </w:p>
          <w:p w14:paraId="5262DE61"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Inclus</w:t>
            </w:r>
          </w:p>
          <w:p w14:paraId="35FA10DF"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Exclus</w:t>
            </w:r>
          </w:p>
          <w:p w14:paraId="5566087D"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sidRPr="00AE5973">
              <w:rPr>
                <w:rFonts w:ascii="Arial MT" w:hAnsi="Arial MT"/>
                <w:sz w:val="20"/>
                <w:szCs w:val="20"/>
              </w:rPr>
              <w:t>Pas applicable</w:t>
            </w:r>
          </w:p>
        </w:tc>
      </w:tr>
      <w:tr w:rsidR="00147746" w:rsidRPr="00AE5973" w14:paraId="3D608C41" w14:textId="77777777" w:rsidTr="00194EAE">
        <w:tc>
          <w:tcPr>
            <w:tcW w:w="1129" w:type="dxa"/>
          </w:tcPr>
          <w:p w14:paraId="7DA39E13"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0150</w:t>
            </w:r>
          </w:p>
        </w:tc>
        <w:tc>
          <w:tcPr>
            <w:tcW w:w="7620" w:type="dxa"/>
          </w:tcPr>
          <w:p w14:paraId="08F44268"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Frais de pénalité pour remboursements anticipés des prêts (NII)</w:t>
            </w:r>
          </w:p>
          <w:p w14:paraId="1DA43ADE"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des frais de pénalité pour remboursements anticipés des prêts sont considérés dans la méthode mise en œuvre pour mesurer la sensibilité des revenus dans le cadre des tests prudentiels des valeurs aberrantes.</w:t>
            </w:r>
          </w:p>
          <w:p w14:paraId="40731B22"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Inclus</w:t>
            </w:r>
          </w:p>
          <w:p w14:paraId="1AE4C1F1"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Exclus</w:t>
            </w:r>
          </w:p>
          <w:p w14:paraId="54F1052E"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sidRPr="00AE5973">
              <w:rPr>
                <w:rFonts w:ascii="Arial MT" w:hAnsi="Arial MT"/>
                <w:sz w:val="20"/>
                <w:szCs w:val="20"/>
              </w:rPr>
              <w:t>Pas applicable</w:t>
            </w:r>
          </w:p>
        </w:tc>
      </w:tr>
      <w:tr w:rsidR="00147746" w:rsidRPr="00AE5973" w14:paraId="23F6BE5C" w14:textId="77777777" w:rsidTr="00194EAE">
        <w:tc>
          <w:tcPr>
            <w:tcW w:w="1129" w:type="dxa"/>
          </w:tcPr>
          <w:p w14:paraId="3BF16B96"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0160</w:t>
            </w:r>
          </w:p>
        </w:tc>
        <w:tc>
          <w:tcPr>
            <w:tcW w:w="7620" w:type="dxa"/>
          </w:tcPr>
          <w:p w14:paraId="37B92864"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Engagements de retraite et actifs liés (EVE)</w:t>
            </w:r>
          </w:p>
          <w:p w14:paraId="554F686E"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les engagements de retraite et les actifs liés sont considérés dans la méthode mise en œuvre pour mesurer la sensibilité patrimoniale dans le cadre des tests prudentiels des valeurs aberrantes.</w:t>
            </w:r>
          </w:p>
          <w:p w14:paraId="62663793"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u w:val="none"/>
                <w:lang w:val="en-US"/>
              </w:rPr>
            </w:pPr>
            <w:proofErr w:type="spellStart"/>
            <w:r w:rsidRPr="00AE5973">
              <w:rPr>
                <w:rStyle w:val="InstructionsTabelleberschrift"/>
                <w:rFonts w:ascii="Arial MT" w:hAnsi="Arial MT"/>
                <w:b w:val="0"/>
                <w:bCs w:val="0"/>
                <w:szCs w:val="20"/>
                <w:u w:val="none"/>
                <w:lang w:val="en-US"/>
              </w:rPr>
              <w:t>Inclus</w:t>
            </w:r>
            <w:proofErr w:type="spellEnd"/>
          </w:p>
          <w:p w14:paraId="066EE6A9"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u w:val="none"/>
              </w:rPr>
            </w:pPr>
            <w:proofErr w:type="spellStart"/>
            <w:r w:rsidRPr="00AE5973">
              <w:rPr>
                <w:rStyle w:val="InstructionsTabelleberschrift"/>
                <w:rFonts w:ascii="Arial MT" w:hAnsi="Arial MT"/>
                <w:b w:val="0"/>
                <w:bCs w:val="0"/>
                <w:szCs w:val="20"/>
                <w:u w:val="none"/>
                <w:lang w:val="en-US"/>
              </w:rPr>
              <w:t>Exclus</w:t>
            </w:r>
            <w:proofErr w:type="spellEnd"/>
          </w:p>
          <w:p w14:paraId="67939638"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sidRPr="00AE5973">
              <w:rPr>
                <w:rStyle w:val="InstructionsTabelleberschrift"/>
                <w:rFonts w:ascii="Arial MT" w:hAnsi="Arial MT"/>
                <w:b w:val="0"/>
                <w:bCs w:val="0"/>
                <w:szCs w:val="20"/>
                <w:u w:val="none"/>
                <w:lang w:val="en-US"/>
              </w:rPr>
              <w:t>Pas applicable</w:t>
            </w:r>
          </w:p>
        </w:tc>
      </w:tr>
    </w:tbl>
    <w:p w14:paraId="041B37A7" w14:textId="77777777" w:rsidR="00E27F33" w:rsidRDefault="00E27F33">
      <w:r>
        <w:br w:type="page"/>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1086B509" w14:textId="77777777" w:rsidTr="00194EAE">
        <w:tc>
          <w:tcPr>
            <w:tcW w:w="1129" w:type="dxa"/>
          </w:tcPr>
          <w:p w14:paraId="4BF184FF" w14:textId="54BD7AC2"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0170</w:t>
            </w:r>
          </w:p>
        </w:tc>
        <w:tc>
          <w:tcPr>
            <w:tcW w:w="7620" w:type="dxa"/>
          </w:tcPr>
          <w:p w14:paraId="0B87FF9C"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Expositions non performantes (EVE)</w:t>
            </w:r>
          </w:p>
          <w:p w14:paraId="7B65B665"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les expositions non performantes sont incluses dans la méthode mise en œuvre pour mesurer la sensibilité patrimoniale dans le cadre des tests prudentiels des valeurs aberrantes.</w:t>
            </w:r>
          </w:p>
          <w:p w14:paraId="08133FC6"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Incluses</w:t>
            </w:r>
          </w:p>
          <w:p w14:paraId="658244CD"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Exclues</w:t>
            </w:r>
          </w:p>
          <w:p w14:paraId="51965D50"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sidRPr="00AE5973">
              <w:rPr>
                <w:rFonts w:ascii="Arial MT" w:hAnsi="Arial MT"/>
                <w:sz w:val="20"/>
                <w:szCs w:val="20"/>
              </w:rPr>
              <w:t>Pas applicable</w:t>
            </w:r>
          </w:p>
        </w:tc>
      </w:tr>
      <w:tr w:rsidR="00147746" w:rsidRPr="00AE5973" w14:paraId="68B0B113" w14:textId="77777777" w:rsidTr="00194EAE">
        <w:tc>
          <w:tcPr>
            <w:tcW w:w="1129" w:type="dxa"/>
          </w:tcPr>
          <w:p w14:paraId="1ADBCE1F"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0180</w:t>
            </w:r>
          </w:p>
        </w:tc>
        <w:tc>
          <w:tcPr>
            <w:tcW w:w="7620" w:type="dxa"/>
          </w:tcPr>
          <w:p w14:paraId="7D7F4969" w14:textId="77777777" w:rsidR="00147746" w:rsidRPr="00AE5973" w:rsidRDefault="00147746" w:rsidP="005508CC">
            <w:pPr>
              <w:pStyle w:val="InstructionsText"/>
              <w:rPr>
                <w:rStyle w:val="InstructionsTabelleberschrift"/>
                <w:rFonts w:ascii="Arial MT" w:hAnsi="Arial MT"/>
                <w:szCs w:val="20"/>
              </w:rPr>
            </w:pPr>
            <w:r w:rsidRPr="00AE5973">
              <w:rPr>
                <w:rStyle w:val="InstructionsTabelleberschrift"/>
                <w:rFonts w:ascii="Arial MT" w:hAnsi="Arial MT"/>
                <w:szCs w:val="20"/>
              </w:rPr>
              <w:t>Engagements de prêts à taux fixe (EVE/NII)</w:t>
            </w:r>
          </w:p>
          <w:p w14:paraId="17302C4B"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les engagements de prêts à taux fixe sont inclus dans les méthodes mises en œuvre pour mesurer la sensibilité patrimoniale et la sensibilité des revenus dans le cadre des tests prudentiels des valeurs aberrantes.</w:t>
            </w:r>
          </w:p>
          <w:p w14:paraId="2E20097F"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Inclus</w:t>
            </w:r>
          </w:p>
          <w:p w14:paraId="1E191538"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Exclus</w:t>
            </w:r>
          </w:p>
          <w:p w14:paraId="434FD524"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sidRPr="00AE5973">
              <w:rPr>
                <w:rFonts w:ascii="Arial MT" w:hAnsi="Arial MT"/>
                <w:sz w:val="20"/>
                <w:szCs w:val="20"/>
              </w:rPr>
              <w:t>Pas applicable</w:t>
            </w:r>
          </w:p>
        </w:tc>
      </w:tr>
      <w:tr w:rsidR="00147746" w:rsidRPr="00AE5973" w14:paraId="3298D047" w14:textId="77777777" w:rsidTr="00194EAE">
        <w:tc>
          <w:tcPr>
            <w:tcW w:w="1129" w:type="dxa"/>
          </w:tcPr>
          <w:p w14:paraId="5D860E6D"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0190</w:t>
            </w:r>
          </w:p>
        </w:tc>
        <w:tc>
          <w:tcPr>
            <w:tcW w:w="7620" w:type="dxa"/>
          </w:tcPr>
          <w:p w14:paraId="7AE45458" w14:textId="77777777" w:rsidR="00147746" w:rsidRPr="00437FA4" w:rsidRDefault="00147746" w:rsidP="005508CC">
            <w:pPr>
              <w:pStyle w:val="InstructionsText"/>
              <w:rPr>
                <w:rFonts w:ascii="Arial MT" w:hAnsi="Arial MT"/>
                <w:b/>
                <w:bCs/>
                <w:sz w:val="20"/>
                <w:szCs w:val="20"/>
                <w:u w:val="single"/>
              </w:rPr>
            </w:pPr>
            <w:r w:rsidRPr="00437FA4">
              <w:rPr>
                <w:rFonts w:ascii="Arial MT" w:hAnsi="Arial MT"/>
                <w:b/>
                <w:bCs/>
                <w:sz w:val="20"/>
                <w:szCs w:val="20"/>
                <w:u w:val="single"/>
              </w:rPr>
              <w:t>Risque de remboursement anticipé (EVE/NII)</w:t>
            </w:r>
          </w:p>
          <w:p w14:paraId="2484B1A0"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le risque de remboursement anticipé pour les activités de commerce de détail est évalué par les méthodes mises en œuvre pour mesurer la sensibilité patrimoniale et la sensibilité des revenus dans le cadre des tests prudentiels des valeurs aberrantes.</w:t>
            </w:r>
          </w:p>
          <w:p w14:paraId="119F1222"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Inclus</w:t>
            </w:r>
          </w:p>
          <w:p w14:paraId="1E874F03"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Exclus</w:t>
            </w:r>
          </w:p>
          <w:p w14:paraId="47EEE375"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sidRPr="00AE5973">
              <w:rPr>
                <w:rFonts w:ascii="Arial MT" w:hAnsi="Arial MT"/>
                <w:sz w:val="20"/>
                <w:szCs w:val="20"/>
              </w:rPr>
              <w:t>Pas applicable</w:t>
            </w:r>
          </w:p>
        </w:tc>
      </w:tr>
      <w:tr w:rsidR="00147746" w:rsidRPr="00AE5973" w14:paraId="51B041B6" w14:textId="77777777" w:rsidTr="00194EAE">
        <w:tc>
          <w:tcPr>
            <w:tcW w:w="1129" w:type="dxa"/>
          </w:tcPr>
          <w:p w14:paraId="2B7B064A" w14:textId="77777777" w:rsidR="00147746" w:rsidRPr="00AE5973" w:rsidRDefault="00147746" w:rsidP="005508CC">
            <w:pPr>
              <w:pStyle w:val="InstructionsText"/>
              <w:rPr>
                <w:rStyle w:val="FormatvorlageInstructionsTabelleText"/>
                <w:rFonts w:ascii="Arial MT" w:hAnsi="Arial MT"/>
                <w:szCs w:val="20"/>
                <w:lang w:eastAsia="en-US"/>
              </w:rPr>
            </w:pPr>
            <w:r w:rsidRPr="00AE5973">
              <w:rPr>
                <w:rStyle w:val="FormatvorlageInstructionsTabelleText"/>
                <w:rFonts w:ascii="Arial MT" w:hAnsi="Arial MT"/>
                <w:szCs w:val="20"/>
              </w:rPr>
              <w:t>0200</w:t>
            </w:r>
          </w:p>
        </w:tc>
        <w:tc>
          <w:tcPr>
            <w:tcW w:w="7620" w:type="dxa"/>
          </w:tcPr>
          <w:p w14:paraId="29AD1E33" w14:textId="77777777" w:rsidR="00147746" w:rsidRPr="00437FA4" w:rsidRDefault="00147746" w:rsidP="005508CC">
            <w:pPr>
              <w:pStyle w:val="InstructionsText"/>
              <w:rPr>
                <w:rFonts w:ascii="Arial MT" w:hAnsi="Arial MT"/>
                <w:b/>
                <w:bCs/>
                <w:sz w:val="20"/>
                <w:szCs w:val="20"/>
                <w:u w:val="single"/>
              </w:rPr>
            </w:pPr>
            <w:r w:rsidRPr="00437FA4">
              <w:rPr>
                <w:rFonts w:ascii="Arial MT" w:hAnsi="Arial MT"/>
                <w:b/>
                <w:bCs/>
                <w:sz w:val="20"/>
                <w:szCs w:val="20"/>
                <w:u w:val="single"/>
              </w:rPr>
              <w:t>Risque de rachat anticipé (EVE/NII)</w:t>
            </w:r>
          </w:p>
          <w:p w14:paraId="716C51C8"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si le risque de rachat anticipé pour les activités de commerce de détail est évalué par les méthodes mises en œuvre pour mesurer la sensibilité patrimoniale et la sensibilité des revenus dans le cadre des tests prudentiels des valeurs aberrantes.</w:t>
            </w:r>
          </w:p>
          <w:p w14:paraId="638A5BE4"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Inclus</w:t>
            </w:r>
          </w:p>
          <w:p w14:paraId="4DF42BF2"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Exclus</w:t>
            </w:r>
          </w:p>
          <w:p w14:paraId="2B46AEE5"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sidRPr="00AE5973">
              <w:rPr>
                <w:rFonts w:ascii="Arial MT" w:hAnsi="Arial MT"/>
                <w:sz w:val="20"/>
                <w:szCs w:val="20"/>
              </w:rPr>
              <w:t>Pas applicable</w:t>
            </w:r>
          </w:p>
        </w:tc>
      </w:tr>
      <w:tr w:rsidR="00147746" w:rsidRPr="00AE5973" w14:paraId="680E0779" w14:textId="77777777" w:rsidTr="00194EAE">
        <w:tc>
          <w:tcPr>
            <w:tcW w:w="1129" w:type="dxa"/>
          </w:tcPr>
          <w:p w14:paraId="71D5B7A2" w14:textId="77777777" w:rsidR="00147746" w:rsidRPr="00AE5973" w:rsidRDefault="00147746" w:rsidP="005508CC">
            <w:pPr>
              <w:pStyle w:val="InstructionsText"/>
              <w:rPr>
                <w:rStyle w:val="FormatvorlageInstructionsTabelleText"/>
                <w:rFonts w:ascii="Arial MT" w:hAnsi="Arial MT"/>
                <w:szCs w:val="20"/>
              </w:rPr>
            </w:pPr>
            <w:r w:rsidRPr="00AE5973">
              <w:rPr>
                <w:rStyle w:val="FormatvorlageInstructionsTabelleText"/>
                <w:rFonts w:ascii="Arial MT" w:hAnsi="Arial MT"/>
                <w:szCs w:val="20"/>
              </w:rPr>
              <w:t>0210</w:t>
            </w:r>
          </w:p>
        </w:tc>
        <w:tc>
          <w:tcPr>
            <w:tcW w:w="7620" w:type="dxa"/>
          </w:tcPr>
          <w:p w14:paraId="2EF2BDDC" w14:textId="77777777" w:rsidR="00147746" w:rsidRPr="00437FA4" w:rsidRDefault="00147746" w:rsidP="005508CC">
            <w:pPr>
              <w:pStyle w:val="InstructionsText"/>
              <w:rPr>
                <w:rFonts w:ascii="Arial MT" w:hAnsi="Arial MT"/>
                <w:b/>
                <w:bCs/>
                <w:sz w:val="20"/>
                <w:szCs w:val="20"/>
                <w:u w:val="single"/>
              </w:rPr>
            </w:pPr>
            <w:r w:rsidRPr="00437FA4">
              <w:rPr>
                <w:rFonts w:ascii="Arial MT" w:hAnsi="Arial MT"/>
                <w:b/>
                <w:bCs/>
                <w:sz w:val="20"/>
                <w:szCs w:val="20"/>
                <w:u w:val="single"/>
              </w:rPr>
              <w:t>Modélisation des dépôts sans échéance contractuelle (EVE/NII)</w:t>
            </w:r>
          </w:p>
          <w:p w14:paraId="316A6C13"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l’approche mise en œuvre pour déterminer la date de révision des taux comportementale des dépôts sans échéance contractuelle. </w:t>
            </w:r>
          </w:p>
          <w:p w14:paraId="37A4D469"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Modèle de série chronologique (BCBS/EBA stable/non-stable/approche PTR)</w:t>
            </w:r>
          </w:p>
          <w:p w14:paraId="497591AB"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Portefeuille de réplication</w:t>
            </w:r>
          </w:p>
          <w:p w14:paraId="3E621893"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Modèles économiques (modélisation de l’allocation du patrimoine financier aux dépôts sans échéance contractuelle ou investissements alternatifs selon différents scénarios de marché et facteurs économiques)</w:t>
            </w:r>
          </w:p>
          <w:p w14:paraId="545595DE"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Jugement expert</w:t>
            </w:r>
          </w:p>
          <w:p w14:paraId="72635703" w14:textId="77777777" w:rsidR="00147746" w:rsidRPr="00AE5973" w:rsidRDefault="00147746" w:rsidP="005508CC">
            <w:pPr>
              <w:pStyle w:val="InstructionsText"/>
              <w:numPr>
                <w:ilvl w:val="0"/>
                <w:numId w:val="43"/>
              </w:numPr>
              <w:rPr>
                <w:rFonts w:ascii="Arial MT" w:hAnsi="Arial MT"/>
                <w:sz w:val="20"/>
                <w:szCs w:val="20"/>
              </w:rPr>
            </w:pPr>
            <w:r w:rsidRPr="00AE5973">
              <w:rPr>
                <w:rFonts w:ascii="Arial MT" w:hAnsi="Arial MT"/>
                <w:sz w:val="20"/>
                <w:szCs w:val="20"/>
              </w:rPr>
              <w:t>Autre</w:t>
            </w:r>
          </w:p>
        </w:tc>
      </w:tr>
    </w:tbl>
    <w:p w14:paraId="692E7733" w14:textId="77777777" w:rsidR="00E27F33" w:rsidRDefault="00E27F33">
      <w:r>
        <w:br w:type="page"/>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1D3C8914" w14:textId="77777777" w:rsidTr="00194EAE">
        <w:tc>
          <w:tcPr>
            <w:tcW w:w="1129" w:type="dxa"/>
          </w:tcPr>
          <w:p w14:paraId="7D4190AF" w14:textId="2332A69C" w:rsidR="00147746" w:rsidRPr="00AE5973" w:rsidRDefault="00147746" w:rsidP="005508CC">
            <w:pPr>
              <w:pStyle w:val="InstructionsText"/>
              <w:rPr>
                <w:rStyle w:val="FormatvorlageInstructionsTabelleText"/>
                <w:rFonts w:ascii="Arial MT" w:hAnsi="Arial MT"/>
                <w:szCs w:val="20"/>
              </w:rPr>
            </w:pPr>
            <w:r w:rsidRPr="00AE5973">
              <w:rPr>
                <w:rStyle w:val="FormatvorlageInstructionsTabelleText"/>
                <w:rFonts w:ascii="Arial MT" w:hAnsi="Arial MT"/>
                <w:szCs w:val="20"/>
              </w:rPr>
              <w:t>0220</w:t>
            </w:r>
          </w:p>
        </w:tc>
        <w:tc>
          <w:tcPr>
            <w:tcW w:w="7620" w:type="dxa"/>
          </w:tcPr>
          <w:p w14:paraId="575880B6" w14:textId="5022B04B" w:rsidR="00147746" w:rsidRPr="00133E60" w:rsidRDefault="006D5E08" w:rsidP="005508CC">
            <w:pPr>
              <w:pStyle w:val="InstructionsText"/>
              <w:rPr>
                <w:rFonts w:ascii="Arial MT" w:hAnsi="Arial MT"/>
                <w:b/>
                <w:bCs/>
                <w:sz w:val="20"/>
                <w:szCs w:val="20"/>
                <w:u w:val="single"/>
              </w:rPr>
            </w:pPr>
            <w:r>
              <w:rPr>
                <w:rFonts w:ascii="Arial MT" w:hAnsi="Arial MT"/>
                <w:b/>
                <w:bCs/>
                <w:sz w:val="20"/>
                <w:szCs w:val="20"/>
                <w:u w:val="single"/>
              </w:rPr>
              <w:t>C</w:t>
            </w:r>
            <w:r w:rsidR="00147746" w:rsidRPr="00133E60">
              <w:rPr>
                <w:rFonts w:ascii="Arial MT" w:hAnsi="Arial MT"/>
                <w:b/>
                <w:bCs/>
                <w:sz w:val="20"/>
                <w:szCs w:val="20"/>
                <w:u w:val="single"/>
              </w:rPr>
              <w:t>lassement des soldes de base</w:t>
            </w:r>
          </w:p>
          <w:p w14:paraId="794E98C3" w14:textId="77777777" w:rsidR="00147746" w:rsidRPr="00AE5973" w:rsidRDefault="00147746" w:rsidP="005508CC">
            <w:pPr>
              <w:pStyle w:val="InstructionsText"/>
              <w:rPr>
                <w:rFonts w:ascii="Arial MT" w:hAnsi="Arial MT"/>
                <w:sz w:val="20"/>
                <w:szCs w:val="20"/>
              </w:rPr>
            </w:pPr>
            <w:r w:rsidRPr="00AE5973">
              <w:rPr>
                <w:rFonts w:ascii="Arial MT" w:hAnsi="Arial MT"/>
                <w:sz w:val="20"/>
                <w:szCs w:val="20"/>
              </w:rPr>
              <w:t>L’établissement indique l’approche mise en œuvre pour le classement des soldes de dépôts sans échéance contractuelle de base.</w:t>
            </w:r>
          </w:p>
          <w:p w14:paraId="57475817" w14:textId="77777777" w:rsidR="00147746" w:rsidRPr="00AE5973" w:rsidRDefault="00147746" w:rsidP="00147746">
            <w:pPr>
              <w:pStyle w:val="ListParagraph"/>
              <w:widowControl/>
              <w:numPr>
                <w:ilvl w:val="0"/>
                <w:numId w:val="43"/>
              </w:numPr>
              <w:autoSpaceDE/>
              <w:autoSpaceDN/>
              <w:spacing w:after="120"/>
              <w:rPr>
                <w:b/>
                <w:bCs/>
                <w:sz w:val="20"/>
                <w:szCs w:val="20"/>
                <w:lang w:val="fr-BE"/>
              </w:rPr>
            </w:pPr>
            <w:r w:rsidRPr="00AE5973">
              <w:rPr>
                <w:sz w:val="20"/>
                <w:szCs w:val="20"/>
                <w:lang w:val="fr-BE"/>
              </w:rPr>
              <w:t>Tous les soldes de dépôts sans échéance contractuelle de base sont alloués à la même date de révision des taux.</w:t>
            </w:r>
          </w:p>
          <w:p w14:paraId="670B4FE2" w14:textId="77777777" w:rsidR="00147746" w:rsidRPr="00AE5973" w:rsidRDefault="00147746" w:rsidP="00147746">
            <w:pPr>
              <w:pStyle w:val="ListParagraph"/>
              <w:widowControl/>
              <w:numPr>
                <w:ilvl w:val="0"/>
                <w:numId w:val="43"/>
              </w:numPr>
              <w:autoSpaceDE/>
              <w:autoSpaceDN/>
              <w:spacing w:after="120"/>
              <w:rPr>
                <w:b/>
                <w:bCs/>
                <w:sz w:val="20"/>
                <w:szCs w:val="20"/>
                <w:lang w:val="fr-BE"/>
              </w:rPr>
            </w:pPr>
            <w:r w:rsidRPr="00AE5973">
              <w:rPr>
                <w:sz w:val="20"/>
                <w:szCs w:val="20"/>
                <w:lang w:val="fr-BE"/>
              </w:rPr>
              <w:t>Les soldes de dépôts sans échéance contractuelle de base sont alloués à différentes dates de révision des taux.</w:t>
            </w:r>
          </w:p>
          <w:p w14:paraId="38046FA9" w14:textId="77777777" w:rsidR="00147746" w:rsidRPr="00AE5973" w:rsidRDefault="00147746" w:rsidP="00147746">
            <w:pPr>
              <w:pStyle w:val="ListParagraph"/>
              <w:widowControl/>
              <w:numPr>
                <w:ilvl w:val="0"/>
                <w:numId w:val="43"/>
              </w:numPr>
              <w:autoSpaceDE/>
              <w:autoSpaceDN/>
              <w:spacing w:after="120"/>
              <w:rPr>
                <w:b/>
                <w:bCs/>
                <w:sz w:val="20"/>
                <w:szCs w:val="20"/>
                <w:lang w:val="fr-BE"/>
              </w:rPr>
            </w:pPr>
            <w:r w:rsidRPr="00AE5973">
              <w:rPr>
                <w:sz w:val="20"/>
                <w:szCs w:val="20"/>
                <w:lang w:val="fr-BE"/>
              </w:rPr>
              <w:t>Pas applicable</w:t>
            </w:r>
          </w:p>
        </w:tc>
      </w:tr>
      <w:tr w:rsidR="00147746" w:rsidRPr="00AE5973" w14:paraId="59A8E054" w14:textId="77777777" w:rsidTr="00194EAE">
        <w:tc>
          <w:tcPr>
            <w:tcW w:w="1129" w:type="dxa"/>
          </w:tcPr>
          <w:p w14:paraId="36638036" w14:textId="77777777" w:rsidR="00147746" w:rsidRPr="00AE5973" w:rsidRDefault="00147746" w:rsidP="005508CC">
            <w:pPr>
              <w:pStyle w:val="InstructionsText"/>
              <w:rPr>
                <w:rStyle w:val="FormatvorlageInstructionsTabelleText"/>
                <w:rFonts w:ascii="Arial MT" w:hAnsi="Arial MT"/>
                <w:szCs w:val="20"/>
              </w:rPr>
            </w:pPr>
            <w:r w:rsidRPr="00AE5973">
              <w:rPr>
                <w:rStyle w:val="FormatvorlageInstructionsTabelleText"/>
                <w:rFonts w:ascii="Arial MT" w:hAnsi="Arial MT"/>
                <w:szCs w:val="20"/>
              </w:rPr>
              <w:t>0230</w:t>
            </w:r>
          </w:p>
        </w:tc>
        <w:tc>
          <w:tcPr>
            <w:tcW w:w="7620" w:type="dxa"/>
          </w:tcPr>
          <w:p w14:paraId="223A5715" w14:textId="7053747A" w:rsidR="00147746" w:rsidRPr="00AE5973" w:rsidRDefault="00147746" w:rsidP="005508CC">
            <w:pPr>
              <w:pStyle w:val="InstructionsText"/>
              <w:rPr>
                <w:rFonts w:ascii="Arial MT" w:hAnsi="Arial MT"/>
                <w:b/>
                <w:bCs/>
                <w:sz w:val="20"/>
                <w:szCs w:val="20"/>
                <w:u w:val="single"/>
              </w:rPr>
            </w:pPr>
            <w:r w:rsidRPr="00AE5973">
              <w:rPr>
                <w:rFonts w:ascii="Arial MT" w:hAnsi="Arial MT"/>
                <w:b/>
                <w:bCs/>
                <w:sz w:val="20"/>
                <w:szCs w:val="20"/>
                <w:u w:val="single"/>
              </w:rPr>
              <w:t xml:space="preserve">Modélisation des dépôts </w:t>
            </w:r>
            <w:r w:rsidR="005A0B2B">
              <w:rPr>
                <w:rFonts w:ascii="Arial MT" w:hAnsi="Arial MT"/>
                <w:b/>
                <w:bCs/>
                <w:sz w:val="20"/>
                <w:szCs w:val="20"/>
                <w:u w:val="single"/>
              </w:rPr>
              <w:t xml:space="preserve">opérationnels </w:t>
            </w:r>
            <w:r w:rsidRPr="00AE5973">
              <w:rPr>
                <w:rFonts w:ascii="Arial MT" w:hAnsi="Arial MT"/>
                <w:b/>
                <w:bCs/>
                <w:sz w:val="20"/>
                <w:szCs w:val="20"/>
                <w:u w:val="single"/>
              </w:rPr>
              <w:t>sans échéance contractuelle de clients financiers</w:t>
            </w:r>
          </w:p>
          <w:p w14:paraId="332B94B3" w14:textId="77777777" w:rsidR="00147746" w:rsidRPr="00AE5973" w:rsidRDefault="00147746" w:rsidP="00194EAE">
            <w:pPr>
              <w:rPr>
                <w:rFonts w:ascii="Arial MT" w:hAnsi="Arial MT"/>
                <w:lang w:val="fr-BE"/>
              </w:rPr>
            </w:pPr>
            <w:r w:rsidRPr="00AE5973">
              <w:rPr>
                <w:rFonts w:ascii="Arial MT" w:hAnsi="Arial MT"/>
                <w:lang w:val="fr-BE"/>
              </w:rPr>
              <w:t>L’établissement indique si les dépôts opérationnels de clients financiers au sens de l’article 27(1)(a) du règlement délégué (UE) 2015/61 de la Commission en ce qui concerne l’exigence de couverture des besoins de liquidité pour les établissements de crédit, font l’objet d’une modélisation comportementale.</w:t>
            </w:r>
          </w:p>
          <w:p w14:paraId="29F4693A" w14:textId="77777777" w:rsidR="00147746" w:rsidRPr="00AE5973" w:rsidRDefault="00147746" w:rsidP="00147746">
            <w:pPr>
              <w:pStyle w:val="ListParagraph"/>
              <w:widowControl/>
              <w:numPr>
                <w:ilvl w:val="0"/>
                <w:numId w:val="43"/>
              </w:numPr>
              <w:autoSpaceDE/>
              <w:autoSpaceDN/>
              <w:spacing w:after="120"/>
              <w:rPr>
                <w:sz w:val="20"/>
                <w:szCs w:val="20"/>
              </w:rPr>
            </w:pPr>
            <w:r w:rsidRPr="00AE5973">
              <w:rPr>
                <w:sz w:val="20"/>
                <w:szCs w:val="20"/>
              </w:rPr>
              <w:t xml:space="preserve">Oui </w:t>
            </w:r>
          </w:p>
          <w:p w14:paraId="20759384" w14:textId="77777777" w:rsidR="00147746" w:rsidRPr="00AE5973" w:rsidRDefault="00147746" w:rsidP="00147746">
            <w:pPr>
              <w:pStyle w:val="ListParagraph"/>
              <w:widowControl/>
              <w:numPr>
                <w:ilvl w:val="0"/>
                <w:numId w:val="43"/>
              </w:numPr>
              <w:autoSpaceDE/>
              <w:autoSpaceDN/>
              <w:spacing w:after="120"/>
              <w:rPr>
                <w:sz w:val="20"/>
                <w:szCs w:val="20"/>
              </w:rPr>
            </w:pPr>
            <w:r w:rsidRPr="00AE5973">
              <w:rPr>
                <w:sz w:val="20"/>
                <w:szCs w:val="20"/>
              </w:rPr>
              <w:t>Non</w:t>
            </w:r>
            <w:r w:rsidRPr="00AE5973" w:rsidDel="00CD2D7A">
              <w:rPr>
                <w:sz w:val="20"/>
                <w:szCs w:val="20"/>
              </w:rPr>
              <w:t xml:space="preserve"> </w:t>
            </w:r>
          </w:p>
        </w:tc>
      </w:tr>
    </w:tbl>
    <w:p w14:paraId="7811E225" w14:textId="77777777" w:rsidR="00021FFE" w:rsidRDefault="00021FFE" w:rsidP="00021FFE">
      <w:pPr>
        <w:spacing w:before="120" w:line="260" w:lineRule="auto"/>
        <w:ind w:left="851" w:right="649"/>
        <w:jc w:val="both"/>
        <w:rPr>
          <w:rFonts w:ascii="Arial MT" w:eastAsia="Arial MT" w:hAnsi="Arial MT" w:cs="Arial MT"/>
          <w:b/>
          <w:bCs/>
          <w:lang w:val="fr-BE"/>
        </w:rPr>
      </w:pPr>
    </w:p>
    <w:p w14:paraId="6177DE2B" w14:textId="783DDB45" w:rsidR="00147746" w:rsidRPr="00021FFE" w:rsidRDefault="00147746" w:rsidP="00021FFE">
      <w:pPr>
        <w:numPr>
          <w:ilvl w:val="1"/>
          <w:numId w:val="45"/>
        </w:numPr>
        <w:spacing w:before="120" w:line="260" w:lineRule="auto"/>
        <w:ind w:left="851" w:right="649" w:hanging="567"/>
        <w:jc w:val="both"/>
        <w:rPr>
          <w:rFonts w:ascii="Arial MT" w:eastAsia="Arial MT" w:hAnsi="Arial MT" w:cs="Arial MT"/>
          <w:b/>
          <w:bCs/>
          <w:lang w:val="fr-BE"/>
        </w:rPr>
      </w:pPr>
      <w:r w:rsidRPr="00021FFE">
        <w:rPr>
          <w:rFonts w:ascii="Arial MT" w:eastAsia="Arial MT" w:hAnsi="Arial MT" w:cs="Arial MT"/>
          <w:b/>
          <w:bCs/>
          <w:lang w:val="fr-BE"/>
        </w:rPr>
        <w:t>Tableau 90.30.c</w:t>
      </w:r>
    </w:p>
    <w:p w14:paraId="603A3279" w14:textId="226B4E6D" w:rsidR="00147746" w:rsidRDefault="00147746" w:rsidP="00E714F2">
      <w:pPr>
        <w:spacing w:before="120" w:line="260" w:lineRule="auto"/>
        <w:ind w:left="851" w:right="649"/>
        <w:jc w:val="both"/>
        <w:rPr>
          <w:rFonts w:ascii="Arial MT" w:eastAsia="Arial MT" w:hAnsi="Arial MT" w:cs="Arial MT"/>
          <w:lang w:val="fr-BE"/>
        </w:rPr>
      </w:pPr>
      <w:r w:rsidRPr="00021FFE">
        <w:rPr>
          <w:rFonts w:ascii="Arial MT" w:eastAsia="Arial MT" w:hAnsi="Arial MT" w:cs="Arial MT"/>
          <w:lang w:val="fr-BE"/>
        </w:rPr>
        <w:t>Ce tableau présente des informations complémentaires sur les paramètres utilisés pour l’évaluation du risque de taux d’intérêt inhérent au portefeuille bancaire, ainsi que sur les résultats de la modélisation des remboursements anticipés des prêts et les résultats de la modélisation des dépôts sans échéance contractuelle. L’établissement rapporte, le cas échéant, les données pour les quatre devises les plus importantes reportées dans le cadre des tests prudentiels des valeurs aberrantes (colonnes 0010, 0020, 0030 et 0040).</w:t>
      </w:r>
    </w:p>
    <w:p w14:paraId="54B02B61" w14:textId="77777777" w:rsidR="00E714F2" w:rsidRPr="00E714F2" w:rsidRDefault="00E714F2" w:rsidP="00E714F2">
      <w:pPr>
        <w:spacing w:before="120" w:line="260" w:lineRule="auto"/>
        <w:ind w:left="851" w:right="649"/>
        <w:jc w:val="both"/>
        <w:rPr>
          <w:rFonts w:ascii="Arial MT" w:eastAsia="Arial MT" w:hAnsi="Arial MT" w:cs="Arial MT"/>
          <w:lang w:val="fr-BE"/>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E714F2" w14:paraId="0A2C02BA" w14:textId="77777777" w:rsidTr="00194EAE">
        <w:tc>
          <w:tcPr>
            <w:tcW w:w="1129" w:type="dxa"/>
            <w:shd w:val="clear" w:color="auto" w:fill="D9D9D9" w:themeFill="background1" w:themeFillShade="D9"/>
          </w:tcPr>
          <w:p w14:paraId="61D98E50" w14:textId="77777777" w:rsidR="00147746" w:rsidRPr="00E714F2" w:rsidRDefault="00147746" w:rsidP="005508CC">
            <w:pPr>
              <w:pStyle w:val="InstructionsText"/>
              <w:rPr>
                <w:rStyle w:val="InstructionsTabelleText"/>
                <w:rFonts w:ascii="Arial MT" w:eastAsia="Arial" w:hAnsi="Arial MT"/>
                <w:szCs w:val="20"/>
                <w:lang w:eastAsia="en-US"/>
              </w:rPr>
            </w:pPr>
            <w:r w:rsidRPr="00E714F2">
              <w:rPr>
                <w:rStyle w:val="InstructionsTabelleText"/>
                <w:rFonts w:ascii="Arial MT" w:hAnsi="Arial MT"/>
                <w:szCs w:val="20"/>
              </w:rPr>
              <w:t>Ligne(s)</w:t>
            </w:r>
          </w:p>
        </w:tc>
        <w:tc>
          <w:tcPr>
            <w:tcW w:w="7620" w:type="dxa"/>
            <w:shd w:val="clear" w:color="auto" w:fill="D9D9D9" w:themeFill="background1" w:themeFillShade="D9"/>
          </w:tcPr>
          <w:p w14:paraId="72358493" w14:textId="77777777" w:rsidR="00147746" w:rsidRPr="00E714F2" w:rsidRDefault="00147746" w:rsidP="005508CC">
            <w:pPr>
              <w:pStyle w:val="InstructionsText"/>
              <w:rPr>
                <w:rStyle w:val="InstructionsTabelleText"/>
                <w:rFonts w:ascii="Arial MT" w:hAnsi="Arial MT"/>
                <w:bCs/>
                <w:szCs w:val="20"/>
                <w:lang w:eastAsia="en-US"/>
              </w:rPr>
            </w:pPr>
            <w:r w:rsidRPr="00E714F2">
              <w:rPr>
                <w:rStyle w:val="InstructionsTabelleText"/>
                <w:rFonts w:ascii="Arial MT" w:hAnsi="Arial MT"/>
                <w:szCs w:val="20"/>
              </w:rPr>
              <w:t>Instructions</w:t>
            </w:r>
          </w:p>
        </w:tc>
      </w:tr>
      <w:tr w:rsidR="00147746" w:rsidRPr="00E34649" w14:paraId="65A0A1C6" w14:textId="77777777" w:rsidTr="00194EAE">
        <w:tc>
          <w:tcPr>
            <w:tcW w:w="1129" w:type="dxa"/>
          </w:tcPr>
          <w:p w14:paraId="55714ED8"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0010</w:t>
            </w:r>
          </w:p>
        </w:tc>
        <w:tc>
          <w:tcPr>
            <w:tcW w:w="7620" w:type="dxa"/>
          </w:tcPr>
          <w:p w14:paraId="76EA93ED" w14:textId="77777777" w:rsidR="00147746" w:rsidRPr="00E714F2" w:rsidRDefault="00147746" w:rsidP="005508CC">
            <w:pPr>
              <w:pStyle w:val="InstructionsText"/>
              <w:rPr>
                <w:rStyle w:val="InstructionsTabelleberschrift"/>
                <w:rFonts w:ascii="Arial MT" w:hAnsi="Arial MT"/>
                <w:szCs w:val="20"/>
              </w:rPr>
            </w:pPr>
            <w:r w:rsidRPr="00E714F2">
              <w:rPr>
                <w:rStyle w:val="InstructionsTabelleberschrift"/>
                <w:rFonts w:ascii="Arial MT" w:hAnsi="Arial MT"/>
                <w:szCs w:val="20"/>
              </w:rPr>
              <w:t>Part dans le portefeuille bancaire</w:t>
            </w:r>
          </w:p>
          <w:p w14:paraId="2039D4AD" w14:textId="77777777" w:rsidR="00147746" w:rsidRPr="00E714F2" w:rsidRDefault="00147746" w:rsidP="005508CC">
            <w:pPr>
              <w:pStyle w:val="InstructionsText"/>
              <w:rPr>
                <w:rStyle w:val="InstructionsTabelleberschrift"/>
                <w:rFonts w:ascii="Arial MT" w:hAnsi="Arial MT"/>
                <w:szCs w:val="20"/>
              </w:rPr>
            </w:pPr>
            <w:r w:rsidRPr="00E714F2">
              <w:rPr>
                <w:rFonts w:ascii="Arial MT" w:hAnsi="Arial MT"/>
                <w:sz w:val="20"/>
                <w:szCs w:val="20"/>
              </w:rPr>
              <w:t>L’établissement rapporte la part respective des quatre devises les plus importantes dans le portefeuille bancaire.</w:t>
            </w:r>
          </w:p>
        </w:tc>
      </w:tr>
      <w:tr w:rsidR="00147746" w:rsidRPr="00E34649" w14:paraId="4863FF19" w14:textId="77777777" w:rsidTr="00194EAE">
        <w:tc>
          <w:tcPr>
            <w:tcW w:w="1129" w:type="dxa"/>
          </w:tcPr>
          <w:p w14:paraId="5E6B1A38"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0020</w:t>
            </w:r>
          </w:p>
        </w:tc>
        <w:tc>
          <w:tcPr>
            <w:tcW w:w="7620" w:type="dxa"/>
          </w:tcPr>
          <w:p w14:paraId="4DD9C8C2" w14:textId="77777777" w:rsidR="00147746" w:rsidRPr="00E714F2" w:rsidRDefault="00147746" w:rsidP="005508CC">
            <w:pPr>
              <w:pStyle w:val="InstructionsText"/>
              <w:rPr>
                <w:rStyle w:val="InstructionsTabelleberschrift"/>
                <w:rFonts w:ascii="Arial MT" w:hAnsi="Arial MT"/>
                <w:szCs w:val="20"/>
              </w:rPr>
            </w:pPr>
            <w:r w:rsidRPr="00E714F2">
              <w:rPr>
                <w:rStyle w:val="InstructionsTabelleberschrift"/>
                <w:rFonts w:ascii="Arial MT" w:hAnsi="Arial MT"/>
                <w:szCs w:val="20"/>
              </w:rPr>
              <w:t>Courbe de rendement sans risque</w:t>
            </w:r>
          </w:p>
          <w:p w14:paraId="36F7A254" w14:textId="77777777" w:rsidR="00147746" w:rsidRPr="00E714F2" w:rsidRDefault="00147746" w:rsidP="005508CC">
            <w:pPr>
              <w:pStyle w:val="InstructionsText"/>
              <w:rPr>
                <w:rFonts w:ascii="Arial MT" w:hAnsi="Arial MT"/>
                <w:sz w:val="20"/>
                <w:szCs w:val="20"/>
              </w:rPr>
            </w:pPr>
            <w:r w:rsidRPr="00E714F2">
              <w:rPr>
                <w:rFonts w:ascii="Arial MT" w:hAnsi="Arial MT"/>
                <w:sz w:val="20"/>
                <w:szCs w:val="20"/>
              </w:rPr>
              <w:t>Conformément aux normes techniques sur les tests prudentiels des valeurs aberrantes, il convient d'appliquer une courbe de rendement générale "sans risque" appropriée par devise. Cette courbe ne devrait pas inclure de différentiels de crédit ou liquidité spécifiques à un instrument ou à une entité.</w:t>
            </w:r>
          </w:p>
          <w:p w14:paraId="11962707" w14:textId="11FFCDF1" w:rsidR="00147746" w:rsidRPr="00E714F2" w:rsidRDefault="00147746" w:rsidP="005508CC">
            <w:pPr>
              <w:pStyle w:val="InstructionsText"/>
              <w:rPr>
                <w:rStyle w:val="InstructionsTabelleberschrift"/>
                <w:rFonts w:ascii="Arial MT" w:hAnsi="Arial MT"/>
                <w:b w:val="0"/>
                <w:bCs w:val="0"/>
                <w:szCs w:val="20"/>
              </w:rPr>
            </w:pPr>
            <w:r w:rsidRPr="00E714F2">
              <w:rPr>
                <w:rFonts w:ascii="Arial MT" w:hAnsi="Arial MT"/>
                <w:sz w:val="20"/>
                <w:szCs w:val="20"/>
              </w:rPr>
              <w:t xml:space="preserve">L’établissement indique quelles courbes de rendement "sans risque" ont été utilisées pour chacune des devises importantes </w:t>
            </w:r>
            <w:proofErr w:type="spellStart"/>
            <w:r w:rsidRPr="00E714F2">
              <w:rPr>
                <w:rFonts w:ascii="Arial MT" w:hAnsi="Arial MT"/>
                <w:sz w:val="20"/>
                <w:szCs w:val="20"/>
              </w:rPr>
              <w:t>r</w:t>
            </w:r>
            <w:r w:rsidR="0094773B">
              <w:rPr>
                <w:rFonts w:ascii="Arial MT" w:hAnsi="Arial MT"/>
                <w:sz w:val="20"/>
                <w:szCs w:val="20"/>
              </w:rPr>
              <w:t>a</w:t>
            </w:r>
            <w:r w:rsidRPr="00E714F2">
              <w:rPr>
                <w:rFonts w:ascii="Arial MT" w:hAnsi="Arial MT"/>
                <w:sz w:val="20"/>
                <w:szCs w:val="20"/>
              </w:rPr>
              <w:t>portées</w:t>
            </w:r>
            <w:proofErr w:type="spellEnd"/>
            <w:r w:rsidRPr="00E714F2">
              <w:rPr>
                <w:rFonts w:ascii="Arial MT" w:hAnsi="Arial MT"/>
                <w:sz w:val="20"/>
                <w:szCs w:val="20"/>
              </w:rPr>
              <w:t xml:space="preserve"> dans le cadre des tests prudentiels des valeurs aberrantes.</w:t>
            </w:r>
          </w:p>
        </w:tc>
      </w:tr>
      <w:tr w:rsidR="00147746" w:rsidRPr="00E34649" w14:paraId="38F7A7AC" w14:textId="77777777" w:rsidTr="00194EAE">
        <w:tc>
          <w:tcPr>
            <w:tcW w:w="1129" w:type="dxa"/>
          </w:tcPr>
          <w:p w14:paraId="3F3E4DD4"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0030</w:t>
            </w:r>
          </w:p>
        </w:tc>
        <w:tc>
          <w:tcPr>
            <w:tcW w:w="7620" w:type="dxa"/>
          </w:tcPr>
          <w:p w14:paraId="543C9F7F" w14:textId="1FD1AD43" w:rsidR="00147746" w:rsidRPr="00E714F2" w:rsidRDefault="00147746" w:rsidP="005508CC">
            <w:pPr>
              <w:pStyle w:val="InstructionsText"/>
              <w:rPr>
                <w:rStyle w:val="InstructionsTabelleberschrift"/>
                <w:rFonts w:ascii="Arial MT" w:hAnsi="Arial MT"/>
                <w:szCs w:val="20"/>
              </w:rPr>
            </w:pPr>
            <w:r w:rsidRPr="00E714F2">
              <w:rPr>
                <w:rStyle w:val="InstructionsTabelleberschrift"/>
                <w:rFonts w:ascii="Arial MT" w:hAnsi="Arial MT"/>
                <w:szCs w:val="20"/>
              </w:rPr>
              <w:t>Plancher de taux d’intérêt post-choc (NII/EVE)</w:t>
            </w:r>
          </w:p>
          <w:p w14:paraId="34BFB10A" w14:textId="6FD5817E" w:rsidR="00147746" w:rsidRPr="00E714F2" w:rsidRDefault="00147746" w:rsidP="005508CC">
            <w:pPr>
              <w:pStyle w:val="InstructionsText"/>
              <w:rPr>
                <w:rStyle w:val="InstructionsTabelleberschrift"/>
                <w:rFonts w:ascii="Arial MT" w:hAnsi="Arial MT"/>
                <w:b w:val="0"/>
                <w:bCs w:val="0"/>
                <w:szCs w:val="20"/>
              </w:rPr>
            </w:pPr>
            <w:r w:rsidRPr="00E714F2">
              <w:rPr>
                <w:rFonts w:ascii="Arial MT" w:hAnsi="Arial MT"/>
                <w:sz w:val="20"/>
                <w:szCs w:val="20"/>
              </w:rPr>
              <w:t xml:space="preserve">L’établissement indique si le plancher de taux d’intérêt post-choc lié à l’échéance et définit par les normes techniques sur les tests prudentiels des valeurs aberrantes, est contraignant pour l’une des devises </w:t>
            </w:r>
            <w:proofErr w:type="spellStart"/>
            <w:r w:rsidRPr="00E714F2">
              <w:rPr>
                <w:rFonts w:ascii="Arial MT" w:hAnsi="Arial MT"/>
                <w:sz w:val="20"/>
                <w:szCs w:val="20"/>
              </w:rPr>
              <w:t>r</w:t>
            </w:r>
            <w:r w:rsidR="0094773B">
              <w:rPr>
                <w:rFonts w:ascii="Arial MT" w:hAnsi="Arial MT"/>
                <w:sz w:val="20"/>
                <w:szCs w:val="20"/>
              </w:rPr>
              <w:t>a</w:t>
            </w:r>
            <w:r w:rsidRPr="00E714F2">
              <w:rPr>
                <w:rFonts w:ascii="Arial MT" w:hAnsi="Arial MT"/>
                <w:sz w:val="20"/>
                <w:szCs w:val="20"/>
              </w:rPr>
              <w:t>portées</w:t>
            </w:r>
            <w:proofErr w:type="spellEnd"/>
            <w:r w:rsidRPr="00E714F2">
              <w:rPr>
                <w:rFonts w:ascii="Arial MT" w:hAnsi="Arial MT"/>
                <w:sz w:val="20"/>
                <w:szCs w:val="20"/>
              </w:rPr>
              <w:t xml:space="preserve"> (Yes/No). </w:t>
            </w:r>
          </w:p>
        </w:tc>
      </w:tr>
      <w:tr w:rsidR="00147746" w:rsidRPr="00E34649" w14:paraId="142B5C64" w14:textId="77777777" w:rsidTr="00194EAE">
        <w:tc>
          <w:tcPr>
            <w:tcW w:w="1129" w:type="dxa"/>
          </w:tcPr>
          <w:p w14:paraId="0FE83F90"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0040</w:t>
            </w:r>
          </w:p>
        </w:tc>
        <w:tc>
          <w:tcPr>
            <w:tcW w:w="7620" w:type="dxa"/>
          </w:tcPr>
          <w:p w14:paraId="5BDB3521" w14:textId="77777777" w:rsidR="00147746" w:rsidRPr="00E714F2" w:rsidRDefault="00147746" w:rsidP="005508CC">
            <w:pPr>
              <w:pStyle w:val="InstructionsText"/>
              <w:rPr>
                <w:rStyle w:val="InstructionsTabelleberschrift"/>
                <w:rFonts w:ascii="Arial MT" w:hAnsi="Arial MT"/>
                <w:szCs w:val="20"/>
              </w:rPr>
            </w:pPr>
            <w:r w:rsidRPr="00E714F2">
              <w:rPr>
                <w:rStyle w:val="InstructionsTabelleberschrift"/>
                <w:rFonts w:ascii="Arial MT" w:hAnsi="Arial MT"/>
                <w:szCs w:val="20"/>
              </w:rPr>
              <w:t>Prêts sujets à la modélisation des remboursements anticipés</w:t>
            </w:r>
          </w:p>
          <w:p w14:paraId="03920736" w14:textId="77777777" w:rsidR="00147746" w:rsidRPr="00E714F2" w:rsidRDefault="00147746" w:rsidP="005508CC">
            <w:pPr>
              <w:pStyle w:val="InstructionsText"/>
              <w:rPr>
                <w:rFonts w:ascii="Arial MT" w:hAnsi="Arial MT"/>
                <w:b/>
                <w:bCs/>
                <w:sz w:val="20"/>
                <w:szCs w:val="20"/>
              </w:rPr>
            </w:pPr>
            <w:r w:rsidRPr="00E714F2">
              <w:rPr>
                <w:rFonts w:ascii="Arial MT" w:hAnsi="Arial MT"/>
                <w:sz w:val="20"/>
                <w:szCs w:val="20"/>
              </w:rPr>
              <w:t>L’établissement rapporte le montant total des prêts sujets à la modélisation des remboursements anticipés, considérant l’environnement actuel de taux d’intérêt.</w:t>
            </w:r>
          </w:p>
        </w:tc>
      </w:tr>
      <w:tr w:rsidR="00147746" w:rsidRPr="00E34649" w14:paraId="431FEB4A" w14:textId="77777777" w:rsidTr="00194EAE">
        <w:tc>
          <w:tcPr>
            <w:tcW w:w="1129" w:type="dxa"/>
          </w:tcPr>
          <w:p w14:paraId="5E841D87"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0050</w:t>
            </w:r>
          </w:p>
        </w:tc>
        <w:tc>
          <w:tcPr>
            <w:tcW w:w="7620" w:type="dxa"/>
          </w:tcPr>
          <w:p w14:paraId="0D6D9C89" w14:textId="77777777" w:rsidR="00147746" w:rsidRPr="00E714F2" w:rsidRDefault="00147746" w:rsidP="005508CC">
            <w:pPr>
              <w:pStyle w:val="InstructionsText"/>
              <w:rPr>
                <w:rStyle w:val="InstructionsTabelleberschrift"/>
                <w:rFonts w:ascii="Arial MT" w:hAnsi="Arial MT"/>
                <w:szCs w:val="20"/>
              </w:rPr>
            </w:pPr>
            <w:r w:rsidRPr="00E714F2">
              <w:rPr>
                <w:rStyle w:val="InstructionsTabelleberschrift"/>
                <w:rFonts w:ascii="Arial MT" w:hAnsi="Arial MT"/>
                <w:szCs w:val="20"/>
              </w:rPr>
              <w:t>Echéance moyenne avant modélisation des remboursements anticipés</w:t>
            </w:r>
          </w:p>
          <w:p w14:paraId="411AFB1A" w14:textId="77777777" w:rsidR="00147746" w:rsidRPr="00E714F2" w:rsidRDefault="00147746" w:rsidP="005508CC">
            <w:pPr>
              <w:pStyle w:val="InstructionsText"/>
              <w:rPr>
                <w:rFonts w:ascii="Arial MT" w:hAnsi="Arial MT"/>
                <w:b/>
                <w:bCs/>
                <w:sz w:val="20"/>
                <w:szCs w:val="20"/>
              </w:rPr>
            </w:pPr>
            <w:r w:rsidRPr="00E714F2">
              <w:rPr>
                <w:rFonts w:ascii="Arial MT" w:hAnsi="Arial MT"/>
                <w:sz w:val="20"/>
                <w:szCs w:val="20"/>
              </w:rPr>
              <w:t>L’établissement rapporte l’échéance moyenne des prêts sujets à la modélisation des remboursements anticipés, avant l’application de l’hypothèse de remboursement et considérant l’environnement actuel de taux d’intérêt.</w:t>
            </w:r>
          </w:p>
        </w:tc>
      </w:tr>
      <w:tr w:rsidR="00147746" w:rsidRPr="00E34649" w14:paraId="02C3908A" w14:textId="77777777" w:rsidTr="00194EAE">
        <w:tc>
          <w:tcPr>
            <w:tcW w:w="1129" w:type="dxa"/>
          </w:tcPr>
          <w:p w14:paraId="3A923D5D"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0060</w:t>
            </w:r>
          </w:p>
        </w:tc>
        <w:tc>
          <w:tcPr>
            <w:tcW w:w="7620" w:type="dxa"/>
          </w:tcPr>
          <w:p w14:paraId="1748FD91" w14:textId="77777777" w:rsidR="00147746" w:rsidRPr="00E714F2" w:rsidRDefault="00147746" w:rsidP="005508CC">
            <w:pPr>
              <w:pStyle w:val="InstructionsText"/>
              <w:rPr>
                <w:rStyle w:val="InstructionsTabelleberschrift"/>
                <w:rFonts w:ascii="Arial MT" w:hAnsi="Arial MT"/>
                <w:szCs w:val="20"/>
              </w:rPr>
            </w:pPr>
            <w:r w:rsidRPr="00E714F2">
              <w:rPr>
                <w:rStyle w:val="InstructionsTabelleberschrift"/>
                <w:rFonts w:ascii="Arial MT" w:hAnsi="Arial MT"/>
                <w:szCs w:val="20"/>
              </w:rPr>
              <w:t>Taux moyen de remboursement anticipé</w:t>
            </w:r>
          </w:p>
          <w:p w14:paraId="663462EA" w14:textId="77777777" w:rsidR="00147746" w:rsidRPr="00E714F2" w:rsidRDefault="00147746" w:rsidP="005508CC">
            <w:pPr>
              <w:pStyle w:val="InstructionsText"/>
              <w:rPr>
                <w:rFonts w:ascii="Arial MT" w:hAnsi="Arial MT"/>
                <w:b/>
                <w:bCs/>
                <w:sz w:val="20"/>
                <w:szCs w:val="20"/>
              </w:rPr>
            </w:pPr>
            <w:r w:rsidRPr="00E714F2">
              <w:rPr>
                <w:rFonts w:ascii="Arial MT" w:hAnsi="Arial MT"/>
                <w:sz w:val="20"/>
                <w:szCs w:val="20"/>
              </w:rPr>
              <w:t>L’établissement rapporte le taux moyen de remboursement anticipé appliqué aux prêts sujets à la modélisation des remboursements anticipés et considérant l’environnement actuel de taux d’intérêt.</w:t>
            </w:r>
          </w:p>
        </w:tc>
      </w:tr>
      <w:tr w:rsidR="00147746" w:rsidRPr="00E34649" w14:paraId="32C197DC" w14:textId="77777777" w:rsidTr="00194EAE">
        <w:tc>
          <w:tcPr>
            <w:tcW w:w="1129" w:type="dxa"/>
          </w:tcPr>
          <w:p w14:paraId="238CB655"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0070</w:t>
            </w:r>
          </w:p>
          <w:p w14:paraId="683B9732"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0080</w:t>
            </w:r>
          </w:p>
          <w:p w14:paraId="51245279"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0090</w:t>
            </w:r>
          </w:p>
        </w:tc>
        <w:tc>
          <w:tcPr>
            <w:tcW w:w="7620" w:type="dxa"/>
          </w:tcPr>
          <w:p w14:paraId="797CC8B7" w14:textId="77777777" w:rsidR="00147746" w:rsidRPr="00E714F2" w:rsidRDefault="00147746" w:rsidP="005508CC">
            <w:pPr>
              <w:pStyle w:val="InstructionsText"/>
              <w:rPr>
                <w:rStyle w:val="InstructionsTabelleberschrift"/>
                <w:rFonts w:ascii="Arial MT" w:hAnsi="Arial MT"/>
                <w:szCs w:val="20"/>
              </w:rPr>
            </w:pPr>
            <w:r w:rsidRPr="00E714F2">
              <w:rPr>
                <w:rStyle w:val="InstructionsTabelleberschrift"/>
                <w:rFonts w:ascii="Arial MT" w:hAnsi="Arial MT"/>
                <w:szCs w:val="20"/>
              </w:rPr>
              <w:t>Date moyenne de révision des taux appliquée aux dépôts sans échéance contractuelle</w:t>
            </w:r>
          </w:p>
          <w:p w14:paraId="432D0FBD" w14:textId="10361BB4" w:rsidR="00147746" w:rsidRPr="00E714F2" w:rsidRDefault="00147746" w:rsidP="005508CC">
            <w:pPr>
              <w:pStyle w:val="InstructionsText"/>
              <w:rPr>
                <w:rStyle w:val="InstructionsTabelleberschrift"/>
                <w:rFonts w:ascii="Arial MT" w:hAnsi="Arial MT"/>
                <w:szCs w:val="20"/>
              </w:rPr>
            </w:pPr>
            <w:r w:rsidRPr="00E714F2">
              <w:rPr>
                <w:rFonts w:ascii="Arial MT" w:hAnsi="Arial MT"/>
                <w:sz w:val="20"/>
                <w:szCs w:val="20"/>
              </w:rPr>
              <w:t>L’établissement rapporte la date moyenne de révision des taux appliquée aux dépôts transactionnels de détail, aux dépôts non transactionnels de détail et aux dépôts de gros</w:t>
            </w:r>
            <w:r w:rsidR="00FA7F8D">
              <w:rPr>
                <w:rFonts w:ascii="Arial MT" w:hAnsi="Arial MT"/>
                <w:sz w:val="20"/>
                <w:szCs w:val="20"/>
              </w:rPr>
              <w:t xml:space="preserve"> de clients non</w:t>
            </w:r>
            <w:r w:rsidR="00406A44">
              <w:rPr>
                <w:rFonts w:ascii="Arial MT" w:hAnsi="Arial MT"/>
                <w:sz w:val="20"/>
                <w:szCs w:val="20"/>
              </w:rPr>
              <w:t>-</w:t>
            </w:r>
            <w:r w:rsidR="00FA7F8D">
              <w:rPr>
                <w:rFonts w:ascii="Arial MT" w:hAnsi="Arial MT"/>
                <w:sz w:val="20"/>
                <w:szCs w:val="20"/>
              </w:rPr>
              <w:t>financiers</w:t>
            </w:r>
            <w:r w:rsidRPr="00E714F2">
              <w:rPr>
                <w:rFonts w:ascii="Arial MT" w:hAnsi="Arial MT"/>
                <w:sz w:val="20"/>
                <w:szCs w:val="20"/>
              </w:rPr>
              <w:t>, pour chaque devise reportée, considérant l’environnement actuel de taux d’intérêt.</w:t>
            </w:r>
          </w:p>
        </w:tc>
      </w:tr>
      <w:tr w:rsidR="00147746" w:rsidRPr="00E34649" w14:paraId="458F0BFE" w14:textId="77777777" w:rsidTr="00194EAE">
        <w:tc>
          <w:tcPr>
            <w:tcW w:w="1129" w:type="dxa"/>
          </w:tcPr>
          <w:p w14:paraId="47EB905D"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0100</w:t>
            </w:r>
          </w:p>
          <w:p w14:paraId="330E1787"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0110</w:t>
            </w:r>
          </w:p>
          <w:p w14:paraId="3EA9646B"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0120</w:t>
            </w:r>
          </w:p>
        </w:tc>
        <w:tc>
          <w:tcPr>
            <w:tcW w:w="7620" w:type="dxa"/>
          </w:tcPr>
          <w:p w14:paraId="037E3690" w14:textId="3D0FDFD7" w:rsidR="00147746" w:rsidRPr="00E714F2" w:rsidRDefault="00147746" w:rsidP="005508CC">
            <w:pPr>
              <w:pStyle w:val="InstructionsText"/>
              <w:rPr>
                <w:rStyle w:val="InstructionsTabelleberschrift"/>
                <w:rFonts w:ascii="Arial MT" w:hAnsi="Arial MT"/>
                <w:szCs w:val="20"/>
              </w:rPr>
            </w:pPr>
            <w:r w:rsidRPr="00E714F2">
              <w:rPr>
                <w:rStyle w:val="InstructionsTabelleberschrift"/>
                <w:rFonts w:ascii="Arial MT" w:hAnsi="Arial MT"/>
                <w:szCs w:val="20"/>
              </w:rPr>
              <w:t>Stock total de dépôts</w:t>
            </w:r>
            <w:r w:rsidR="000A6C3F" w:rsidRPr="00E714F2">
              <w:rPr>
                <w:rStyle w:val="InstructionsTabelleberschrift"/>
                <w:rFonts w:ascii="Arial MT" w:hAnsi="Arial MT"/>
                <w:szCs w:val="20"/>
              </w:rPr>
              <w:t xml:space="preserve"> de base</w:t>
            </w:r>
            <w:r w:rsidRPr="00E714F2">
              <w:rPr>
                <w:rStyle w:val="InstructionsTabelleberschrift"/>
                <w:rFonts w:ascii="Arial MT" w:hAnsi="Arial MT"/>
                <w:szCs w:val="20"/>
              </w:rPr>
              <w:t xml:space="preserve"> sans échéance contractuelle </w:t>
            </w:r>
          </w:p>
          <w:p w14:paraId="1BFFF60D" w14:textId="51011857" w:rsidR="00147746" w:rsidRPr="00E714F2" w:rsidRDefault="00147746" w:rsidP="005508CC">
            <w:pPr>
              <w:pStyle w:val="InstructionsText"/>
              <w:rPr>
                <w:rFonts w:ascii="Arial MT" w:hAnsi="Arial MT"/>
                <w:b/>
                <w:bCs/>
                <w:sz w:val="20"/>
                <w:szCs w:val="20"/>
              </w:rPr>
            </w:pPr>
            <w:r w:rsidRPr="00E714F2">
              <w:rPr>
                <w:rFonts w:ascii="Arial MT" w:hAnsi="Arial MT"/>
                <w:sz w:val="20"/>
                <w:szCs w:val="20"/>
              </w:rPr>
              <w:t>L’établissement rapporte le stock total de dépôts transactionnels de détail de base, le stock total de dépôts non transactionnels de détail de base et le stock total de dépôts de gros de base</w:t>
            </w:r>
            <w:r w:rsidR="00FA7F8D">
              <w:rPr>
                <w:rFonts w:ascii="Arial MT" w:hAnsi="Arial MT"/>
                <w:sz w:val="20"/>
                <w:szCs w:val="20"/>
              </w:rPr>
              <w:t xml:space="preserve"> de clients no</w:t>
            </w:r>
            <w:r w:rsidR="00406A44">
              <w:rPr>
                <w:rFonts w:ascii="Arial MT" w:hAnsi="Arial MT"/>
                <w:sz w:val="20"/>
                <w:szCs w:val="20"/>
              </w:rPr>
              <w:t>n-</w:t>
            </w:r>
            <w:r w:rsidR="00FA7F8D">
              <w:rPr>
                <w:rFonts w:ascii="Arial MT" w:hAnsi="Arial MT"/>
                <w:sz w:val="20"/>
                <w:szCs w:val="20"/>
              </w:rPr>
              <w:t>financiers</w:t>
            </w:r>
            <w:r w:rsidRPr="00E714F2">
              <w:rPr>
                <w:rFonts w:ascii="Arial MT" w:hAnsi="Arial MT"/>
                <w:sz w:val="20"/>
                <w:szCs w:val="20"/>
              </w:rPr>
              <w:t>, pour chaque devise reportée, considérant l’environnement actuel de taux d’intérêt.</w:t>
            </w:r>
          </w:p>
        </w:tc>
      </w:tr>
      <w:tr w:rsidR="00147746" w:rsidRPr="00E34649" w14:paraId="7D20F149" w14:textId="77777777" w:rsidTr="00194EAE">
        <w:tc>
          <w:tcPr>
            <w:tcW w:w="1129" w:type="dxa"/>
          </w:tcPr>
          <w:p w14:paraId="1BCBDCC0"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0130</w:t>
            </w:r>
          </w:p>
          <w:p w14:paraId="76E0848B"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0140</w:t>
            </w:r>
          </w:p>
          <w:p w14:paraId="1E49BDB0" w14:textId="77777777" w:rsidR="00147746" w:rsidRPr="00E714F2" w:rsidRDefault="00147746" w:rsidP="005508CC">
            <w:pPr>
              <w:pStyle w:val="InstructionsText"/>
              <w:rPr>
                <w:rStyle w:val="FormatvorlageInstructionsTabelleText"/>
                <w:rFonts w:ascii="Arial MT" w:hAnsi="Arial MT"/>
                <w:szCs w:val="20"/>
              </w:rPr>
            </w:pPr>
            <w:r w:rsidRPr="00E714F2">
              <w:rPr>
                <w:rStyle w:val="FormatvorlageInstructionsTabelleText"/>
                <w:rFonts w:ascii="Arial MT" w:hAnsi="Arial MT"/>
                <w:szCs w:val="20"/>
              </w:rPr>
              <w:t>0150</w:t>
            </w:r>
          </w:p>
        </w:tc>
        <w:tc>
          <w:tcPr>
            <w:tcW w:w="7620" w:type="dxa"/>
          </w:tcPr>
          <w:p w14:paraId="0DFEBFB7" w14:textId="2BB8C7CC" w:rsidR="00147746" w:rsidRPr="00E714F2" w:rsidRDefault="00147746" w:rsidP="005508CC">
            <w:pPr>
              <w:pStyle w:val="InstructionsText"/>
              <w:rPr>
                <w:rStyle w:val="InstructionsTabelleberschrift"/>
                <w:rFonts w:ascii="Arial MT" w:hAnsi="Arial MT"/>
                <w:szCs w:val="20"/>
              </w:rPr>
            </w:pPr>
            <w:r w:rsidRPr="00E714F2">
              <w:rPr>
                <w:rStyle w:val="InstructionsTabelleberschrift"/>
                <w:rFonts w:ascii="Arial MT" w:hAnsi="Arial MT"/>
                <w:szCs w:val="20"/>
              </w:rPr>
              <w:t>Part des dépôts de base dans le stock total de dépôts sans échéance contractuelle</w:t>
            </w:r>
          </w:p>
          <w:p w14:paraId="010D7A7E" w14:textId="734E0A67" w:rsidR="00147746" w:rsidRPr="00E714F2" w:rsidRDefault="00147746" w:rsidP="005508CC">
            <w:pPr>
              <w:pStyle w:val="InstructionsText"/>
              <w:rPr>
                <w:rFonts w:ascii="Arial MT" w:hAnsi="Arial MT"/>
                <w:b/>
                <w:bCs/>
                <w:sz w:val="20"/>
                <w:szCs w:val="20"/>
              </w:rPr>
            </w:pPr>
            <w:r w:rsidRPr="00E714F2">
              <w:rPr>
                <w:rFonts w:ascii="Arial MT" w:hAnsi="Arial MT"/>
                <w:sz w:val="20"/>
                <w:szCs w:val="20"/>
              </w:rPr>
              <w:t xml:space="preserve">L’établissement rapporte la part des dépôts transactionnels de détail de base, des dépôts non transactionnels de détail de base et des dépôts de gros de base </w:t>
            </w:r>
            <w:r w:rsidR="00406A44">
              <w:rPr>
                <w:rFonts w:ascii="Arial MT" w:hAnsi="Arial MT"/>
                <w:sz w:val="20"/>
                <w:szCs w:val="20"/>
              </w:rPr>
              <w:t xml:space="preserve">de clients non-financiers </w:t>
            </w:r>
            <w:r w:rsidRPr="00E714F2">
              <w:rPr>
                <w:rFonts w:ascii="Arial MT" w:hAnsi="Arial MT"/>
                <w:sz w:val="20"/>
                <w:szCs w:val="20"/>
              </w:rPr>
              <w:t>dans le stock total de dépôts sans échéance contractuelle, pour chaque devise reportée, considérant l’environnement actuel de taux d’intérêt.</w:t>
            </w:r>
          </w:p>
        </w:tc>
      </w:tr>
    </w:tbl>
    <w:p w14:paraId="73D58297" w14:textId="77777777" w:rsidR="00147746" w:rsidRPr="006525C3" w:rsidRDefault="00147746" w:rsidP="00147746">
      <w:pPr>
        <w:pStyle w:val="BodyText"/>
        <w:rPr>
          <w:lang w:val="fr-BE"/>
        </w:rPr>
      </w:pPr>
    </w:p>
    <w:p w14:paraId="60FFD703" w14:textId="77777777" w:rsidR="00147746" w:rsidRPr="00AC5C25" w:rsidRDefault="00147746" w:rsidP="00147746">
      <w:pPr>
        <w:pStyle w:val="BodyText"/>
        <w:rPr>
          <w:lang w:val="fr-BE"/>
        </w:rPr>
      </w:pPr>
    </w:p>
    <w:p w14:paraId="348A3B68" w14:textId="77777777" w:rsidR="00147746" w:rsidRPr="00147746" w:rsidRDefault="00147746" w:rsidP="00815A99">
      <w:pPr>
        <w:spacing w:line="240" w:lineRule="auto"/>
        <w:rPr>
          <w:lang w:val="fr-BE"/>
        </w:rPr>
      </w:pPr>
    </w:p>
    <w:sectPr w:rsidR="00147746" w:rsidRPr="00147746" w:rsidSect="004666F6">
      <w:headerReference w:type="even" r:id="rId19"/>
      <w:headerReference w:type="default" r:id="rId20"/>
      <w:footerReference w:type="even" r:id="rId21"/>
      <w:footerReference w:type="first" r:id="rId22"/>
      <w:footnotePr>
        <w:numRestart w:val="eachSect"/>
      </w:footnotePr>
      <w:pgSz w:w="11907" w:h="16840" w:code="9"/>
      <w:pgMar w:top="510" w:right="425" w:bottom="1361" w:left="993" w:header="397" w:footer="119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F3BD" w14:textId="77777777" w:rsidR="00F66CE1" w:rsidRDefault="00F66CE1">
      <w:r>
        <w:separator/>
      </w:r>
    </w:p>
  </w:endnote>
  <w:endnote w:type="continuationSeparator" w:id="0">
    <w:p w14:paraId="001417D9" w14:textId="77777777" w:rsidR="00F66CE1" w:rsidRDefault="00F6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2E95" w14:textId="77777777" w:rsidR="00266557" w:rsidRDefault="00266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34EB" w14:textId="37D25F1F" w:rsidR="00E34649" w:rsidRPr="00E34649" w:rsidRDefault="00E34649" w:rsidP="00E34649">
    <w:pPr>
      <w:pStyle w:val="Footer"/>
      <w:pBdr>
        <w:top w:val="single" w:sz="4" w:space="1" w:color="auto"/>
      </w:pBdr>
      <w:rPr>
        <w:b/>
        <w:sz w:val="16"/>
        <w:szCs w:val="14"/>
        <w:lang w:val="fr-BE"/>
      </w:rPr>
    </w:pPr>
    <w:r w:rsidRPr="00E34649">
      <w:rPr>
        <w:b/>
        <w:sz w:val="16"/>
        <w:szCs w:val="14"/>
        <w:lang w:val="fr-BE"/>
      </w:rPr>
      <w:t>Public</w:t>
    </w:r>
    <w:r w:rsidRPr="00E34649">
      <w:rPr>
        <w:b/>
        <w:sz w:val="16"/>
        <w:szCs w:val="14"/>
        <w:lang w:val="fr-BE"/>
      </w:rPr>
      <w:tab/>
    </w:r>
    <w:r w:rsidRPr="00E34649">
      <w:rPr>
        <w:sz w:val="14"/>
        <w:szCs w:val="14"/>
        <w:lang w:val="fr-BE"/>
      </w:rPr>
      <w:t>NBB_2023</w:t>
    </w:r>
    <w:r w:rsidR="00855866">
      <w:rPr>
        <w:sz w:val="14"/>
        <w:szCs w:val="14"/>
        <w:lang w:val="fr-BE"/>
      </w:rPr>
      <w:t>_</w:t>
    </w:r>
    <w:r w:rsidR="00266557">
      <w:rPr>
        <w:sz w:val="14"/>
        <w:szCs w:val="14"/>
        <w:lang w:val="fr-BE"/>
      </w:rPr>
      <w:t>07</w:t>
    </w:r>
    <w:r>
      <w:rPr>
        <w:rFonts w:cs="Arial"/>
        <w:sz w:val="14"/>
        <w:szCs w:val="14"/>
        <w:lang w:val="nl-BE"/>
      </w:rPr>
      <w:t> </w:t>
    </w:r>
    <w:r w:rsidRPr="00E34649">
      <w:rPr>
        <w:rFonts w:cs="Arial"/>
        <w:sz w:val="14"/>
        <w:szCs w:val="14"/>
        <w:lang w:val="fr-BE"/>
      </w:rPr>
      <w:t>–</w:t>
    </w:r>
    <w:r>
      <w:rPr>
        <w:rFonts w:cs="Arial"/>
        <w:sz w:val="14"/>
        <w:szCs w:val="14"/>
        <w:lang w:val="nl-BE"/>
      </w:rPr>
      <w:t> </w:t>
    </w:r>
    <w:r w:rsidR="00266557">
      <w:rPr>
        <w:rFonts w:cs="Arial"/>
        <w:sz w:val="14"/>
        <w:szCs w:val="14"/>
        <w:lang w:val="nl-BE"/>
      </w:rPr>
      <w:t>27</w:t>
    </w:r>
    <w:r w:rsidR="00855866">
      <w:rPr>
        <w:sz w:val="14"/>
        <w:szCs w:val="14"/>
        <w:lang w:val="fr-BE"/>
      </w:rPr>
      <w:t xml:space="preserve"> </w:t>
    </w:r>
    <w:r w:rsidR="00266557">
      <w:rPr>
        <w:sz w:val="14"/>
        <w:szCs w:val="14"/>
        <w:lang w:val="fr-BE"/>
      </w:rPr>
      <w:t xml:space="preserve">juin </w:t>
    </w:r>
    <w:r w:rsidRPr="00E34649">
      <w:rPr>
        <w:sz w:val="14"/>
        <w:szCs w:val="14"/>
        <w:lang w:val="fr-BE"/>
      </w:rPr>
      <w:t>2023</w:t>
    </w:r>
    <w:r w:rsidRPr="00E34649">
      <w:rPr>
        <w:b/>
        <w:sz w:val="16"/>
        <w:szCs w:val="14"/>
        <w:lang w:val="fr-BE"/>
      </w:rPr>
      <w:tab/>
      <w:t>Annexe 3</w:t>
    </w:r>
    <w:r>
      <w:rPr>
        <w:rFonts w:cs="Arial"/>
        <w:b/>
        <w:sz w:val="16"/>
        <w:szCs w:val="14"/>
        <w:lang w:val="nl-BE"/>
      </w:rPr>
      <w:t> </w:t>
    </w:r>
    <w:r w:rsidRPr="00E34649">
      <w:rPr>
        <w:rFonts w:cs="Arial"/>
        <w:b/>
        <w:sz w:val="16"/>
        <w:szCs w:val="14"/>
        <w:lang w:val="fr-BE"/>
      </w:rPr>
      <w:t>–</w:t>
    </w:r>
    <w:r>
      <w:rPr>
        <w:rFonts w:cs="Arial"/>
        <w:b/>
        <w:sz w:val="16"/>
        <w:szCs w:val="14"/>
        <w:lang w:val="nl-BE"/>
      </w:rPr>
      <w:t> </w:t>
    </w:r>
    <w:r w:rsidRPr="00E34649">
      <w:rPr>
        <w:b/>
        <w:sz w:val="16"/>
        <w:szCs w:val="14"/>
        <w:lang w:val="fr-BE"/>
      </w:rPr>
      <w:t xml:space="preserve">Page </w:t>
    </w:r>
    <w:r w:rsidR="004666F6">
      <w:rPr>
        <w:b/>
        <w:sz w:val="16"/>
        <w:szCs w:val="14"/>
        <w:lang w:val="nl-BE"/>
      </w:rPr>
      <w:fldChar w:fldCharType="begin"/>
    </w:r>
    <w:r w:rsidR="004666F6">
      <w:rPr>
        <w:b/>
        <w:sz w:val="16"/>
        <w:szCs w:val="14"/>
        <w:lang w:val="nl-BE"/>
      </w:rPr>
      <w:instrText xml:space="preserve"> PAGE  \* Arabic </w:instrText>
    </w:r>
    <w:r w:rsidR="004666F6">
      <w:rPr>
        <w:b/>
        <w:sz w:val="16"/>
        <w:szCs w:val="14"/>
        <w:lang w:val="nl-BE"/>
      </w:rPr>
      <w:fldChar w:fldCharType="separate"/>
    </w:r>
    <w:r w:rsidR="004666F6">
      <w:rPr>
        <w:b/>
        <w:noProof/>
        <w:sz w:val="16"/>
        <w:szCs w:val="14"/>
        <w:lang w:val="nl-BE"/>
      </w:rPr>
      <w:t>1</w:t>
    </w:r>
    <w:r w:rsidR="004666F6">
      <w:rPr>
        <w:b/>
        <w:sz w:val="16"/>
        <w:szCs w:val="14"/>
        <w:lang w:val="nl-BE"/>
      </w:rPr>
      <w:fldChar w:fldCharType="end"/>
    </w:r>
    <w:r w:rsidRPr="00E34649">
      <w:rPr>
        <w:b/>
        <w:sz w:val="16"/>
        <w:szCs w:val="14"/>
        <w:lang w:val="fr-BE"/>
      </w:rPr>
      <w:t>/</w:t>
    </w:r>
    <w:r>
      <w:rPr>
        <w:b/>
        <w:sz w:val="16"/>
        <w:szCs w:val="14"/>
        <w:lang w:val="nl-BE"/>
      </w:rPr>
      <w:fldChar w:fldCharType="begin"/>
    </w:r>
    <w:r>
      <w:rPr>
        <w:b/>
        <w:sz w:val="16"/>
        <w:szCs w:val="14"/>
        <w:lang w:val="nl-BE"/>
      </w:rPr>
      <w:instrText xml:space="preserve"> NUMPAGES  \* Arabic </w:instrText>
    </w:r>
    <w:r>
      <w:rPr>
        <w:b/>
        <w:sz w:val="16"/>
        <w:szCs w:val="14"/>
        <w:lang w:val="nl-BE"/>
      </w:rPr>
      <w:fldChar w:fldCharType="separate"/>
    </w:r>
    <w:r>
      <w:rPr>
        <w:b/>
        <w:noProof/>
        <w:sz w:val="16"/>
        <w:szCs w:val="14"/>
        <w:lang w:val="nl-BE"/>
      </w:rPr>
      <w:t>7</w:t>
    </w:r>
    <w:r>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8AD7" w14:textId="77777777" w:rsidR="00266557" w:rsidRDefault="002665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EE74" w14:textId="77777777" w:rsidR="00E87276" w:rsidRPr="00202B0B" w:rsidRDefault="00E87276" w:rsidP="00E87276">
    <w:pPr>
      <w:pStyle w:val="Footer"/>
      <w:pBdr>
        <w:top w:val="single" w:sz="4" w:space="1" w:color="auto"/>
      </w:pBdr>
      <w:rPr>
        <w:b/>
        <w:sz w:val="16"/>
        <w:szCs w:val="16"/>
        <w:lang w:val="nl-B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56D" w14:textId="71AA6A3D" w:rsidR="00450949" w:rsidRPr="00815A99" w:rsidRDefault="00815A99" w:rsidP="00CB2202">
    <w:pPr>
      <w:pStyle w:val="Footer"/>
      <w:pBdr>
        <w:top w:val="single" w:sz="4" w:space="1" w:color="auto"/>
      </w:pBdr>
      <w:rPr>
        <w:b/>
        <w:sz w:val="16"/>
        <w:szCs w:val="16"/>
        <w:lang w:val="nl-BE"/>
      </w:rPr>
    </w:pPr>
    <w:r>
      <w:rPr>
        <w:b/>
        <w:sz w:val="16"/>
        <w:szCs w:val="16"/>
        <w:lang w:val="nl-BE"/>
      </w:rPr>
      <w:t>Public</w:t>
    </w:r>
    <w:r>
      <w:rPr>
        <w:b/>
        <w:sz w:val="16"/>
        <w:szCs w:val="16"/>
        <w:lang w:val="nl-BE"/>
      </w:rPr>
      <w:tab/>
    </w:r>
    <w:r>
      <w:rPr>
        <w:sz w:val="14"/>
        <w:szCs w:val="16"/>
        <w:lang w:val="nl-BE"/>
      </w:rPr>
      <w:t>NBB_2023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 xml:space="preserve">24 </w:t>
    </w:r>
    <w:proofErr w:type="spellStart"/>
    <w:r>
      <w:rPr>
        <w:sz w:val="14"/>
        <w:szCs w:val="16"/>
        <w:lang w:val="nl-BE"/>
      </w:rPr>
      <w:t>avril</w:t>
    </w:r>
    <w:proofErr w:type="spellEnd"/>
    <w:r>
      <w:rPr>
        <w:sz w:val="14"/>
        <w:szCs w:val="16"/>
        <w:lang w:val="nl-BE"/>
      </w:rPr>
      <w:t xml:space="preserve"> 2023</w:t>
    </w:r>
    <w:r>
      <w:rPr>
        <w:b/>
        <w:sz w:val="16"/>
        <w:szCs w:val="16"/>
        <w:lang w:val="nl-BE"/>
      </w:rPr>
      <w:tab/>
      <w:t>Annexe 3</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SECTIONPAGES   </w:instrText>
    </w:r>
    <w:r>
      <w:rPr>
        <w:b/>
        <w:sz w:val="16"/>
        <w:szCs w:val="16"/>
        <w:lang w:val="nl-BE"/>
      </w:rPr>
      <w:fldChar w:fldCharType="separate"/>
    </w:r>
    <w:r w:rsidR="004666F6">
      <w:rPr>
        <w:b/>
        <w:noProof/>
        <w:sz w:val="16"/>
        <w:szCs w:val="16"/>
        <w:lang w:val="nl-BE"/>
      </w:rPr>
      <w:t>6</w:t>
    </w:r>
    <w:r>
      <w:rPr>
        <w:b/>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7C5B" w14:textId="77777777" w:rsidR="00F66CE1" w:rsidRPr="00117F31" w:rsidRDefault="00F66CE1" w:rsidP="00117F31">
      <w:pPr>
        <w:pStyle w:val="Footer"/>
      </w:pPr>
    </w:p>
  </w:footnote>
  <w:footnote w:type="continuationSeparator" w:id="0">
    <w:p w14:paraId="015E0C64" w14:textId="77777777" w:rsidR="00F66CE1" w:rsidRPr="00117F31" w:rsidRDefault="00F66CE1" w:rsidP="00117F31">
      <w:pPr>
        <w:pStyle w:val="Footer"/>
      </w:pPr>
    </w:p>
  </w:footnote>
  <w:footnote w:type="continuationNotice" w:id="1">
    <w:p w14:paraId="034CCD84" w14:textId="77777777" w:rsidR="00F66CE1" w:rsidRDefault="00F66CE1"/>
  </w:footnote>
  <w:footnote w:id="2">
    <w:p w14:paraId="1BDAB9D6" w14:textId="70C94A7A" w:rsidR="00147746" w:rsidRDefault="00147746" w:rsidP="00B772FE">
      <w:pPr>
        <w:pStyle w:val="FootnoteText"/>
        <w:spacing w:line="240" w:lineRule="auto"/>
        <w:ind w:right="1072"/>
        <w:contextualSpacing/>
        <w:rPr>
          <w:i/>
          <w:szCs w:val="22"/>
          <w:lang w:val="en-US"/>
        </w:rPr>
      </w:pPr>
      <w:r>
        <w:rPr>
          <w:rStyle w:val="FootnoteReference"/>
        </w:rPr>
        <w:footnoteRef/>
      </w:r>
      <w:r w:rsidR="00B772FE">
        <w:rPr>
          <w:lang w:val="en-US"/>
        </w:rPr>
        <w:tab/>
      </w:r>
      <w:r w:rsidRPr="00FE1FA4">
        <w:rPr>
          <w:iCs/>
          <w:szCs w:val="22"/>
          <w:lang w:val="en-US"/>
        </w:rPr>
        <w:t xml:space="preserve">EBA/RTS/2022/10. </w:t>
      </w:r>
      <w:r w:rsidRPr="00452156">
        <w:rPr>
          <w:i/>
          <w:szCs w:val="22"/>
          <w:lang w:val="en-US"/>
        </w:rPr>
        <w:t xml:space="preserve">Draft Regulatory Technical Standards specifying supervisory shock scenarios, common </w:t>
      </w:r>
      <w:proofErr w:type="gramStart"/>
      <w:r w:rsidRPr="00452156">
        <w:rPr>
          <w:i/>
          <w:szCs w:val="22"/>
          <w:lang w:val="en-US"/>
        </w:rPr>
        <w:t>modelling</w:t>
      </w:r>
      <w:proofErr w:type="gramEnd"/>
      <w:r w:rsidRPr="00452156">
        <w:rPr>
          <w:i/>
          <w:szCs w:val="22"/>
          <w:lang w:val="en-US"/>
        </w:rPr>
        <w:t xml:space="preserve"> and parametric assumptions and what constitutes a large decline for the calculation of the economic value of equity and of the net interest income in accordance with Article 98(5a) of Directive 2013/36/EU.</w:t>
      </w:r>
    </w:p>
    <w:p w14:paraId="4EEA31E2" w14:textId="77777777" w:rsidR="00E34649" w:rsidRPr="0011229E" w:rsidRDefault="00E34649" w:rsidP="006534D1">
      <w:pPr>
        <w:pStyle w:val="FootnoteText"/>
        <w:ind w:right="1074" w:hanging="142"/>
        <w:rPr>
          <w:lang w:val="en-US"/>
        </w:rPr>
      </w:pPr>
    </w:p>
  </w:footnote>
  <w:footnote w:id="3">
    <w:p w14:paraId="31181139" w14:textId="68DCB6B1" w:rsidR="00147746" w:rsidRDefault="00147746" w:rsidP="00D951AA">
      <w:pPr>
        <w:pStyle w:val="FootnoteText"/>
        <w:spacing w:line="240" w:lineRule="auto"/>
        <w:ind w:right="1134"/>
        <w:rPr>
          <w:i/>
          <w:szCs w:val="22"/>
          <w:lang w:val="en-US"/>
        </w:rPr>
      </w:pPr>
      <w:r>
        <w:rPr>
          <w:rStyle w:val="FootnoteReference"/>
        </w:rPr>
        <w:footnoteRef/>
      </w:r>
      <w:r w:rsidR="00D951AA">
        <w:rPr>
          <w:lang w:val="en-US"/>
        </w:rPr>
        <w:tab/>
      </w:r>
      <w:r w:rsidRPr="004C7871">
        <w:rPr>
          <w:iCs/>
          <w:szCs w:val="22"/>
          <w:lang w:val="en-US"/>
        </w:rPr>
        <w:t>EBA/RTS/2022/09.</w:t>
      </w:r>
      <w:r w:rsidRPr="004666F6">
        <w:rPr>
          <w:iCs/>
          <w:szCs w:val="22"/>
          <w:lang w:val="en-US"/>
        </w:rPr>
        <w:t xml:space="preserve"> </w:t>
      </w:r>
      <w:r w:rsidRPr="006C725A">
        <w:rPr>
          <w:i/>
          <w:szCs w:val="22"/>
          <w:lang w:val="en-US"/>
        </w:rPr>
        <w:t>Draft Regulatory Technical Standards specifying standardised and simplified standardised methodologies to evaluate the risks arising from potential changes in interest rates that affect both the economic value of equity and the net interest income of an institution’s non-trading book activities in accordance with 84(5) of Directive 2013/36/EU.</w:t>
      </w:r>
    </w:p>
    <w:p w14:paraId="516FC6BE" w14:textId="77777777" w:rsidR="004666F6" w:rsidRPr="004C7871" w:rsidRDefault="004666F6" w:rsidP="00A66E07">
      <w:pPr>
        <w:pStyle w:val="FootnoteText"/>
        <w:ind w:right="1133" w:hanging="142"/>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D263" w14:textId="77777777" w:rsidR="00266557" w:rsidRDefault="00266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8D16" w14:textId="77777777" w:rsidR="00266557" w:rsidRDefault="00266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8759" w14:textId="77777777" w:rsidR="00266557" w:rsidRDefault="002665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029D" w14:textId="77777777" w:rsidR="00450949" w:rsidRDefault="00450949" w:rsidP="00E829D6">
    <w:pPr>
      <w:pStyle w:val="Header"/>
      <w:tabs>
        <w:tab w:val="clear" w:pos="4394"/>
        <w:tab w:val="center" w:pos="4395"/>
      </w:tabs>
      <w:rPr>
        <w:lang w:val="nl-BE"/>
      </w:rPr>
    </w:pPr>
  </w:p>
  <w:p w14:paraId="496C0465" w14:textId="77777777" w:rsidR="00450949" w:rsidRPr="00BF29ED" w:rsidRDefault="00450949" w:rsidP="00E829D6">
    <w:pPr>
      <w:pStyle w:val="Header"/>
      <w:tabs>
        <w:tab w:val="clear" w:pos="4394"/>
        <w:tab w:val="center" w:pos="4395"/>
      </w:tabs>
      <w:rPr>
        <w:lang w:val="nl-B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EF8C" w14:textId="77777777" w:rsidR="00450949" w:rsidRDefault="00450949" w:rsidP="00D850C8">
    <w:pPr>
      <w:pStyle w:val="Header"/>
      <w:rPr>
        <w:lang w:val="nl-BE"/>
      </w:rPr>
    </w:pPr>
  </w:p>
  <w:p w14:paraId="037AC526" w14:textId="77777777" w:rsidR="00450949" w:rsidRPr="00D850C8" w:rsidRDefault="00450949" w:rsidP="00D850C8">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E8E166"/>
    <w:lvl w:ilvl="0">
      <w:start w:val="1"/>
      <w:numFmt w:val="lowerRoman"/>
      <w:pStyle w:val="ListNumber3"/>
      <w:lvlText w:val="%1."/>
      <w:lvlJc w:val="left"/>
      <w:pPr>
        <w:ind w:left="851" w:hanging="285"/>
      </w:pPr>
      <w:rPr>
        <w:rFonts w:ascii="Arial" w:hAnsi="Arial" w:hint="default"/>
        <w:b w:val="0"/>
        <w:i w:val="0"/>
        <w:sz w:val="20"/>
      </w:rPr>
    </w:lvl>
  </w:abstractNum>
  <w:abstractNum w:abstractNumId="3" w15:restartNumberingAfterBreak="0">
    <w:nsid w:val="FFFFFF7F"/>
    <w:multiLevelType w:val="singleLevel"/>
    <w:tmpl w:val="E7D8E07C"/>
    <w:lvl w:ilvl="0">
      <w:start w:val="1"/>
      <w:numFmt w:val="lowerLetter"/>
      <w:pStyle w:val="ListNumber2"/>
      <w:lvlText w:val="%1."/>
      <w:lvlJc w:val="left"/>
      <w:pPr>
        <w:ind w:left="567" w:hanging="284"/>
      </w:pPr>
      <w:rPr>
        <w:rFonts w:ascii="Arial" w:hAnsi="Arial" w:hint="default"/>
        <w:b w:val="0"/>
        <w:i w:val="0"/>
        <w:sz w:val="20"/>
      </w:rPr>
    </w:lvl>
  </w:abstractNum>
  <w:abstractNum w:abstractNumId="4" w15:restartNumberingAfterBreak="0">
    <w:nsid w:val="FFFFFF80"/>
    <w:multiLevelType w:val="singleLevel"/>
    <w:tmpl w:val="FED0124A"/>
    <w:lvl w:ilvl="0">
      <w:start w:val="1"/>
      <w:numFmt w:val="bullet"/>
      <w:pStyle w:val="ListBullet5"/>
      <w:lvlText w:val=""/>
      <w:lvlJc w:val="left"/>
      <w:pPr>
        <w:ind w:left="1418" w:hanging="286"/>
      </w:pPr>
      <w:rPr>
        <w:rFonts w:ascii="Symbol" w:hAnsi="Symbol" w:hint="default"/>
        <w:b w:val="0"/>
        <w:i w:val="0"/>
        <w:sz w:val="20"/>
      </w:rPr>
    </w:lvl>
  </w:abstractNum>
  <w:abstractNum w:abstractNumId="5" w15:restartNumberingAfterBreak="0">
    <w:nsid w:val="FFFFFF81"/>
    <w:multiLevelType w:val="singleLevel"/>
    <w:tmpl w:val="ED881D6E"/>
    <w:lvl w:ilvl="0">
      <w:start w:val="1"/>
      <w:numFmt w:val="bullet"/>
      <w:pStyle w:val="ListBullet4"/>
      <w:lvlText w:val="○"/>
      <w:lvlJc w:val="left"/>
      <w:pPr>
        <w:ind w:left="1134" w:hanging="285"/>
      </w:pPr>
      <w:rPr>
        <w:rFonts w:ascii="Arial" w:hAnsi="Arial" w:hint="default"/>
        <w:b w:val="0"/>
        <w:i w:val="0"/>
        <w:sz w:val="20"/>
      </w:rPr>
    </w:lvl>
  </w:abstractNum>
  <w:abstractNum w:abstractNumId="6" w15:restartNumberingAfterBreak="0">
    <w:nsid w:val="FFFFFF82"/>
    <w:multiLevelType w:val="singleLevel"/>
    <w:tmpl w:val="D4D0E4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40C1E"/>
    <w:lvl w:ilvl="0">
      <w:start w:val="1"/>
      <w:numFmt w:val="bullet"/>
      <w:pStyle w:val="ListBullet2"/>
      <w:lvlText w:val="□"/>
      <w:lvlJc w:val="left"/>
      <w:pPr>
        <w:ind w:left="567" w:hanging="284"/>
      </w:pPr>
      <w:rPr>
        <w:rFonts w:ascii="Arial" w:hAnsi="Arial" w:hint="default"/>
        <w:b w:val="0"/>
        <w:i w:val="0"/>
        <w:sz w:val="20"/>
      </w:rPr>
    </w:lvl>
  </w:abstractNum>
  <w:abstractNum w:abstractNumId="8" w15:restartNumberingAfterBreak="0">
    <w:nsid w:val="FFFFFF88"/>
    <w:multiLevelType w:val="singleLevel"/>
    <w:tmpl w:val="074A0542"/>
    <w:lvl w:ilvl="0">
      <w:start w:val="1"/>
      <w:numFmt w:val="decimal"/>
      <w:pStyle w:val="ListNumber"/>
      <w:lvlText w:val="%1."/>
      <w:lvlJc w:val="left"/>
      <w:pPr>
        <w:ind w:left="284" w:hanging="284"/>
      </w:pPr>
      <w:rPr>
        <w:rFonts w:ascii="Arial" w:hAnsi="Arial" w:hint="default"/>
        <w:b w:val="0"/>
        <w:i w:val="0"/>
        <w:sz w:val="20"/>
      </w:rPr>
    </w:lvl>
  </w:abstractNum>
  <w:abstractNum w:abstractNumId="9" w15:restartNumberingAfterBreak="0">
    <w:nsid w:val="FFFFFF89"/>
    <w:multiLevelType w:val="singleLevel"/>
    <w:tmpl w:val="D474FA8C"/>
    <w:lvl w:ilvl="0">
      <w:start w:val="1"/>
      <w:numFmt w:val="bullet"/>
      <w:pStyle w:val="ListBullet"/>
      <w:lvlText w:val="■"/>
      <w:lvlJc w:val="left"/>
      <w:pPr>
        <w:ind w:left="284" w:hanging="284"/>
      </w:pPr>
      <w:rPr>
        <w:rFonts w:ascii="Arial" w:hAnsi="Arial" w:hint="default"/>
        <w:b w:val="0"/>
        <w:i w:val="0"/>
        <w:sz w:val="20"/>
      </w:rPr>
    </w:lvl>
  </w:abstractNum>
  <w:abstractNum w:abstractNumId="10" w15:restartNumberingAfterBreak="0">
    <w:nsid w:val="014901FB"/>
    <w:multiLevelType w:val="hybridMultilevel"/>
    <w:tmpl w:val="CDA0F682"/>
    <w:lvl w:ilvl="0" w:tplc="7070E264">
      <w:start w:val="1"/>
      <w:numFmt w:val="bullet"/>
      <w:pStyle w:val="ListBullet3"/>
      <w:lvlText w:val="●"/>
      <w:lvlJc w:val="left"/>
      <w:pPr>
        <w:ind w:left="851" w:hanging="284"/>
      </w:pPr>
      <w:rPr>
        <w:rFonts w:ascii="Arial" w:hAnsi="Arial" w:hint="default"/>
        <w:b w:val="0"/>
        <w:i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1B34E60"/>
    <w:multiLevelType w:val="hybridMultilevel"/>
    <w:tmpl w:val="46488A56"/>
    <w:lvl w:ilvl="0" w:tplc="FFB0B2B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3"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4"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5" w15:restartNumberingAfterBreak="0">
    <w:nsid w:val="1BF37AC0"/>
    <w:multiLevelType w:val="multilevel"/>
    <w:tmpl w:val="20E0AEF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8"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9"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0"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1"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23F3443"/>
    <w:multiLevelType w:val="multilevel"/>
    <w:tmpl w:val="A6687038"/>
    <w:lvl w:ilvl="0">
      <w:start w:val="1"/>
      <w:numFmt w:val="decimal"/>
      <w:lvlText w:val="%1."/>
      <w:lvlJc w:val="left"/>
      <w:pPr>
        <w:ind w:left="357" w:hanging="357"/>
      </w:pPr>
      <w:rPr>
        <w:rFonts w:hint="default"/>
      </w:rPr>
    </w:lvl>
    <w:lvl w:ilvl="1">
      <w:start w:val="1"/>
      <w:numFmt w:val="upperLetter"/>
      <w:lvlText w:val="%1.%2."/>
      <w:lvlJc w:val="left"/>
      <w:pPr>
        <w:ind w:left="567" w:hanging="567"/>
      </w:pPr>
      <w:rPr>
        <w:rFonts w:hint="default"/>
      </w:rPr>
    </w:lvl>
    <w:lvl w:ilvl="2">
      <w:numFmt w:val="decimal"/>
      <w:lvlText w:val="%1.%2.%3."/>
      <w:lvlJc w:val="left"/>
      <w:pPr>
        <w:ind w:left="709" w:hanging="709"/>
      </w:pPr>
      <w:rPr>
        <w:rFonts w:hint="default"/>
      </w:rPr>
    </w:lvl>
    <w:lvl w:ilvl="3">
      <w:start w:val="1"/>
      <w:numFmt w:val="lowerLetter"/>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9A13841"/>
    <w:multiLevelType w:val="multilevel"/>
    <w:tmpl w:val="D22678D4"/>
    <w:lvl w:ilvl="0">
      <w:start w:val="1"/>
      <w:numFmt w:val="decimal"/>
      <w:lvlText w:val="%1."/>
      <w:lvlJc w:val="left"/>
      <w:pPr>
        <w:ind w:left="660" w:hanging="226"/>
      </w:pPr>
      <w:rPr>
        <w:rFonts w:ascii="Arial" w:eastAsia="Arial" w:hAnsi="Arial" w:cs="Arial" w:hint="default"/>
        <w:b/>
        <w:bCs/>
        <w:spacing w:val="-2"/>
        <w:w w:val="100"/>
        <w:sz w:val="20"/>
        <w:szCs w:val="20"/>
        <w:lang w:val="fr-FR" w:eastAsia="en-US" w:bidi="ar-SA"/>
      </w:rPr>
    </w:lvl>
    <w:lvl w:ilvl="1">
      <w:start w:val="1"/>
      <w:numFmt w:val="decimal"/>
      <w:lvlText w:val="%1.%2."/>
      <w:lvlJc w:val="left"/>
      <w:pPr>
        <w:ind w:left="982" w:hanging="566"/>
      </w:pPr>
      <w:rPr>
        <w:rFonts w:ascii="Arial MT" w:eastAsia="Arial MT" w:hAnsi="Arial MT" w:cs="Arial MT" w:hint="default"/>
        <w:spacing w:val="-2"/>
        <w:w w:val="100"/>
        <w:sz w:val="20"/>
        <w:szCs w:val="20"/>
        <w:lang w:val="fr-FR" w:eastAsia="en-US" w:bidi="ar-SA"/>
      </w:rPr>
    </w:lvl>
    <w:lvl w:ilvl="2">
      <w:start w:val="1"/>
      <w:numFmt w:val="decimal"/>
      <w:lvlText w:val="%1.%2.%3."/>
      <w:lvlJc w:val="left"/>
      <w:pPr>
        <w:ind w:left="1548" w:hanging="566"/>
        <w:jc w:val="right"/>
      </w:pPr>
      <w:rPr>
        <w:rFonts w:ascii="Arial MT" w:eastAsia="Arial MT" w:hAnsi="Arial MT" w:cs="Arial MT" w:hint="default"/>
        <w:spacing w:val="-2"/>
        <w:w w:val="100"/>
        <w:sz w:val="20"/>
        <w:szCs w:val="20"/>
        <w:lang w:val="fr-FR" w:eastAsia="en-US" w:bidi="ar-SA"/>
      </w:rPr>
    </w:lvl>
    <w:lvl w:ilvl="3">
      <w:numFmt w:val="bullet"/>
      <w:lvlText w:val="•"/>
      <w:lvlJc w:val="left"/>
      <w:pPr>
        <w:ind w:left="1540" w:hanging="566"/>
      </w:pPr>
      <w:rPr>
        <w:rFonts w:hint="default"/>
        <w:lang w:val="fr-FR" w:eastAsia="en-US" w:bidi="ar-SA"/>
      </w:rPr>
    </w:lvl>
    <w:lvl w:ilvl="4">
      <w:numFmt w:val="bullet"/>
      <w:lvlText w:val="•"/>
      <w:lvlJc w:val="left"/>
      <w:pPr>
        <w:ind w:left="2809" w:hanging="566"/>
      </w:pPr>
      <w:rPr>
        <w:rFonts w:hint="default"/>
        <w:lang w:val="fr-FR" w:eastAsia="en-US" w:bidi="ar-SA"/>
      </w:rPr>
    </w:lvl>
    <w:lvl w:ilvl="5">
      <w:numFmt w:val="bullet"/>
      <w:lvlText w:val="•"/>
      <w:lvlJc w:val="left"/>
      <w:pPr>
        <w:ind w:left="4078" w:hanging="566"/>
      </w:pPr>
      <w:rPr>
        <w:rFonts w:hint="default"/>
        <w:lang w:val="fr-FR" w:eastAsia="en-US" w:bidi="ar-SA"/>
      </w:rPr>
    </w:lvl>
    <w:lvl w:ilvl="6">
      <w:numFmt w:val="bullet"/>
      <w:lvlText w:val="•"/>
      <w:lvlJc w:val="left"/>
      <w:pPr>
        <w:ind w:left="5347" w:hanging="566"/>
      </w:pPr>
      <w:rPr>
        <w:rFonts w:hint="default"/>
        <w:lang w:val="fr-FR" w:eastAsia="en-US" w:bidi="ar-SA"/>
      </w:rPr>
    </w:lvl>
    <w:lvl w:ilvl="7">
      <w:numFmt w:val="bullet"/>
      <w:lvlText w:val="•"/>
      <w:lvlJc w:val="left"/>
      <w:pPr>
        <w:ind w:left="6616" w:hanging="566"/>
      </w:pPr>
      <w:rPr>
        <w:rFonts w:hint="default"/>
        <w:lang w:val="fr-FR" w:eastAsia="en-US" w:bidi="ar-SA"/>
      </w:rPr>
    </w:lvl>
    <w:lvl w:ilvl="8">
      <w:numFmt w:val="bullet"/>
      <w:lvlText w:val="•"/>
      <w:lvlJc w:val="left"/>
      <w:pPr>
        <w:ind w:left="7885" w:hanging="566"/>
      </w:pPr>
      <w:rPr>
        <w:rFonts w:hint="default"/>
        <w:lang w:val="fr-FR" w:eastAsia="en-US" w:bidi="ar-SA"/>
      </w:rPr>
    </w:lvl>
  </w:abstractNum>
  <w:abstractNum w:abstractNumId="26"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8" w15:restartNumberingAfterBreak="0">
    <w:nsid w:val="5EE832A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757776"/>
    <w:multiLevelType w:val="hybridMultilevel"/>
    <w:tmpl w:val="66A05E62"/>
    <w:lvl w:ilvl="0" w:tplc="C6204E7E">
      <w:start w:val="1"/>
      <w:numFmt w:val="bullet"/>
      <w:lvlText w:val="-"/>
      <w:lvlJc w:val="left"/>
      <w:pPr>
        <w:ind w:left="720" w:hanging="360"/>
      </w:pPr>
      <w:rPr>
        <w:rFonts w:ascii="Segoe UI" w:hAnsi="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5"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16cid:durableId="1314262909">
    <w:abstractNumId w:val="0"/>
  </w:num>
  <w:num w:numId="2" w16cid:durableId="1145269808">
    <w:abstractNumId w:val="1"/>
  </w:num>
  <w:num w:numId="3" w16cid:durableId="1534344990">
    <w:abstractNumId w:val="2"/>
  </w:num>
  <w:num w:numId="4" w16cid:durableId="897280323">
    <w:abstractNumId w:val="3"/>
  </w:num>
  <w:num w:numId="5" w16cid:durableId="1805853868">
    <w:abstractNumId w:val="8"/>
  </w:num>
  <w:num w:numId="6" w16cid:durableId="314533496">
    <w:abstractNumId w:val="4"/>
  </w:num>
  <w:num w:numId="7" w16cid:durableId="1883980376">
    <w:abstractNumId w:val="5"/>
  </w:num>
  <w:num w:numId="8" w16cid:durableId="1034813803">
    <w:abstractNumId w:val="6"/>
  </w:num>
  <w:num w:numId="9" w16cid:durableId="817959922">
    <w:abstractNumId w:val="7"/>
  </w:num>
  <w:num w:numId="10" w16cid:durableId="322053551">
    <w:abstractNumId w:val="9"/>
  </w:num>
  <w:num w:numId="11" w16cid:durableId="103304311">
    <w:abstractNumId w:val="29"/>
  </w:num>
  <w:num w:numId="12" w16cid:durableId="1721704050">
    <w:abstractNumId w:val="22"/>
  </w:num>
  <w:num w:numId="13" w16cid:durableId="1008600263">
    <w:abstractNumId w:val="32"/>
  </w:num>
  <w:num w:numId="14" w16cid:durableId="1106123196">
    <w:abstractNumId w:val="24"/>
  </w:num>
  <w:num w:numId="15" w16cid:durableId="1940261584">
    <w:abstractNumId w:val="21"/>
  </w:num>
  <w:num w:numId="16" w16cid:durableId="222833232">
    <w:abstractNumId w:val="16"/>
  </w:num>
  <w:num w:numId="17" w16cid:durableId="1032918479">
    <w:abstractNumId w:val="34"/>
  </w:num>
  <w:num w:numId="18" w16cid:durableId="1193803839">
    <w:abstractNumId w:val="14"/>
  </w:num>
  <w:num w:numId="19" w16cid:durableId="1135947083">
    <w:abstractNumId w:val="17"/>
  </w:num>
  <w:num w:numId="20" w16cid:durableId="1375084818">
    <w:abstractNumId w:val="35"/>
  </w:num>
  <w:num w:numId="21" w16cid:durableId="513035372">
    <w:abstractNumId w:val="13"/>
  </w:num>
  <w:num w:numId="22" w16cid:durableId="1499149493">
    <w:abstractNumId w:val="26"/>
  </w:num>
  <w:num w:numId="23" w16cid:durableId="1955135786">
    <w:abstractNumId w:val="30"/>
  </w:num>
  <w:num w:numId="24" w16cid:durableId="2090688659">
    <w:abstractNumId w:val="19"/>
  </w:num>
  <w:num w:numId="25" w16cid:durableId="1853716206">
    <w:abstractNumId w:val="18"/>
  </w:num>
  <w:num w:numId="26" w16cid:durableId="968049407">
    <w:abstractNumId w:val="27"/>
  </w:num>
  <w:num w:numId="27" w16cid:durableId="1995910365">
    <w:abstractNumId w:val="12"/>
  </w:num>
  <w:num w:numId="28" w16cid:durableId="64766511">
    <w:abstractNumId w:val="20"/>
  </w:num>
  <w:num w:numId="29" w16cid:durableId="605844765">
    <w:abstractNumId w:val="31"/>
  </w:num>
  <w:num w:numId="30" w16cid:durableId="1014456786">
    <w:abstractNumId w:val="23"/>
  </w:num>
  <w:num w:numId="31" w16cid:durableId="1436824033">
    <w:abstractNumId w:val="9"/>
  </w:num>
  <w:num w:numId="32" w16cid:durableId="455300463">
    <w:abstractNumId w:val="7"/>
  </w:num>
  <w:num w:numId="33" w16cid:durableId="653264899">
    <w:abstractNumId w:val="10"/>
  </w:num>
  <w:num w:numId="34" w16cid:durableId="198396544">
    <w:abstractNumId w:val="5"/>
  </w:num>
  <w:num w:numId="35" w16cid:durableId="343438956">
    <w:abstractNumId w:val="4"/>
  </w:num>
  <w:num w:numId="36" w16cid:durableId="524443907">
    <w:abstractNumId w:val="8"/>
  </w:num>
  <w:num w:numId="37" w16cid:durableId="1022584723">
    <w:abstractNumId w:val="3"/>
  </w:num>
  <w:num w:numId="38" w16cid:durableId="605191238">
    <w:abstractNumId w:val="2"/>
  </w:num>
  <w:num w:numId="39" w16cid:durableId="1629388117">
    <w:abstractNumId w:val="8"/>
  </w:num>
  <w:num w:numId="40" w16cid:durableId="140267269">
    <w:abstractNumId w:val="3"/>
  </w:num>
  <w:num w:numId="41" w16cid:durableId="714701159">
    <w:abstractNumId w:val="2"/>
  </w:num>
  <w:num w:numId="42" w16cid:durableId="1295939189">
    <w:abstractNumId w:val="25"/>
  </w:num>
  <w:num w:numId="43" w16cid:durableId="943271769">
    <w:abstractNumId w:val="11"/>
  </w:num>
  <w:num w:numId="44" w16cid:durableId="2028631316">
    <w:abstractNumId w:val="28"/>
  </w:num>
  <w:num w:numId="45" w16cid:durableId="680159003">
    <w:abstractNumId w:val="15"/>
  </w:num>
  <w:num w:numId="46" w16cid:durableId="1577743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99"/>
    <w:rsid w:val="00021FFE"/>
    <w:rsid w:val="00024A9E"/>
    <w:rsid w:val="000327D2"/>
    <w:rsid w:val="0003333C"/>
    <w:rsid w:val="00036E81"/>
    <w:rsid w:val="0004319E"/>
    <w:rsid w:val="000433B6"/>
    <w:rsid w:val="000454A8"/>
    <w:rsid w:val="0004570B"/>
    <w:rsid w:val="00046F25"/>
    <w:rsid w:val="00051E31"/>
    <w:rsid w:val="00051F2C"/>
    <w:rsid w:val="00053EEF"/>
    <w:rsid w:val="00054153"/>
    <w:rsid w:val="00062C1B"/>
    <w:rsid w:val="00064AC6"/>
    <w:rsid w:val="00082FA7"/>
    <w:rsid w:val="000869C2"/>
    <w:rsid w:val="000875B3"/>
    <w:rsid w:val="00090275"/>
    <w:rsid w:val="00097598"/>
    <w:rsid w:val="000A1DA9"/>
    <w:rsid w:val="000A3128"/>
    <w:rsid w:val="000A667A"/>
    <w:rsid w:val="000A6C3F"/>
    <w:rsid w:val="000B2D72"/>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25CC4"/>
    <w:rsid w:val="0013374A"/>
    <w:rsid w:val="00133D4B"/>
    <w:rsid w:val="00133E60"/>
    <w:rsid w:val="00145EF1"/>
    <w:rsid w:val="00147746"/>
    <w:rsid w:val="00147933"/>
    <w:rsid w:val="0015124C"/>
    <w:rsid w:val="001516F5"/>
    <w:rsid w:val="0015337A"/>
    <w:rsid w:val="00154310"/>
    <w:rsid w:val="001548A9"/>
    <w:rsid w:val="00155349"/>
    <w:rsid w:val="0015659A"/>
    <w:rsid w:val="00160D31"/>
    <w:rsid w:val="00167ACD"/>
    <w:rsid w:val="00172DAF"/>
    <w:rsid w:val="00175ADE"/>
    <w:rsid w:val="001763C2"/>
    <w:rsid w:val="001767CB"/>
    <w:rsid w:val="00177A87"/>
    <w:rsid w:val="00184653"/>
    <w:rsid w:val="0018615D"/>
    <w:rsid w:val="00186EC7"/>
    <w:rsid w:val="0019158E"/>
    <w:rsid w:val="00197FEB"/>
    <w:rsid w:val="001A1D68"/>
    <w:rsid w:val="001A7DC7"/>
    <w:rsid w:val="001B4EEE"/>
    <w:rsid w:val="001B7F21"/>
    <w:rsid w:val="001C21B7"/>
    <w:rsid w:val="001C43F2"/>
    <w:rsid w:val="001D503F"/>
    <w:rsid w:val="001E24D6"/>
    <w:rsid w:val="001F1805"/>
    <w:rsid w:val="001F1DFF"/>
    <w:rsid w:val="001F711D"/>
    <w:rsid w:val="00200D79"/>
    <w:rsid w:val="00201C90"/>
    <w:rsid w:val="00202B0B"/>
    <w:rsid w:val="00204BE8"/>
    <w:rsid w:val="00215E02"/>
    <w:rsid w:val="00221231"/>
    <w:rsid w:val="00223911"/>
    <w:rsid w:val="002307B0"/>
    <w:rsid w:val="00231694"/>
    <w:rsid w:val="00232CEE"/>
    <w:rsid w:val="002333AF"/>
    <w:rsid w:val="00233828"/>
    <w:rsid w:val="002406B2"/>
    <w:rsid w:val="00244E69"/>
    <w:rsid w:val="002477FA"/>
    <w:rsid w:val="00253038"/>
    <w:rsid w:val="002554D2"/>
    <w:rsid w:val="002612BF"/>
    <w:rsid w:val="00261D63"/>
    <w:rsid w:val="00266557"/>
    <w:rsid w:val="002754A4"/>
    <w:rsid w:val="00275C1C"/>
    <w:rsid w:val="00276804"/>
    <w:rsid w:val="00277EDB"/>
    <w:rsid w:val="002817F5"/>
    <w:rsid w:val="002859A3"/>
    <w:rsid w:val="00287538"/>
    <w:rsid w:val="0028790D"/>
    <w:rsid w:val="002A09D0"/>
    <w:rsid w:val="002A4B21"/>
    <w:rsid w:val="002B5743"/>
    <w:rsid w:val="002C0CC4"/>
    <w:rsid w:val="002C7492"/>
    <w:rsid w:val="002D5723"/>
    <w:rsid w:val="002D75B3"/>
    <w:rsid w:val="002E10A2"/>
    <w:rsid w:val="002E15B9"/>
    <w:rsid w:val="002E409B"/>
    <w:rsid w:val="002E4D69"/>
    <w:rsid w:val="002E5144"/>
    <w:rsid w:val="002E52DF"/>
    <w:rsid w:val="002F1611"/>
    <w:rsid w:val="002F792A"/>
    <w:rsid w:val="003116AA"/>
    <w:rsid w:val="003135E6"/>
    <w:rsid w:val="003364D4"/>
    <w:rsid w:val="00336912"/>
    <w:rsid w:val="0034123C"/>
    <w:rsid w:val="003419C5"/>
    <w:rsid w:val="00352B22"/>
    <w:rsid w:val="00353178"/>
    <w:rsid w:val="00353E3D"/>
    <w:rsid w:val="00353FEF"/>
    <w:rsid w:val="00354956"/>
    <w:rsid w:val="00357D44"/>
    <w:rsid w:val="00362513"/>
    <w:rsid w:val="00365065"/>
    <w:rsid w:val="00365FFE"/>
    <w:rsid w:val="0037530A"/>
    <w:rsid w:val="00377371"/>
    <w:rsid w:val="003802EE"/>
    <w:rsid w:val="0038095A"/>
    <w:rsid w:val="00381F4A"/>
    <w:rsid w:val="00383392"/>
    <w:rsid w:val="0038758B"/>
    <w:rsid w:val="00387716"/>
    <w:rsid w:val="00395A49"/>
    <w:rsid w:val="00397DDA"/>
    <w:rsid w:val="003B1662"/>
    <w:rsid w:val="003B755D"/>
    <w:rsid w:val="003B7866"/>
    <w:rsid w:val="003D7096"/>
    <w:rsid w:val="003E4166"/>
    <w:rsid w:val="003E4928"/>
    <w:rsid w:val="003E5AC6"/>
    <w:rsid w:val="003F2836"/>
    <w:rsid w:val="003F792F"/>
    <w:rsid w:val="003F7C4E"/>
    <w:rsid w:val="004003CC"/>
    <w:rsid w:val="00401C3E"/>
    <w:rsid w:val="00406A44"/>
    <w:rsid w:val="00407822"/>
    <w:rsid w:val="00412C56"/>
    <w:rsid w:val="0042011E"/>
    <w:rsid w:val="00420141"/>
    <w:rsid w:val="0042241E"/>
    <w:rsid w:val="0042595A"/>
    <w:rsid w:val="004275C8"/>
    <w:rsid w:val="004314A4"/>
    <w:rsid w:val="00432231"/>
    <w:rsid w:val="00437FA4"/>
    <w:rsid w:val="004449B7"/>
    <w:rsid w:val="00450949"/>
    <w:rsid w:val="004540E1"/>
    <w:rsid w:val="00454C65"/>
    <w:rsid w:val="00456DEB"/>
    <w:rsid w:val="004619EE"/>
    <w:rsid w:val="00461B36"/>
    <w:rsid w:val="00464101"/>
    <w:rsid w:val="004666F6"/>
    <w:rsid w:val="004679FA"/>
    <w:rsid w:val="0047056E"/>
    <w:rsid w:val="004720E9"/>
    <w:rsid w:val="00477F18"/>
    <w:rsid w:val="00485F3C"/>
    <w:rsid w:val="00487F69"/>
    <w:rsid w:val="004A477F"/>
    <w:rsid w:val="004A4C5C"/>
    <w:rsid w:val="004B400F"/>
    <w:rsid w:val="004C14FA"/>
    <w:rsid w:val="004C2424"/>
    <w:rsid w:val="004D12DD"/>
    <w:rsid w:val="004E136D"/>
    <w:rsid w:val="004F04DA"/>
    <w:rsid w:val="004F0F6B"/>
    <w:rsid w:val="004F41BA"/>
    <w:rsid w:val="00501DA5"/>
    <w:rsid w:val="005033DA"/>
    <w:rsid w:val="0050792E"/>
    <w:rsid w:val="0051268A"/>
    <w:rsid w:val="0052784F"/>
    <w:rsid w:val="00531EDA"/>
    <w:rsid w:val="00532BA6"/>
    <w:rsid w:val="005433B6"/>
    <w:rsid w:val="005502A8"/>
    <w:rsid w:val="005508CC"/>
    <w:rsid w:val="00552963"/>
    <w:rsid w:val="0055492B"/>
    <w:rsid w:val="00557A3F"/>
    <w:rsid w:val="0056043D"/>
    <w:rsid w:val="005616A3"/>
    <w:rsid w:val="00561A9A"/>
    <w:rsid w:val="00564429"/>
    <w:rsid w:val="00567693"/>
    <w:rsid w:val="0057142F"/>
    <w:rsid w:val="00571A24"/>
    <w:rsid w:val="00582D56"/>
    <w:rsid w:val="00590433"/>
    <w:rsid w:val="00592469"/>
    <w:rsid w:val="00592957"/>
    <w:rsid w:val="005932C7"/>
    <w:rsid w:val="0059396D"/>
    <w:rsid w:val="005A0B2B"/>
    <w:rsid w:val="005A3DA7"/>
    <w:rsid w:val="005B17DE"/>
    <w:rsid w:val="005B3CCF"/>
    <w:rsid w:val="005B4C1C"/>
    <w:rsid w:val="005B7910"/>
    <w:rsid w:val="005C1B25"/>
    <w:rsid w:val="005C3450"/>
    <w:rsid w:val="005C3F84"/>
    <w:rsid w:val="005C6F2A"/>
    <w:rsid w:val="005E33F6"/>
    <w:rsid w:val="006107D5"/>
    <w:rsid w:val="00610B4E"/>
    <w:rsid w:val="00611E02"/>
    <w:rsid w:val="00621429"/>
    <w:rsid w:val="00627AF2"/>
    <w:rsid w:val="0063089E"/>
    <w:rsid w:val="006316A4"/>
    <w:rsid w:val="00631E3C"/>
    <w:rsid w:val="00634558"/>
    <w:rsid w:val="00635AD7"/>
    <w:rsid w:val="00635DCE"/>
    <w:rsid w:val="00637160"/>
    <w:rsid w:val="006372C7"/>
    <w:rsid w:val="006376E3"/>
    <w:rsid w:val="00645085"/>
    <w:rsid w:val="006506E6"/>
    <w:rsid w:val="00651843"/>
    <w:rsid w:val="006534D1"/>
    <w:rsid w:val="00653A88"/>
    <w:rsid w:val="006545B0"/>
    <w:rsid w:val="006602F1"/>
    <w:rsid w:val="006626A0"/>
    <w:rsid w:val="00667481"/>
    <w:rsid w:val="006703F5"/>
    <w:rsid w:val="0067198D"/>
    <w:rsid w:val="0068065A"/>
    <w:rsid w:val="00683802"/>
    <w:rsid w:val="00683AEF"/>
    <w:rsid w:val="0068679D"/>
    <w:rsid w:val="0069769C"/>
    <w:rsid w:val="00697F48"/>
    <w:rsid w:val="006A3829"/>
    <w:rsid w:val="006A3F65"/>
    <w:rsid w:val="006B164C"/>
    <w:rsid w:val="006B6BFC"/>
    <w:rsid w:val="006C725A"/>
    <w:rsid w:val="006D5E08"/>
    <w:rsid w:val="006E7B69"/>
    <w:rsid w:val="006E7D13"/>
    <w:rsid w:val="00702DA6"/>
    <w:rsid w:val="00703965"/>
    <w:rsid w:val="00706B32"/>
    <w:rsid w:val="0071004E"/>
    <w:rsid w:val="00714070"/>
    <w:rsid w:val="007148AA"/>
    <w:rsid w:val="00730DDA"/>
    <w:rsid w:val="007333F9"/>
    <w:rsid w:val="00733829"/>
    <w:rsid w:val="00733DE9"/>
    <w:rsid w:val="00741E9C"/>
    <w:rsid w:val="007459B1"/>
    <w:rsid w:val="00750B57"/>
    <w:rsid w:val="00752FC4"/>
    <w:rsid w:val="007654E7"/>
    <w:rsid w:val="00766F4D"/>
    <w:rsid w:val="0077019B"/>
    <w:rsid w:val="00773E81"/>
    <w:rsid w:val="00776A5D"/>
    <w:rsid w:val="00785B6F"/>
    <w:rsid w:val="00787601"/>
    <w:rsid w:val="00796920"/>
    <w:rsid w:val="00797BED"/>
    <w:rsid w:val="007A1C59"/>
    <w:rsid w:val="007A1F21"/>
    <w:rsid w:val="007A3EF3"/>
    <w:rsid w:val="007A552B"/>
    <w:rsid w:val="007A6D1E"/>
    <w:rsid w:val="007B25F7"/>
    <w:rsid w:val="007B793B"/>
    <w:rsid w:val="007C6D45"/>
    <w:rsid w:val="007C7818"/>
    <w:rsid w:val="007E0494"/>
    <w:rsid w:val="007E0667"/>
    <w:rsid w:val="007E4E14"/>
    <w:rsid w:val="007E71C9"/>
    <w:rsid w:val="007F0A8C"/>
    <w:rsid w:val="007F462A"/>
    <w:rsid w:val="007F5AF5"/>
    <w:rsid w:val="007F78DB"/>
    <w:rsid w:val="00804480"/>
    <w:rsid w:val="00805AFA"/>
    <w:rsid w:val="008068B6"/>
    <w:rsid w:val="0081015C"/>
    <w:rsid w:val="00814FBE"/>
    <w:rsid w:val="00815A99"/>
    <w:rsid w:val="00821F74"/>
    <w:rsid w:val="00822375"/>
    <w:rsid w:val="00824A23"/>
    <w:rsid w:val="008333C0"/>
    <w:rsid w:val="00836C05"/>
    <w:rsid w:val="008437C4"/>
    <w:rsid w:val="00843F67"/>
    <w:rsid w:val="00847145"/>
    <w:rsid w:val="008503E8"/>
    <w:rsid w:val="00855866"/>
    <w:rsid w:val="00867B55"/>
    <w:rsid w:val="008806C5"/>
    <w:rsid w:val="00881BC1"/>
    <w:rsid w:val="008837CF"/>
    <w:rsid w:val="00896CFE"/>
    <w:rsid w:val="008977A1"/>
    <w:rsid w:val="008A38D9"/>
    <w:rsid w:val="008A6900"/>
    <w:rsid w:val="008B11AD"/>
    <w:rsid w:val="008C4032"/>
    <w:rsid w:val="008D4115"/>
    <w:rsid w:val="008E266D"/>
    <w:rsid w:val="008E5948"/>
    <w:rsid w:val="008E6931"/>
    <w:rsid w:val="008E76BE"/>
    <w:rsid w:val="008F6C4D"/>
    <w:rsid w:val="0090354E"/>
    <w:rsid w:val="0090398E"/>
    <w:rsid w:val="00905D03"/>
    <w:rsid w:val="00914031"/>
    <w:rsid w:val="0092601C"/>
    <w:rsid w:val="00926F54"/>
    <w:rsid w:val="00932175"/>
    <w:rsid w:val="00935B26"/>
    <w:rsid w:val="00937808"/>
    <w:rsid w:val="00940C81"/>
    <w:rsid w:val="00942B19"/>
    <w:rsid w:val="00942EE2"/>
    <w:rsid w:val="009466D6"/>
    <w:rsid w:val="0094773B"/>
    <w:rsid w:val="00950C45"/>
    <w:rsid w:val="00954143"/>
    <w:rsid w:val="009600D3"/>
    <w:rsid w:val="009604AE"/>
    <w:rsid w:val="00974952"/>
    <w:rsid w:val="00980D15"/>
    <w:rsid w:val="00980F5C"/>
    <w:rsid w:val="00983714"/>
    <w:rsid w:val="00985229"/>
    <w:rsid w:val="0098545D"/>
    <w:rsid w:val="00987DEA"/>
    <w:rsid w:val="00990C28"/>
    <w:rsid w:val="00991E7A"/>
    <w:rsid w:val="009939BE"/>
    <w:rsid w:val="00994BF4"/>
    <w:rsid w:val="009A0346"/>
    <w:rsid w:val="009A140C"/>
    <w:rsid w:val="009B132A"/>
    <w:rsid w:val="009B6CCF"/>
    <w:rsid w:val="009B6FA0"/>
    <w:rsid w:val="009C0BC7"/>
    <w:rsid w:val="009D10D0"/>
    <w:rsid w:val="009D1225"/>
    <w:rsid w:val="009D15BD"/>
    <w:rsid w:val="009D277D"/>
    <w:rsid w:val="009D3040"/>
    <w:rsid w:val="009D3082"/>
    <w:rsid w:val="009D48F2"/>
    <w:rsid w:val="009D784B"/>
    <w:rsid w:val="009E2A0A"/>
    <w:rsid w:val="009E56DB"/>
    <w:rsid w:val="00A01013"/>
    <w:rsid w:val="00A06B19"/>
    <w:rsid w:val="00A10895"/>
    <w:rsid w:val="00A11F91"/>
    <w:rsid w:val="00A122B7"/>
    <w:rsid w:val="00A141C9"/>
    <w:rsid w:val="00A147E1"/>
    <w:rsid w:val="00A16F91"/>
    <w:rsid w:val="00A17571"/>
    <w:rsid w:val="00A21496"/>
    <w:rsid w:val="00A22C52"/>
    <w:rsid w:val="00A2514A"/>
    <w:rsid w:val="00A25A33"/>
    <w:rsid w:val="00A267AD"/>
    <w:rsid w:val="00A32B2C"/>
    <w:rsid w:val="00A351FF"/>
    <w:rsid w:val="00A355E9"/>
    <w:rsid w:val="00A51FAA"/>
    <w:rsid w:val="00A52B3E"/>
    <w:rsid w:val="00A55A96"/>
    <w:rsid w:val="00A56340"/>
    <w:rsid w:val="00A605D0"/>
    <w:rsid w:val="00A621A5"/>
    <w:rsid w:val="00A62501"/>
    <w:rsid w:val="00A66E07"/>
    <w:rsid w:val="00A679F2"/>
    <w:rsid w:val="00A709E5"/>
    <w:rsid w:val="00A7250C"/>
    <w:rsid w:val="00A73D60"/>
    <w:rsid w:val="00A745C2"/>
    <w:rsid w:val="00A81448"/>
    <w:rsid w:val="00A876D8"/>
    <w:rsid w:val="00A912F7"/>
    <w:rsid w:val="00A925BE"/>
    <w:rsid w:val="00A973C8"/>
    <w:rsid w:val="00AA074E"/>
    <w:rsid w:val="00AA657C"/>
    <w:rsid w:val="00AB4D11"/>
    <w:rsid w:val="00AB5B67"/>
    <w:rsid w:val="00AB5F38"/>
    <w:rsid w:val="00AB66CA"/>
    <w:rsid w:val="00AB6BD9"/>
    <w:rsid w:val="00AC619F"/>
    <w:rsid w:val="00AD7BAB"/>
    <w:rsid w:val="00AE028E"/>
    <w:rsid w:val="00AE0FA5"/>
    <w:rsid w:val="00AE5973"/>
    <w:rsid w:val="00AF77D2"/>
    <w:rsid w:val="00B04933"/>
    <w:rsid w:val="00B052E8"/>
    <w:rsid w:val="00B10F57"/>
    <w:rsid w:val="00B11BB2"/>
    <w:rsid w:val="00B144C0"/>
    <w:rsid w:val="00B338D7"/>
    <w:rsid w:val="00B34FEF"/>
    <w:rsid w:val="00B352D4"/>
    <w:rsid w:val="00B402AF"/>
    <w:rsid w:val="00B404A0"/>
    <w:rsid w:val="00B41942"/>
    <w:rsid w:val="00B41EC4"/>
    <w:rsid w:val="00B44C6F"/>
    <w:rsid w:val="00B44D45"/>
    <w:rsid w:val="00B46BAE"/>
    <w:rsid w:val="00B52F2E"/>
    <w:rsid w:val="00B614D1"/>
    <w:rsid w:val="00B63B89"/>
    <w:rsid w:val="00B661C8"/>
    <w:rsid w:val="00B772FE"/>
    <w:rsid w:val="00B80CFD"/>
    <w:rsid w:val="00B908B1"/>
    <w:rsid w:val="00B92424"/>
    <w:rsid w:val="00B97B40"/>
    <w:rsid w:val="00BC351F"/>
    <w:rsid w:val="00BC4BA4"/>
    <w:rsid w:val="00BD5CDB"/>
    <w:rsid w:val="00BD69DE"/>
    <w:rsid w:val="00BD7A38"/>
    <w:rsid w:val="00BE0CD8"/>
    <w:rsid w:val="00BE4642"/>
    <w:rsid w:val="00BF29ED"/>
    <w:rsid w:val="00BF5C8A"/>
    <w:rsid w:val="00C0402A"/>
    <w:rsid w:val="00C0490F"/>
    <w:rsid w:val="00C079B3"/>
    <w:rsid w:val="00C24707"/>
    <w:rsid w:val="00C319B4"/>
    <w:rsid w:val="00C33CD7"/>
    <w:rsid w:val="00C34E1C"/>
    <w:rsid w:val="00C365AB"/>
    <w:rsid w:val="00C37D91"/>
    <w:rsid w:val="00C416DC"/>
    <w:rsid w:val="00C474DC"/>
    <w:rsid w:val="00C47857"/>
    <w:rsid w:val="00C5387A"/>
    <w:rsid w:val="00C555D7"/>
    <w:rsid w:val="00C563FE"/>
    <w:rsid w:val="00C61050"/>
    <w:rsid w:val="00C634C5"/>
    <w:rsid w:val="00C641E4"/>
    <w:rsid w:val="00C66480"/>
    <w:rsid w:val="00C737AF"/>
    <w:rsid w:val="00C753E9"/>
    <w:rsid w:val="00C81B69"/>
    <w:rsid w:val="00C84EA1"/>
    <w:rsid w:val="00C90176"/>
    <w:rsid w:val="00C9043A"/>
    <w:rsid w:val="00C94B35"/>
    <w:rsid w:val="00C961A9"/>
    <w:rsid w:val="00CA0014"/>
    <w:rsid w:val="00CA417D"/>
    <w:rsid w:val="00CA5A74"/>
    <w:rsid w:val="00CB2202"/>
    <w:rsid w:val="00CB256A"/>
    <w:rsid w:val="00CB30C8"/>
    <w:rsid w:val="00CB4A52"/>
    <w:rsid w:val="00CC0365"/>
    <w:rsid w:val="00CC06A8"/>
    <w:rsid w:val="00CC4296"/>
    <w:rsid w:val="00CC78A5"/>
    <w:rsid w:val="00CD31C3"/>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45996"/>
    <w:rsid w:val="00D527DE"/>
    <w:rsid w:val="00D556C0"/>
    <w:rsid w:val="00D62D9B"/>
    <w:rsid w:val="00D63DA6"/>
    <w:rsid w:val="00D650B1"/>
    <w:rsid w:val="00D718C9"/>
    <w:rsid w:val="00D71A22"/>
    <w:rsid w:val="00D75B6C"/>
    <w:rsid w:val="00D82C98"/>
    <w:rsid w:val="00D850C8"/>
    <w:rsid w:val="00D9239E"/>
    <w:rsid w:val="00D93C38"/>
    <w:rsid w:val="00D951AA"/>
    <w:rsid w:val="00D96CDE"/>
    <w:rsid w:val="00DB31C8"/>
    <w:rsid w:val="00DC0B0F"/>
    <w:rsid w:val="00DC1B28"/>
    <w:rsid w:val="00DC224C"/>
    <w:rsid w:val="00DC727C"/>
    <w:rsid w:val="00DD1A1D"/>
    <w:rsid w:val="00DD1D39"/>
    <w:rsid w:val="00DD2826"/>
    <w:rsid w:val="00DE2338"/>
    <w:rsid w:val="00DF3B32"/>
    <w:rsid w:val="00DF758C"/>
    <w:rsid w:val="00DF7D48"/>
    <w:rsid w:val="00E04E63"/>
    <w:rsid w:val="00E07CCE"/>
    <w:rsid w:val="00E13E2F"/>
    <w:rsid w:val="00E13E61"/>
    <w:rsid w:val="00E162FC"/>
    <w:rsid w:val="00E16B13"/>
    <w:rsid w:val="00E22E1D"/>
    <w:rsid w:val="00E26476"/>
    <w:rsid w:val="00E26ABD"/>
    <w:rsid w:val="00E27F33"/>
    <w:rsid w:val="00E34649"/>
    <w:rsid w:val="00E348BA"/>
    <w:rsid w:val="00E34A80"/>
    <w:rsid w:val="00E36A25"/>
    <w:rsid w:val="00E36D9F"/>
    <w:rsid w:val="00E47099"/>
    <w:rsid w:val="00E471A8"/>
    <w:rsid w:val="00E65C86"/>
    <w:rsid w:val="00E66CEF"/>
    <w:rsid w:val="00E714F2"/>
    <w:rsid w:val="00E73749"/>
    <w:rsid w:val="00E759E4"/>
    <w:rsid w:val="00E77B8A"/>
    <w:rsid w:val="00E829D6"/>
    <w:rsid w:val="00E8482C"/>
    <w:rsid w:val="00E87276"/>
    <w:rsid w:val="00E917ED"/>
    <w:rsid w:val="00E9511F"/>
    <w:rsid w:val="00E966D1"/>
    <w:rsid w:val="00EA05B9"/>
    <w:rsid w:val="00EA2226"/>
    <w:rsid w:val="00EA33BE"/>
    <w:rsid w:val="00EB13F8"/>
    <w:rsid w:val="00EB28A5"/>
    <w:rsid w:val="00EB3741"/>
    <w:rsid w:val="00EB3F3D"/>
    <w:rsid w:val="00EB6483"/>
    <w:rsid w:val="00EB6DE0"/>
    <w:rsid w:val="00EC4B88"/>
    <w:rsid w:val="00ED10C8"/>
    <w:rsid w:val="00ED1B50"/>
    <w:rsid w:val="00ED445E"/>
    <w:rsid w:val="00ED687C"/>
    <w:rsid w:val="00ED6928"/>
    <w:rsid w:val="00EE3C1C"/>
    <w:rsid w:val="00EE5676"/>
    <w:rsid w:val="00F01DE1"/>
    <w:rsid w:val="00F063BF"/>
    <w:rsid w:val="00F120C3"/>
    <w:rsid w:val="00F17F5E"/>
    <w:rsid w:val="00F21513"/>
    <w:rsid w:val="00F24DB0"/>
    <w:rsid w:val="00F31133"/>
    <w:rsid w:val="00F32E26"/>
    <w:rsid w:val="00F35F9D"/>
    <w:rsid w:val="00F427B1"/>
    <w:rsid w:val="00F4604C"/>
    <w:rsid w:val="00F55AC8"/>
    <w:rsid w:val="00F57B63"/>
    <w:rsid w:val="00F62B97"/>
    <w:rsid w:val="00F63335"/>
    <w:rsid w:val="00F64E38"/>
    <w:rsid w:val="00F65486"/>
    <w:rsid w:val="00F66CE1"/>
    <w:rsid w:val="00F675A7"/>
    <w:rsid w:val="00F747FC"/>
    <w:rsid w:val="00F76523"/>
    <w:rsid w:val="00F835DA"/>
    <w:rsid w:val="00F83D25"/>
    <w:rsid w:val="00F8549F"/>
    <w:rsid w:val="00F917ED"/>
    <w:rsid w:val="00F97595"/>
    <w:rsid w:val="00FA14B8"/>
    <w:rsid w:val="00FA56DE"/>
    <w:rsid w:val="00FA7F8D"/>
    <w:rsid w:val="00FE222C"/>
    <w:rsid w:val="00FE24A6"/>
    <w:rsid w:val="00FF53D1"/>
    <w:rsid w:val="00FF67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C9FBE"/>
  <w15:docId w15:val="{B258C63C-F78D-441F-8093-A967D18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EC4"/>
    <w:pPr>
      <w:spacing w:line="260" w:lineRule="atLeast"/>
    </w:pPr>
    <w:rPr>
      <w:rFonts w:ascii="Arial" w:hAnsi="Arial"/>
      <w:lang w:val="en-GB" w:eastAsia="en-US"/>
    </w:rPr>
  </w:style>
  <w:style w:type="paragraph" w:styleId="Heading1">
    <w:name w:val="heading 1"/>
    <w:basedOn w:val="Normal"/>
    <w:next w:val="Normal"/>
    <w:uiPriority w:val="9"/>
    <w:qFormat/>
    <w:rsid w:val="00B41EC4"/>
    <w:pPr>
      <w:keepNext/>
      <w:keepLines/>
      <w:spacing w:before="480" w:after="240"/>
      <w:outlineLvl w:val="0"/>
    </w:pPr>
    <w:rPr>
      <w:b/>
      <w:caps/>
      <w:u w:val="single"/>
    </w:rPr>
  </w:style>
  <w:style w:type="paragraph" w:styleId="Heading2">
    <w:name w:val="heading 2"/>
    <w:basedOn w:val="Normal"/>
    <w:next w:val="Normal"/>
    <w:qFormat/>
    <w:rsid w:val="00B41EC4"/>
    <w:pPr>
      <w:keepNext/>
      <w:keepLines/>
      <w:spacing w:before="240" w:after="240"/>
      <w:outlineLvl w:val="1"/>
    </w:pPr>
    <w:rPr>
      <w:caps/>
      <w:u w:val="single"/>
    </w:rPr>
  </w:style>
  <w:style w:type="paragraph" w:styleId="Heading3">
    <w:name w:val="heading 3"/>
    <w:basedOn w:val="Normal"/>
    <w:next w:val="Normal"/>
    <w:qFormat/>
    <w:rsid w:val="00B41EC4"/>
    <w:pPr>
      <w:keepNext/>
      <w:keepLines/>
      <w:spacing w:before="240" w:after="120"/>
      <w:outlineLvl w:val="2"/>
    </w:pPr>
    <w:rPr>
      <w:u w:val="single"/>
    </w:rPr>
  </w:style>
  <w:style w:type="paragraph" w:styleId="Heading4">
    <w:name w:val="heading 4"/>
    <w:basedOn w:val="Normal"/>
    <w:next w:val="Normal"/>
    <w:qFormat/>
    <w:rsid w:val="00B41EC4"/>
    <w:pPr>
      <w:keepNext/>
      <w:keepLines/>
      <w:spacing w:before="120" w:after="120"/>
      <w:outlineLvl w:val="3"/>
    </w:pPr>
    <w:rPr>
      <w:u w:val="single"/>
    </w:rPr>
  </w:style>
  <w:style w:type="paragraph" w:styleId="Heading5">
    <w:name w:val="heading 5"/>
    <w:basedOn w:val="Normal"/>
    <w:next w:val="Normal"/>
    <w:qFormat/>
    <w:rsid w:val="00B41EC4"/>
    <w:pPr>
      <w:keepNext/>
      <w:keepLines/>
      <w:spacing w:before="120" w:after="120"/>
      <w:outlineLvl w:val="4"/>
    </w:pPr>
    <w:rPr>
      <w:u w:val="single"/>
    </w:rPr>
  </w:style>
  <w:style w:type="paragraph" w:styleId="Heading6">
    <w:name w:val="heading 6"/>
    <w:basedOn w:val="Normal"/>
    <w:next w:val="Normal"/>
    <w:qFormat/>
    <w:rsid w:val="00B41EC4"/>
    <w:pPr>
      <w:keepNext/>
      <w:keepLines/>
      <w:spacing w:before="120" w:after="120"/>
      <w:outlineLvl w:val="5"/>
    </w:pPr>
    <w:rPr>
      <w:u w:val="single"/>
    </w:rPr>
  </w:style>
  <w:style w:type="paragraph" w:styleId="Heading7">
    <w:name w:val="heading 7"/>
    <w:basedOn w:val="Normal"/>
    <w:next w:val="Normal"/>
    <w:qFormat/>
    <w:rsid w:val="00B41EC4"/>
    <w:pPr>
      <w:keepNext/>
      <w:keepLines/>
      <w:spacing w:before="120" w:after="120"/>
      <w:outlineLvl w:val="6"/>
    </w:pPr>
    <w:rPr>
      <w:u w:val="single"/>
    </w:rPr>
  </w:style>
  <w:style w:type="paragraph" w:styleId="Heading8">
    <w:name w:val="heading 8"/>
    <w:basedOn w:val="Normal"/>
    <w:next w:val="Normal"/>
    <w:qFormat/>
    <w:rsid w:val="00B41EC4"/>
    <w:pPr>
      <w:keepNext/>
      <w:keepLines/>
      <w:spacing w:before="120" w:after="120"/>
      <w:outlineLvl w:val="7"/>
    </w:pPr>
    <w:rPr>
      <w:u w:val="single"/>
    </w:rPr>
  </w:style>
  <w:style w:type="paragraph" w:styleId="Heading9">
    <w:name w:val="heading 9"/>
    <w:basedOn w:val="Normal"/>
    <w:next w:val="Normal"/>
    <w:qFormat/>
    <w:rsid w:val="00B41EC4"/>
    <w:pPr>
      <w:keepNext/>
      <w:keepLines/>
      <w:spacing w:before="120" w:after="1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uiPriority w:val="99"/>
    <w:semiHidden/>
    <w:rsid w:val="00D556C0"/>
    <w:rPr>
      <w:rFonts w:ascii="Arial" w:hAnsi="Arial"/>
      <w:spacing w:val="0"/>
      <w:position w:val="6"/>
      <w:sz w:val="16"/>
      <w:szCs w:val="16"/>
    </w:rPr>
  </w:style>
  <w:style w:type="paragraph" w:styleId="FootnoteText">
    <w:name w:val="footnote text"/>
    <w:basedOn w:val="Normal"/>
    <w:link w:val="FootnoteTextChar"/>
    <w:uiPriority w:val="99"/>
    <w:semiHidden/>
    <w:rsid w:val="00B41EC4"/>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right" w:leader="dot" w:pos="8789"/>
      </w:tabs>
      <w:ind w:left="1219" w:right="567" w:hanging="1219"/>
    </w:pPr>
  </w:style>
  <w:style w:type="paragraph" w:styleId="TOC8">
    <w:name w:val="toc 8"/>
    <w:basedOn w:val="Normal"/>
    <w:next w:val="Normal"/>
    <w:semiHidden/>
    <w:rsid w:val="00DC727C"/>
    <w:pPr>
      <w:keepLines/>
      <w:tabs>
        <w:tab w:val="right" w:leader="dot" w:pos="8789"/>
      </w:tabs>
      <w:ind w:left="1378" w:right="567" w:hanging="1378"/>
    </w:pPr>
  </w:style>
  <w:style w:type="paragraph" w:styleId="TOC9">
    <w:name w:val="toc 9"/>
    <w:basedOn w:val="Normal"/>
    <w:next w:val="Normal"/>
    <w:semiHidden/>
    <w:rsid w:val="00DC727C"/>
    <w:pPr>
      <w:keepLines/>
      <w:tabs>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1E24D6"/>
    <w:pPr>
      <w:spacing w:before="240" w:after="120"/>
    </w:pPr>
    <w:rPr>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ind w:left="993"/>
    </w:pPr>
    <w:rPr>
      <w:lang w:val="nl-BE"/>
    </w:rPr>
  </w:style>
  <w:style w:type="paragraph" w:customStyle="1" w:styleId="SignaturesHandtekeningen">
    <w:name w:val="Signatures/Handtekeningen"/>
    <w:basedOn w:val="Normal"/>
    <w:qFormat/>
    <w:rsid w:val="00E348BA"/>
    <w:pPr>
      <w:tabs>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styleId="ListBullet">
    <w:name w:val="List Bullet"/>
    <w:basedOn w:val="Normal"/>
    <w:unhideWhenUsed/>
    <w:qFormat/>
    <w:rsid w:val="00B41EC4"/>
    <w:pPr>
      <w:numPr>
        <w:numId w:val="31"/>
      </w:numPr>
      <w:contextualSpacing/>
    </w:pPr>
  </w:style>
  <w:style w:type="paragraph" w:styleId="ListBullet2">
    <w:name w:val="List Bullet 2"/>
    <w:basedOn w:val="Normal"/>
    <w:unhideWhenUsed/>
    <w:qFormat/>
    <w:rsid w:val="00B41EC4"/>
    <w:pPr>
      <w:numPr>
        <w:numId w:val="32"/>
      </w:numPr>
      <w:contextualSpacing/>
    </w:pPr>
  </w:style>
  <w:style w:type="paragraph" w:styleId="ListBullet3">
    <w:name w:val="List Bullet 3"/>
    <w:basedOn w:val="Normal"/>
    <w:unhideWhenUsed/>
    <w:qFormat/>
    <w:rsid w:val="00B41EC4"/>
    <w:pPr>
      <w:numPr>
        <w:numId w:val="33"/>
      </w:numPr>
      <w:contextualSpacing/>
    </w:pPr>
  </w:style>
  <w:style w:type="paragraph" w:styleId="ListBullet4">
    <w:name w:val="List Bullet 4"/>
    <w:basedOn w:val="Normal"/>
    <w:unhideWhenUsed/>
    <w:qFormat/>
    <w:rsid w:val="00B41EC4"/>
    <w:pPr>
      <w:numPr>
        <w:numId w:val="34"/>
      </w:numPr>
      <w:contextualSpacing/>
    </w:pPr>
  </w:style>
  <w:style w:type="paragraph" w:styleId="ListBullet5">
    <w:name w:val="List Bullet 5"/>
    <w:basedOn w:val="Normal"/>
    <w:unhideWhenUsed/>
    <w:qFormat/>
    <w:rsid w:val="00B41EC4"/>
    <w:pPr>
      <w:numPr>
        <w:numId w:val="35"/>
      </w:numPr>
      <w:contextualSpacing/>
    </w:pPr>
  </w:style>
  <w:style w:type="paragraph" w:styleId="ListNumber">
    <w:name w:val="List Number"/>
    <w:basedOn w:val="Normal"/>
    <w:unhideWhenUsed/>
    <w:qFormat/>
    <w:rsid w:val="00B41EC4"/>
    <w:pPr>
      <w:numPr>
        <w:numId w:val="39"/>
      </w:numPr>
      <w:contextualSpacing/>
    </w:pPr>
  </w:style>
  <w:style w:type="paragraph" w:styleId="ListNumber2">
    <w:name w:val="List Number 2"/>
    <w:basedOn w:val="Normal"/>
    <w:unhideWhenUsed/>
    <w:qFormat/>
    <w:rsid w:val="00B41EC4"/>
    <w:pPr>
      <w:numPr>
        <w:numId w:val="40"/>
      </w:numPr>
      <w:contextualSpacing/>
    </w:pPr>
  </w:style>
  <w:style w:type="paragraph" w:styleId="ListNumber3">
    <w:name w:val="List Number 3"/>
    <w:basedOn w:val="Normal"/>
    <w:unhideWhenUsed/>
    <w:qFormat/>
    <w:rsid w:val="00B41EC4"/>
    <w:pPr>
      <w:numPr>
        <w:numId w:val="41"/>
      </w:numPr>
      <w:contextualSpacing/>
    </w:pPr>
  </w:style>
  <w:style w:type="character" w:styleId="UnresolvedMention">
    <w:name w:val="Unresolved Mention"/>
    <w:basedOn w:val="DefaultParagraphFont"/>
    <w:uiPriority w:val="99"/>
    <w:semiHidden/>
    <w:unhideWhenUsed/>
    <w:rsid w:val="00703965"/>
    <w:rPr>
      <w:color w:val="605E5C"/>
      <w:shd w:val="clear" w:color="auto" w:fill="E1DFDD"/>
    </w:rPr>
  </w:style>
  <w:style w:type="paragraph" w:customStyle="1" w:styleId="AnnexeBijlage">
    <w:name w:val="Annexe/Bijlage"/>
    <w:uiPriority w:val="1"/>
    <w:rsid w:val="00926F54"/>
    <w:pPr>
      <w:spacing w:line="260" w:lineRule="atLeast"/>
    </w:pPr>
    <w:rPr>
      <w:rFonts w:ascii="Arial" w:hAnsi="Arial"/>
      <w:b/>
      <w:noProof/>
      <w:sz w:val="24"/>
      <w:szCs w:val="16"/>
      <w:lang w:val="fr-FR" w:eastAsia="en-US"/>
    </w:rPr>
  </w:style>
  <w:style w:type="paragraph" w:styleId="BodyText">
    <w:name w:val="Body Text"/>
    <w:basedOn w:val="Normal"/>
    <w:link w:val="BodyTextChar"/>
    <w:uiPriority w:val="1"/>
    <w:qFormat/>
    <w:rsid w:val="00147746"/>
    <w:pPr>
      <w:widowControl w:val="0"/>
      <w:autoSpaceDE w:val="0"/>
      <w:autoSpaceDN w:val="0"/>
      <w:spacing w:line="240" w:lineRule="auto"/>
    </w:pPr>
    <w:rPr>
      <w:rFonts w:ascii="Arial MT" w:eastAsia="Arial MT" w:hAnsi="Arial MT" w:cs="Arial MT"/>
      <w:lang w:val="fr-FR"/>
    </w:rPr>
  </w:style>
  <w:style w:type="character" w:customStyle="1" w:styleId="BodyTextChar">
    <w:name w:val="Body Text Char"/>
    <w:basedOn w:val="DefaultParagraphFont"/>
    <w:link w:val="BodyText"/>
    <w:uiPriority w:val="1"/>
    <w:rsid w:val="00147746"/>
    <w:rPr>
      <w:rFonts w:ascii="Arial MT" w:eastAsia="Arial MT" w:hAnsi="Arial MT" w:cs="Arial MT"/>
      <w:lang w:val="fr-FR" w:eastAsia="en-US"/>
    </w:rPr>
  </w:style>
  <w:style w:type="paragraph" w:styleId="ListParagraph">
    <w:name w:val="List Paragraph"/>
    <w:basedOn w:val="Normal"/>
    <w:uiPriority w:val="34"/>
    <w:qFormat/>
    <w:rsid w:val="00147746"/>
    <w:pPr>
      <w:widowControl w:val="0"/>
      <w:autoSpaceDE w:val="0"/>
      <w:autoSpaceDN w:val="0"/>
      <w:spacing w:line="240" w:lineRule="auto"/>
      <w:ind w:left="1265" w:hanging="567"/>
      <w:jc w:val="both"/>
    </w:pPr>
    <w:rPr>
      <w:rFonts w:ascii="Arial MT" w:eastAsia="Arial MT" w:hAnsi="Arial MT" w:cs="Arial MT"/>
      <w:sz w:val="22"/>
      <w:szCs w:val="22"/>
      <w:lang w:val="fr-FR"/>
    </w:rPr>
  </w:style>
  <w:style w:type="paragraph" w:customStyle="1" w:styleId="InstructionsText">
    <w:name w:val="Instructions Text"/>
    <w:basedOn w:val="Normal"/>
    <w:link w:val="InstructionsTextChar"/>
    <w:autoRedefine/>
    <w:rsid w:val="005508CC"/>
    <w:pPr>
      <w:spacing w:after="120" w:line="240" w:lineRule="auto"/>
      <w:jc w:val="both"/>
    </w:pPr>
    <w:rPr>
      <w:rFonts w:ascii="Times New Roman" w:hAnsi="Times New Roman"/>
      <w:sz w:val="24"/>
      <w:szCs w:val="24"/>
      <w:lang w:val="fr-BE" w:eastAsia="de-DE"/>
    </w:rPr>
  </w:style>
  <w:style w:type="character" w:customStyle="1" w:styleId="InstructionsTabelleberschrift">
    <w:name w:val="Instructions Tabelle Überschrift"/>
    <w:qFormat/>
    <w:rsid w:val="00147746"/>
    <w:rPr>
      <w:rFonts w:ascii="Verdana" w:hAnsi="Verdana" w:cs="Times New Roman"/>
      <w:b/>
      <w:bCs/>
      <w:sz w:val="20"/>
      <w:u w:val="single"/>
    </w:rPr>
  </w:style>
  <w:style w:type="character" w:customStyle="1" w:styleId="InstructionsTabelleText">
    <w:name w:val="Instructions Tabelle Text"/>
    <w:rsid w:val="00147746"/>
    <w:rPr>
      <w:rFonts w:ascii="Verdana" w:hAnsi="Verdana" w:cs="Times New Roman"/>
      <w:sz w:val="20"/>
    </w:rPr>
  </w:style>
  <w:style w:type="character" w:customStyle="1" w:styleId="FormatvorlageInstructionsTabelleText">
    <w:name w:val="Formatvorlage Instructions Tabelle Text"/>
    <w:uiPriority w:val="99"/>
    <w:qFormat/>
    <w:rsid w:val="00147746"/>
    <w:rPr>
      <w:rFonts w:ascii="Verdana" w:hAnsi="Verdana" w:cs="Times New Roman"/>
      <w:bCs/>
      <w:sz w:val="20"/>
      <w:u w:val="none"/>
    </w:rPr>
  </w:style>
  <w:style w:type="character" w:customStyle="1" w:styleId="InstructionsTextChar">
    <w:name w:val="Instructions Text Char"/>
    <w:link w:val="InstructionsText"/>
    <w:locked/>
    <w:rsid w:val="005508CC"/>
    <w:rPr>
      <w:rFonts w:ascii="Times New Roman" w:hAnsi="Times New Roman"/>
      <w:sz w:val="24"/>
      <w:szCs w:val="24"/>
      <w:lang w:val="fr-BE" w:eastAsia="de-DE"/>
    </w:rPr>
  </w:style>
  <w:style w:type="character" w:customStyle="1" w:styleId="FootnoteTextChar">
    <w:name w:val="Footnote Text Char"/>
    <w:basedOn w:val="DefaultParagraphFont"/>
    <w:link w:val="FootnoteText"/>
    <w:uiPriority w:val="99"/>
    <w:semiHidden/>
    <w:rsid w:val="00147746"/>
    <w:rPr>
      <w:rFonts w:ascii="Arial" w:hAnsi="Arial"/>
      <w:sz w:val="18"/>
      <w:lang w:val="en-GB" w:eastAsia="en-US"/>
    </w:rPr>
  </w:style>
  <w:style w:type="paragraph" w:styleId="CommentText">
    <w:name w:val="annotation text"/>
    <w:basedOn w:val="Normal"/>
    <w:link w:val="CommentTextChar"/>
    <w:uiPriority w:val="99"/>
    <w:semiHidden/>
    <w:unhideWhenUsed/>
    <w:rsid w:val="00CC06A8"/>
    <w:pPr>
      <w:spacing w:line="240" w:lineRule="auto"/>
    </w:pPr>
    <w:rPr>
      <w:lang w:val="nl-NL"/>
    </w:rPr>
  </w:style>
  <w:style w:type="character" w:customStyle="1" w:styleId="CommentTextChar">
    <w:name w:val="Comment Text Char"/>
    <w:basedOn w:val="DefaultParagraphFont"/>
    <w:link w:val="CommentText"/>
    <w:uiPriority w:val="99"/>
    <w:semiHidden/>
    <w:rsid w:val="00CC06A8"/>
    <w:rPr>
      <w:rFonts w:ascii="Arial" w:hAnsi="Arial"/>
      <w:lang w:val="nl-NL" w:eastAsia="en-US"/>
    </w:rPr>
  </w:style>
  <w:style w:type="character" w:styleId="CommentReference">
    <w:name w:val="annotation reference"/>
    <w:basedOn w:val="DefaultParagraphFont"/>
    <w:uiPriority w:val="99"/>
    <w:semiHidden/>
    <w:unhideWhenUsed/>
    <w:rsid w:val="00CC06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nb.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6EA3545A3B7458D66C327AB1027BA" ma:contentTypeVersion="22" ma:contentTypeDescription="Create a new document." ma:contentTypeScope="" ma:versionID="77e591564934ded631d8de122506397e">
  <xsd:schema xmlns:xsd="http://www.w3.org/2001/XMLSchema" xmlns:xs="http://www.w3.org/2001/XMLSchema" xmlns:p="http://schemas.microsoft.com/office/2006/metadata/properties" xmlns:ns2="a9e23225-6968-4682-bd36-b493a5d9a87d" xmlns:ns3="840d724a-69e1-43b1-a700-7f8aa0538fc6" xmlns:ns4="8a9c461b-77d6-46a9-915a-72eb0f473247" targetNamespace="http://schemas.microsoft.com/office/2006/metadata/properties" ma:root="true" ma:fieldsID="8c49a99835c28ed622456555c10f4a8b" ns2:_="" ns3:_="" ns4:_="">
    <xsd:import namespace="a9e23225-6968-4682-bd36-b493a5d9a87d"/>
    <xsd:import namespace="840d724a-69e1-43b1-a700-7f8aa0538fc6"/>
    <xsd:import namespace="8a9c461b-77d6-46a9-915a-72eb0f473247"/>
    <xsd:element name="properties">
      <xsd:complexType>
        <xsd:sequence>
          <xsd:element name="documentManagement">
            <xsd:complexType>
              <xsd:all>
                <xsd:element ref="ns2:Reference" minOccurs="0"/>
                <xsd:element ref="ns2:Date" minOccurs="0"/>
                <xsd:element ref="ns2:Author0" minOccurs="0"/>
                <xsd:element ref="ns2:Type_x0020_doc" minOccurs="0"/>
                <xsd:element ref="ns2:Autre_x0020_servi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lated_x0020_note_x0020_DC"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23225-6968-4682-bd36-b493a5d9a87d" elementFormDefault="qualified">
    <xsd:import namespace="http://schemas.microsoft.com/office/2006/documentManagement/types"/>
    <xsd:import namespace="http://schemas.microsoft.com/office/infopath/2007/PartnerControls"/>
    <xsd:element name="Reference" ma:index="4" nillable="true" ma:displayName="Reference" ma:default="NBB_20xx" ma:internalName="Reference"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Author0" ma:index="6" nillable="true" ma:displayName="Author" ma:internalName="Author0" ma:readOnly="false" ma:requiredMultiChoice="true">
      <xsd:complexType>
        <xsd:complexContent>
          <xsd:extension base="dms:MultiChoice">
            <xsd:sequence>
              <xsd:element name="Value" maxOccurs="unbounded" minOccurs="0" nillable="true">
                <xsd:simpleType>
                  <xsd:restriction base="dms:Choice">
                    <xsd:enumeration value="Ben Hadj Saif"/>
                    <xsd:enumeration value="Bernardo Sabina"/>
                    <xsd:enumeration value="Bienfait Benoît"/>
                    <xsd:enumeration value="Boussauw Justien"/>
                    <xsd:enumeration value="Bracke Sietse"/>
                    <xsd:enumeration value="Bruggeman Annick"/>
                    <xsd:enumeration value="Castiaux Danielle"/>
                    <xsd:enumeration value="Chrispeels Ilse"/>
                    <xsd:enumeration value="Colinet Michel"/>
                    <xsd:enumeration value="Creminger Kim"/>
                    <xsd:enumeration value="De Coen Christelle"/>
                    <xsd:enumeration value="De Doncker Helga"/>
                    <xsd:enumeration value="De Groote Isabelle"/>
                    <xsd:enumeration value="Dessy Nathan"/>
                    <xsd:enumeration value="Doucet Gaetan"/>
                    <xsd:enumeration value="Folie Stéphane"/>
                    <xsd:enumeration value="Francart Alexandre"/>
                    <xsd:enumeration value="Gerard Paul"/>
                    <xsd:enumeration value="Gilsoul Christelle"/>
                    <xsd:enumeration value="Griffin Sylvie"/>
                    <xsd:enumeration value="Guebs Françoise"/>
                    <xsd:enumeration value="Janssens Jurgen"/>
                    <xsd:enumeration value="Janssens Pieter-Jan"/>
                    <xsd:enumeration value="Jespers Alexandra"/>
                    <xsd:enumeration value="Kasongo Mélissa"/>
                    <xsd:enumeration value="Lamoot Jeroen"/>
                    <xsd:enumeration value="Lini Aziza"/>
                    <xsd:enumeration value="Louckx Claude"/>
                    <xsd:enumeration value="Meau Isabelle"/>
                    <xsd:enumeration value="Motteu Giles"/>
                    <xsd:enumeration value="Nerinckx Christel"/>
                    <xsd:enumeration value="Reginster Alexandre"/>
                    <xsd:enumeration value="Renoirte Claire"/>
                    <xsd:enumeration value="Rovira Kaltwasser Pablo"/>
                    <xsd:enumeration value="Schepens Thomas"/>
                    <xsd:enumeration value="Schepens William"/>
                    <xsd:enumeration value="Staner Nicolas"/>
                    <xsd:enumeration value="Strypstein Nicolas"/>
                    <xsd:enumeration value="Swyngedouw Jo"/>
                    <xsd:enumeration value="Tam Rita"/>
                    <xsd:enumeration value="Terrier Catherine"/>
                    <xsd:enumeration value="Uyttersprot Nancy"/>
                    <xsd:enumeration value="Vancauwenberge Lino"/>
                    <xsd:enumeration value="Van Damme Arthur"/>
                    <xsd:enumeration value="Vanderstappen Lisanne"/>
                    <xsd:enumeration value="Van Raemdonck Kurt"/>
                    <xsd:enumeration value="Van Roy Patrick"/>
                    <xsd:enumeration value="Van Tendeloo Brenda"/>
                    <xsd:enumeration value="Waleffe Aline"/>
                    <xsd:enumeration value="Autre service"/>
                  </xsd:restriction>
                </xsd:simpleType>
              </xsd:element>
            </xsd:sequence>
          </xsd:extension>
        </xsd:complexContent>
      </xsd:complexType>
    </xsd:element>
    <xsd:element name="Type_x0020_doc" ma:index="7" nillable="true" ma:displayName="Type doc" ma:format="Dropdown" ma:internalName="Type_x0020_doc" ma:readOnly="false">
      <xsd:simpleType>
        <xsd:restriction base="dms:Choice">
          <xsd:enumeration value="Circulaire"/>
          <xsd:enumeration value="Mededeling/Communication"/>
        </xsd:restriction>
      </xsd:simpleType>
    </xsd:element>
    <xsd:element name="Autre_x0020_service" ma:index="8" nillable="true" ma:displayName="Autre service" ma:format="Dropdown" ma:internalName="Autre_x0020_service" ma:readOnly="false">
      <xsd:simpleType>
        <xsd:restriction base="dms:Choice">
          <xsd:enumeration value="TC-TV"/>
          <xsd:enumeration value="TP"/>
          <xsd:enumeration value="JU"/>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Related_x0020_note_x0020_DC" ma:index="24" nillable="true" ma:displayName="Related note DC" ma:internalName="Related_x0020_note_x0020_DC">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41c2123-d835-457b-aae2-5e3430564c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0d724a-69e1-43b1-a700-7f8aa0538fc6"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c461b-77d6-46a9-915a-72eb0f47324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3f15d18-c89e-49a1-834c-721e6630c54d}" ma:internalName="TaxCatchAll" ma:showField="CatchAllData" ma:web="840d724a-69e1-43b1-a700-7f8aa0538f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a9c461b-77d6-46a9-915a-72eb0f473247" xsi:nil="true"/>
    <lcf76f155ced4ddcb4097134ff3c332f xmlns="a9e23225-6968-4682-bd36-b493a5d9a87d">
      <Terms xmlns="http://schemas.microsoft.com/office/infopath/2007/PartnerControls"/>
    </lcf76f155ced4ddcb4097134ff3c332f>
    <Reference xmlns="a9e23225-6968-4682-bd36-b493a5d9a87d">NBB_2023_07</Reference>
    <Type_x0020_doc xmlns="a9e23225-6968-4682-bd36-b493a5d9a87d">Circulaire</Type_x0020_doc>
    <Autre_x0020_service xmlns="a9e23225-6968-4682-bd36-b493a5d9a87d" xsi:nil="true"/>
    <Date xmlns="a9e23225-6968-4682-bd36-b493a5d9a87d">2023-06-26T22:00:00+00:00</Date>
    <Author0 xmlns="a9e23225-6968-4682-bd36-b493a5d9a87d">
      <Value>Ben Hadj Saif</Value>
    </Author0>
    <Related_x0020_note_x0020_DC xmlns="a9e23225-6968-4682-bd36-b493a5d9a87d">2023.06.27_TA.2 (TA/2023/06/216)</Related_x0020_note_x0020_DC>
    <SharedWithUsers xmlns="840d724a-69e1-43b1-a700-7f8aa0538fc6">
      <UserInfo>
        <DisplayName/>
        <AccountId xsi:nil="true"/>
        <AccountType/>
      </UserInfo>
    </SharedWithUsers>
  </documentManagement>
</p:properties>
</file>

<file path=customXml/itemProps1.xml><?xml version="1.0" encoding="utf-8"?>
<ds:datastoreItem xmlns:ds="http://schemas.openxmlformats.org/officeDocument/2006/customXml" ds:itemID="{A6D5EAB4-792B-4177-9BF9-555D10FF532C}">
  <ds:schemaRefs>
    <ds:schemaRef ds:uri="http://schemas.microsoft.com/sharepoint/v3/contenttype/forms"/>
  </ds:schemaRefs>
</ds:datastoreItem>
</file>

<file path=customXml/itemProps2.xml><?xml version="1.0" encoding="utf-8"?>
<ds:datastoreItem xmlns:ds="http://schemas.openxmlformats.org/officeDocument/2006/customXml" ds:itemID="{2DABF168-0D7D-419C-AC8C-178CA8E58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23225-6968-4682-bd36-b493a5d9a87d"/>
    <ds:schemaRef ds:uri="840d724a-69e1-43b1-a700-7f8aa0538fc6"/>
    <ds:schemaRef ds:uri="8a9c461b-77d6-46a9-915a-72eb0f473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AAFAA-CFDB-4DB5-9CF5-43D74A72F1B0}">
  <ds:schemaRefs>
    <ds:schemaRef ds:uri="http://schemas.openxmlformats.org/officeDocument/2006/bibliography"/>
  </ds:schemaRefs>
</ds:datastoreItem>
</file>

<file path=customXml/itemProps4.xml><?xml version="1.0" encoding="utf-8"?>
<ds:datastoreItem xmlns:ds="http://schemas.openxmlformats.org/officeDocument/2006/customXml" ds:itemID="{3471B32D-F89B-4404-A453-56EBCF33CFD9}">
  <ds:schemaRefs>
    <ds:schemaRef ds:uri="http://schemas.microsoft.com/office/2006/metadata/properties"/>
    <ds:schemaRef ds:uri="http://schemas.microsoft.com/office/infopath/2007/PartnerControls"/>
    <ds:schemaRef ds:uri="8a9c461b-77d6-46a9-915a-72eb0f473247"/>
    <ds:schemaRef ds:uri="a9e23225-6968-4682-bd36-b493a5d9a87d"/>
    <ds:schemaRef ds:uri="840d724a-69e1-43b1-a700-7f8aa0538fc6"/>
  </ds:schemaRefs>
</ds:datastoreItem>
</file>

<file path=docProps/app.xml><?xml version="1.0" encoding="utf-8"?>
<Properties xmlns="http://schemas.openxmlformats.org/officeDocument/2006/extended-properties" xmlns:vt="http://schemas.openxmlformats.org/officeDocument/2006/docPropsVTypes">
  <Template>CIRCUL.dotm</Template>
  <TotalTime>24</TotalTime>
  <Pages>7</Pages>
  <Words>2356</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CIRCUL</vt:lpstr>
    </vt:vector>
  </TitlesOfParts>
  <Company>National Bank of Belgium</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dc:title>
  <dc:subject/>
  <dc:creator>Chaibi Saifeddine</dc:creator>
  <cp:keywords/>
  <dc:description/>
  <cp:lastModifiedBy>Casteur Geertrui</cp:lastModifiedBy>
  <cp:revision>28</cp:revision>
  <cp:lastPrinted>2005-10-19T14:54:00Z</cp:lastPrinted>
  <dcterms:created xsi:type="dcterms:W3CDTF">2023-05-09T17:22:00Z</dcterms:created>
  <dcterms:modified xsi:type="dcterms:W3CDTF">2023-06-29T06:39:00Z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0x0101008236EA3545A3B7458D66C327AB1027BA</vt:lpwstr>
  </property>
  <property fmtid="{D5CDD505-2E9C-101B-9397-08002B2CF9AE}" pid="3" name="Order">
    <vt:r8>352500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