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89B" w:rsidRPr="00B12C4E" w:rsidRDefault="0053689B" w:rsidP="00B12C4E">
      <w:pPr>
        <w:ind w:left="720"/>
        <w:jc w:val="both"/>
        <w:rPr>
          <w:sz w:val="2"/>
          <w:szCs w:val="2"/>
          <w:lang w:val="fr-FR"/>
        </w:rPr>
      </w:pPr>
    </w:p>
    <w:p w:rsidR="0053689B" w:rsidRPr="00B12C4E" w:rsidRDefault="00B12C4E" w:rsidP="00B12C4E">
      <w:pPr>
        <w:pStyle w:val="Heading1"/>
        <w:keepNext w:val="0"/>
        <w:pBdr>
          <w:top w:val="single" w:sz="4" w:space="1" w:color="auto"/>
          <w:left w:val="single" w:sz="4" w:space="4" w:color="auto"/>
          <w:bottom w:val="single" w:sz="4" w:space="1" w:color="auto"/>
          <w:right w:val="single" w:sz="4" w:space="4" w:color="auto"/>
        </w:pBdr>
        <w:shd w:val="clear" w:color="auto" w:fill="D9D9D9"/>
        <w:spacing w:before="0" w:after="0"/>
        <w:jc w:val="both"/>
        <w:rPr>
          <w:sz w:val="36"/>
          <w:szCs w:val="36"/>
          <w:lang w:val="fr-BE"/>
        </w:rPr>
      </w:pPr>
      <w:r w:rsidRPr="00B12C4E">
        <w:rPr>
          <w:sz w:val="36"/>
          <w:szCs w:val="36"/>
          <w:lang w:val="fr-BE"/>
        </w:rPr>
        <w:t>4. Liste des annexes à joindre au mémorandum d’agrément dans le cadre de la Phase 1</w:t>
      </w:r>
    </w:p>
    <w:p w:rsidR="00B12C4E" w:rsidRDefault="00B12C4E" w:rsidP="00B12C4E">
      <w:pPr>
        <w:jc w:val="both"/>
        <w:rPr>
          <w:rFonts w:ascii="Arial" w:hAnsi="Arial" w:cs="Arial"/>
          <w:sz w:val="22"/>
          <w:szCs w:val="22"/>
          <w:lang w:val="fr-FR"/>
        </w:rPr>
      </w:pPr>
    </w:p>
    <w:p w:rsidR="00B12C4E" w:rsidRPr="00B12C4E" w:rsidRDefault="00B12C4E" w:rsidP="00B12C4E">
      <w:pPr>
        <w:jc w:val="both"/>
        <w:rPr>
          <w:rFonts w:ascii="Arial" w:hAnsi="Arial" w:cs="Arial"/>
          <w:sz w:val="22"/>
          <w:szCs w:val="22"/>
          <w:lang w:val="fr-FR"/>
        </w:rPr>
      </w:pPr>
    </w:p>
    <w:p w:rsidR="0053689B" w:rsidRDefault="0053689B" w:rsidP="0053689B">
      <w:pPr>
        <w:jc w:val="both"/>
        <w:rPr>
          <w:sz w:val="2"/>
          <w:szCs w:val="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7830"/>
      </w:tblGrid>
      <w:tr w:rsidR="0053689B" w:rsidRPr="00F53D16" w:rsidTr="009E17B2">
        <w:trPr>
          <w:trHeight w:val="410"/>
        </w:trPr>
        <w:tc>
          <w:tcPr>
            <w:tcW w:w="817" w:type="dxa"/>
            <w:shd w:val="clear" w:color="auto" w:fill="auto"/>
            <w:vAlign w:val="center"/>
          </w:tcPr>
          <w:p w:rsidR="0053689B" w:rsidRPr="0097478C" w:rsidRDefault="0053689B" w:rsidP="009E17B2">
            <w:pPr>
              <w:jc w:val="center"/>
              <w:rPr>
                <w:rFonts w:ascii="Arial" w:hAnsi="Arial" w:cs="Arial"/>
                <w:lang w:val="fr-BE"/>
              </w:rPr>
            </w:pPr>
            <w:r w:rsidRPr="0097478C">
              <w:rPr>
                <w:rFonts w:ascii="Arial" w:hAnsi="Arial" w:cs="Arial"/>
                <w:lang w:val="fr-BE"/>
              </w:rPr>
              <w:t>N°</w:t>
            </w:r>
          </w:p>
        </w:tc>
        <w:tc>
          <w:tcPr>
            <w:tcW w:w="8039" w:type="dxa"/>
            <w:shd w:val="clear" w:color="auto" w:fill="auto"/>
            <w:vAlign w:val="center"/>
          </w:tcPr>
          <w:p w:rsidR="0053689B" w:rsidRPr="0097478C" w:rsidRDefault="00F55B96" w:rsidP="009E17B2">
            <w:pPr>
              <w:rPr>
                <w:rFonts w:ascii="Arial" w:hAnsi="Arial" w:cs="Arial"/>
                <w:lang w:val="fr-BE"/>
              </w:rPr>
            </w:pPr>
            <w:r w:rsidRPr="0097478C">
              <w:rPr>
                <w:rFonts w:ascii="Arial" w:hAnsi="Arial" w:cs="Arial"/>
                <w:lang w:val="fr-BE"/>
              </w:rPr>
              <w:t>Nom</w:t>
            </w:r>
          </w:p>
        </w:tc>
      </w:tr>
      <w:tr w:rsidR="0053689B" w:rsidRPr="009D78E3" w:rsidTr="009E17B2">
        <w:trPr>
          <w:trHeight w:val="340"/>
        </w:trPr>
        <w:tc>
          <w:tcPr>
            <w:tcW w:w="8856" w:type="dxa"/>
            <w:gridSpan w:val="2"/>
            <w:shd w:val="clear" w:color="auto" w:fill="auto"/>
          </w:tcPr>
          <w:p w:rsidR="0053689B" w:rsidRPr="00F55B96" w:rsidRDefault="005B60B5" w:rsidP="009E17B2">
            <w:pPr>
              <w:jc w:val="both"/>
              <w:rPr>
                <w:rFonts w:ascii="Arial" w:hAnsi="Arial" w:cs="Arial"/>
                <w:color w:val="FF0000"/>
                <w:sz w:val="22"/>
                <w:szCs w:val="22"/>
                <w:lang w:val="fr-BE"/>
              </w:rPr>
            </w:pPr>
            <w:r>
              <w:rPr>
                <w:rFonts w:ascii="Arial" w:hAnsi="Arial" w:cs="Arial"/>
                <w:b/>
                <w:sz w:val="22"/>
                <w:szCs w:val="22"/>
                <w:u w:val="single"/>
                <w:lang w:val="fr-BE"/>
              </w:rPr>
              <w:t>4</w:t>
            </w:r>
            <w:r w:rsidRPr="00294F6F">
              <w:rPr>
                <w:rFonts w:ascii="Arial" w:hAnsi="Arial" w:cs="Arial"/>
                <w:b/>
                <w:sz w:val="22"/>
                <w:szCs w:val="22"/>
                <w:u w:val="single"/>
                <w:lang w:val="fr-BE"/>
              </w:rPr>
              <w:t>.1. Annexes générales concernant la demande d’agrément</w:t>
            </w:r>
          </w:p>
        </w:tc>
      </w:tr>
      <w:tr w:rsidR="0053689B" w:rsidRPr="009118C8" w:rsidTr="009E17B2">
        <w:tc>
          <w:tcPr>
            <w:tcW w:w="817" w:type="dxa"/>
            <w:shd w:val="clear" w:color="auto" w:fill="auto"/>
            <w:vAlign w:val="center"/>
          </w:tcPr>
          <w:p w:rsidR="0053689B" w:rsidRPr="009118C8" w:rsidRDefault="0053689B" w:rsidP="009E17B2">
            <w:pPr>
              <w:jc w:val="center"/>
              <w:rPr>
                <w:rFonts w:ascii="Arial" w:hAnsi="Arial" w:cs="Arial"/>
                <w:lang w:val="fr-BE"/>
              </w:rPr>
            </w:pPr>
            <w:r w:rsidRPr="009118C8">
              <w:rPr>
                <w:rFonts w:ascii="Arial" w:hAnsi="Arial" w:cs="Arial"/>
                <w:lang w:val="fr-BE"/>
              </w:rPr>
              <w:t>1.</w:t>
            </w:r>
          </w:p>
        </w:tc>
        <w:tc>
          <w:tcPr>
            <w:tcW w:w="8039" w:type="dxa"/>
            <w:shd w:val="clear" w:color="auto" w:fill="auto"/>
          </w:tcPr>
          <w:p w:rsidR="0053689B" w:rsidRDefault="000953BD" w:rsidP="009E17B2">
            <w:pPr>
              <w:jc w:val="both"/>
              <w:rPr>
                <w:rFonts w:ascii="Arial" w:hAnsi="Arial" w:cs="Arial"/>
                <w:sz w:val="22"/>
                <w:szCs w:val="22"/>
                <w:lang w:val="fr-BE"/>
              </w:rPr>
            </w:pPr>
            <w:hyperlink r:id="rId8" w:history="1">
              <w:r w:rsidR="0053689B" w:rsidRPr="002D01BD">
                <w:rPr>
                  <w:rFonts w:ascii="Arial" w:hAnsi="Arial" w:cs="Arial"/>
                  <w:sz w:val="22"/>
                  <w:szCs w:val="22"/>
                  <w:lang w:val="fr-BE"/>
                </w:rPr>
                <w:t>F</w:t>
              </w:r>
              <w:r w:rsidR="0053689B" w:rsidRPr="006E1776">
                <w:rPr>
                  <w:rFonts w:ascii="Arial" w:hAnsi="Arial" w:cs="Arial"/>
                  <w:sz w:val="22"/>
                  <w:szCs w:val="22"/>
                  <w:lang w:val="fr-BE"/>
                </w:rPr>
                <w:t>or</w:t>
              </w:r>
              <w:r w:rsidR="0053689B" w:rsidRPr="002D01BD">
                <w:rPr>
                  <w:rFonts w:ascii="Arial" w:hAnsi="Arial" w:cs="Arial"/>
                  <w:sz w:val="22"/>
                  <w:szCs w:val="22"/>
                  <w:lang w:val="fr-BE"/>
                </w:rPr>
                <w:t>mulaire pour le responsable de la demande et la personne de contact, il est renvoyé à l’annexe 1</w:t>
              </w:r>
            </w:hyperlink>
          </w:p>
          <w:bookmarkStart w:id="0" w:name="_MON_1603613690"/>
          <w:bookmarkEnd w:id="0"/>
          <w:p w:rsidR="00081EC7" w:rsidRPr="009118C8" w:rsidRDefault="008C03EA" w:rsidP="009E17B2">
            <w:pPr>
              <w:jc w:val="both"/>
              <w:rPr>
                <w:rFonts w:ascii="Arial" w:hAnsi="Arial" w:cs="Arial"/>
                <w:lang w:val="fr-BE"/>
              </w:rPr>
            </w:pPr>
            <w:r>
              <w:rPr>
                <w:rFonts w:ascii="Calibri" w:hAnsi="Calibri"/>
                <w:sz w:val="22"/>
                <w:szCs w:val="22"/>
                <w:lang w:val="fr-BE" w:eastAsia="fr-BE"/>
              </w:rPr>
              <w:object w:dxaOrig="154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Word.Document.12" ShapeID="_x0000_i1025" DrawAspect="Icon" ObjectID="_1603614590" r:id="rId10">
                  <o:FieldCodes>\s</o:FieldCodes>
                </o:OLEObject>
              </w:object>
            </w:r>
          </w:p>
        </w:tc>
      </w:tr>
      <w:tr w:rsidR="0053689B" w:rsidRPr="009118C8" w:rsidTr="009E17B2">
        <w:tc>
          <w:tcPr>
            <w:tcW w:w="817" w:type="dxa"/>
            <w:shd w:val="clear" w:color="auto" w:fill="auto"/>
            <w:vAlign w:val="center"/>
          </w:tcPr>
          <w:p w:rsidR="0053689B" w:rsidRPr="009118C8" w:rsidRDefault="0053689B" w:rsidP="009E17B2">
            <w:pPr>
              <w:jc w:val="center"/>
              <w:rPr>
                <w:rFonts w:ascii="Arial" w:hAnsi="Arial" w:cs="Arial"/>
                <w:lang w:val="fr-BE"/>
              </w:rPr>
            </w:pPr>
            <w:r w:rsidRPr="009118C8">
              <w:rPr>
                <w:rFonts w:ascii="Arial" w:hAnsi="Arial" w:cs="Arial"/>
                <w:lang w:val="fr-BE"/>
              </w:rPr>
              <w:t>2.</w:t>
            </w:r>
          </w:p>
        </w:tc>
        <w:tc>
          <w:tcPr>
            <w:tcW w:w="8039" w:type="dxa"/>
            <w:shd w:val="clear" w:color="auto" w:fill="auto"/>
          </w:tcPr>
          <w:p w:rsidR="0053689B" w:rsidRPr="002D01BD" w:rsidRDefault="000953BD" w:rsidP="009E17B2">
            <w:pPr>
              <w:jc w:val="both"/>
              <w:rPr>
                <w:rFonts w:ascii="Arial" w:hAnsi="Arial" w:cs="Arial"/>
                <w:sz w:val="22"/>
                <w:szCs w:val="22"/>
                <w:lang w:val="fr-BE"/>
              </w:rPr>
            </w:pPr>
            <w:hyperlink r:id="rId11" w:history="1">
              <w:r w:rsidR="0053689B" w:rsidRPr="002D01BD">
                <w:rPr>
                  <w:rFonts w:ascii="Arial" w:hAnsi="Arial" w:cs="Arial"/>
                  <w:sz w:val="22"/>
                  <w:szCs w:val="22"/>
                  <w:lang w:val="fr-BE"/>
                </w:rPr>
                <w:t>Formulaire concernant l’entreprise</w:t>
              </w:r>
            </w:hyperlink>
          </w:p>
          <w:bookmarkStart w:id="1" w:name="_MON_1603614166"/>
          <w:bookmarkEnd w:id="1"/>
          <w:p w:rsidR="00081EC7" w:rsidRPr="009118C8" w:rsidRDefault="009D78E3" w:rsidP="009E17B2">
            <w:pPr>
              <w:jc w:val="both"/>
              <w:rPr>
                <w:rFonts w:ascii="Arial" w:hAnsi="Arial" w:cs="Arial"/>
                <w:lang w:val="fr-BE"/>
              </w:rPr>
            </w:pPr>
            <w:r>
              <w:rPr>
                <w:rFonts w:ascii="Calibri" w:hAnsi="Calibri"/>
                <w:sz w:val="22"/>
                <w:szCs w:val="22"/>
                <w:lang w:val="fr-BE" w:eastAsia="fr-BE"/>
              </w:rPr>
              <w:object w:dxaOrig="1546" w:dyaOrig="991">
                <v:shape id="_x0000_i1042" type="#_x0000_t75" style="width:77.25pt;height:49.5pt" o:ole="">
                  <v:imagedata r:id="rId12" o:title=""/>
                </v:shape>
                <o:OLEObject Type="Embed" ProgID="Word.Document.12" ShapeID="_x0000_i1042" DrawAspect="Icon" ObjectID="_1603614591" r:id="rId13">
                  <o:FieldCodes>\s</o:FieldCodes>
                </o:OLEObject>
              </w:object>
            </w:r>
          </w:p>
        </w:tc>
      </w:tr>
      <w:tr w:rsidR="0053689B" w:rsidRPr="009118C8" w:rsidTr="009E17B2">
        <w:tc>
          <w:tcPr>
            <w:tcW w:w="817" w:type="dxa"/>
            <w:shd w:val="clear" w:color="auto" w:fill="auto"/>
            <w:vAlign w:val="center"/>
          </w:tcPr>
          <w:p w:rsidR="0053689B" w:rsidRPr="009118C8" w:rsidRDefault="0053689B" w:rsidP="009E17B2">
            <w:pPr>
              <w:jc w:val="center"/>
              <w:rPr>
                <w:rFonts w:ascii="Arial" w:hAnsi="Arial" w:cs="Arial"/>
                <w:lang w:val="fr-BE"/>
              </w:rPr>
            </w:pPr>
            <w:r w:rsidRPr="009118C8">
              <w:rPr>
                <w:rFonts w:ascii="Arial" w:hAnsi="Arial" w:cs="Arial"/>
                <w:lang w:val="fr-BE"/>
              </w:rPr>
              <w:t>3.</w:t>
            </w:r>
          </w:p>
        </w:tc>
        <w:tc>
          <w:tcPr>
            <w:tcW w:w="8039" w:type="dxa"/>
            <w:shd w:val="clear" w:color="auto" w:fill="auto"/>
          </w:tcPr>
          <w:p w:rsidR="006E1776" w:rsidRPr="002D01BD" w:rsidRDefault="000953BD" w:rsidP="009E17B2">
            <w:pPr>
              <w:jc w:val="both"/>
              <w:rPr>
                <w:rFonts w:ascii="Arial" w:hAnsi="Arial" w:cs="Arial"/>
                <w:sz w:val="22"/>
                <w:szCs w:val="22"/>
                <w:lang w:val="fr-BE"/>
              </w:rPr>
            </w:pPr>
            <w:hyperlink r:id="rId14" w:history="1">
              <w:r w:rsidR="0053689B" w:rsidRPr="002D01BD">
                <w:rPr>
                  <w:rFonts w:ascii="Arial" w:hAnsi="Arial" w:cs="Arial"/>
                  <w:sz w:val="22"/>
                  <w:szCs w:val="22"/>
                  <w:lang w:val="fr-BE"/>
                </w:rPr>
                <w:t>Formulaire concernant (i) les branches d’assurances sur lesquelles porte la demande d’agrément, (ii) les activités de réassurances et (iii) les autres activités</w:t>
              </w:r>
            </w:hyperlink>
          </w:p>
          <w:bookmarkStart w:id="2" w:name="_MON_1603614249"/>
          <w:bookmarkEnd w:id="2"/>
          <w:p w:rsidR="006E1776" w:rsidRPr="006E1776" w:rsidRDefault="000953BD" w:rsidP="009E17B2">
            <w:pPr>
              <w:jc w:val="both"/>
            </w:pPr>
            <w:r>
              <w:object w:dxaOrig="1546" w:dyaOrig="991">
                <v:shape id="_x0000_i1044" type="#_x0000_t75" style="width:77.25pt;height:49.5pt" o:ole="">
                  <v:imagedata r:id="rId15" o:title=""/>
                </v:shape>
                <o:OLEObject Type="Embed" ProgID="Word.Document.12" ShapeID="_x0000_i1044" DrawAspect="Icon" ObjectID="_1603614592" r:id="rId16">
                  <o:FieldCodes>\s</o:FieldCodes>
                </o:OLEObject>
              </w:object>
            </w:r>
          </w:p>
        </w:tc>
      </w:tr>
      <w:tr w:rsidR="0053689B" w:rsidRPr="009D78E3" w:rsidTr="009E17B2">
        <w:trPr>
          <w:trHeight w:val="340"/>
        </w:trPr>
        <w:tc>
          <w:tcPr>
            <w:tcW w:w="8856" w:type="dxa"/>
            <w:gridSpan w:val="2"/>
            <w:shd w:val="clear" w:color="auto" w:fill="auto"/>
            <w:vAlign w:val="center"/>
          </w:tcPr>
          <w:p w:rsidR="0053689B" w:rsidRPr="009118C8" w:rsidRDefault="00CD6615" w:rsidP="009E17B2">
            <w:pPr>
              <w:rPr>
                <w:rFonts w:ascii="Arial" w:hAnsi="Arial" w:cs="Arial"/>
                <w:sz w:val="22"/>
                <w:szCs w:val="22"/>
                <w:lang w:val="fr-BE"/>
              </w:rPr>
            </w:pPr>
            <w:r>
              <w:rPr>
                <w:rFonts w:ascii="Arial" w:hAnsi="Arial" w:cs="Arial"/>
                <w:b/>
                <w:sz w:val="22"/>
                <w:szCs w:val="22"/>
                <w:u w:val="single"/>
                <w:lang w:val="fr-BE"/>
              </w:rPr>
              <w:t xml:space="preserve">4.2. </w:t>
            </w:r>
            <w:r w:rsidR="0053689B" w:rsidRPr="009118C8">
              <w:rPr>
                <w:rFonts w:ascii="Arial" w:hAnsi="Arial" w:cs="Arial"/>
                <w:b/>
                <w:sz w:val="22"/>
                <w:szCs w:val="22"/>
                <w:u w:val="single"/>
                <w:lang w:val="fr-BE"/>
              </w:rPr>
              <w:t>Annexes concernant les aspects gouvernance</w:t>
            </w:r>
          </w:p>
        </w:tc>
      </w:tr>
      <w:tr w:rsidR="0053689B" w:rsidRPr="009D78E3" w:rsidTr="009E17B2">
        <w:tc>
          <w:tcPr>
            <w:tcW w:w="817" w:type="dxa"/>
            <w:shd w:val="clear" w:color="auto" w:fill="auto"/>
            <w:vAlign w:val="center"/>
          </w:tcPr>
          <w:p w:rsidR="0053689B" w:rsidRPr="009118C8" w:rsidRDefault="0053689B" w:rsidP="009E17B2">
            <w:pPr>
              <w:jc w:val="center"/>
              <w:rPr>
                <w:rFonts w:ascii="Arial" w:hAnsi="Arial" w:cs="Arial"/>
                <w:lang w:val="fr-BE"/>
              </w:rPr>
            </w:pPr>
            <w:r>
              <w:rPr>
                <w:rFonts w:ascii="Arial" w:hAnsi="Arial" w:cs="Arial"/>
                <w:lang w:val="fr-BE"/>
              </w:rPr>
              <w:t>4.</w:t>
            </w:r>
          </w:p>
        </w:tc>
        <w:tc>
          <w:tcPr>
            <w:tcW w:w="8039" w:type="dxa"/>
            <w:shd w:val="clear" w:color="auto" w:fill="auto"/>
          </w:tcPr>
          <w:p w:rsidR="0053689B" w:rsidRPr="009118C8" w:rsidRDefault="0053689B" w:rsidP="009E17B2">
            <w:pPr>
              <w:jc w:val="both"/>
              <w:rPr>
                <w:rFonts w:ascii="Arial" w:hAnsi="Arial" w:cs="Arial"/>
                <w:sz w:val="22"/>
                <w:szCs w:val="22"/>
                <w:lang w:val="fr-BE"/>
              </w:rPr>
            </w:pPr>
            <w:r>
              <w:rPr>
                <w:rFonts w:ascii="Arial" w:hAnsi="Arial" w:cs="Arial"/>
                <w:webHidden/>
                <w:sz w:val="22"/>
                <w:szCs w:val="22"/>
                <w:lang w:val="fr-BE"/>
              </w:rPr>
              <w:t>F</w:t>
            </w:r>
            <w:r w:rsidRPr="00294F6F">
              <w:rPr>
                <w:rFonts w:ascii="Arial" w:hAnsi="Arial" w:cs="Arial"/>
                <w:webHidden/>
                <w:sz w:val="22"/>
                <w:szCs w:val="22"/>
                <w:lang w:val="fr-BE"/>
              </w:rPr>
              <w:t xml:space="preserve">ormulaires à remplir par les candidats actionnaires qualifiés </w:t>
            </w:r>
            <w:hyperlink r:id="rId17" w:history="1">
              <w:r w:rsidRPr="00294F6F">
                <w:rPr>
                  <w:rStyle w:val="Hyperlink"/>
                  <w:rFonts w:ascii="Arial" w:hAnsi="Arial" w:cs="Arial"/>
                  <w:sz w:val="22"/>
                  <w:szCs w:val="22"/>
                  <w:lang w:val="fr-BE"/>
                </w:rPr>
                <w:t>https://www.nbb.be/fr/articles/communication-cbfa200931-communication-aux-candidats-actionnaires-et-aux-actionnaires</w:t>
              </w:r>
            </w:hyperlink>
          </w:p>
        </w:tc>
      </w:tr>
      <w:tr w:rsidR="0053689B" w:rsidRPr="009D78E3" w:rsidTr="009E17B2">
        <w:tc>
          <w:tcPr>
            <w:tcW w:w="817" w:type="dxa"/>
            <w:shd w:val="clear" w:color="auto" w:fill="auto"/>
            <w:vAlign w:val="center"/>
          </w:tcPr>
          <w:p w:rsidR="0053689B" w:rsidRPr="009118C8" w:rsidRDefault="0053689B" w:rsidP="009E17B2">
            <w:pPr>
              <w:jc w:val="center"/>
              <w:rPr>
                <w:rFonts w:ascii="Arial" w:hAnsi="Arial" w:cs="Arial"/>
                <w:lang w:val="fr-BE"/>
              </w:rPr>
            </w:pPr>
            <w:r>
              <w:rPr>
                <w:rFonts w:ascii="Arial" w:hAnsi="Arial" w:cs="Arial"/>
                <w:lang w:val="fr-BE"/>
              </w:rPr>
              <w:t>5.</w:t>
            </w:r>
          </w:p>
        </w:tc>
        <w:tc>
          <w:tcPr>
            <w:tcW w:w="8039" w:type="dxa"/>
            <w:shd w:val="clear" w:color="auto" w:fill="auto"/>
          </w:tcPr>
          <w:p w:rsidR="0053689B" w:rsidRPr="009118C8" w:rsidRDefault="0053689B" w:rsidP="009E17B2">
            <w:pPr>
              <w:jc w:val="both"/>
              <w:rPr>
                <w:rFonts w:ascii="Arial" w:hAnsi="Arial" w:cs="Arial"/>
                <w:sz w:val="22"/>
                <w:szCs w:val="22"/>
                <w:lang w:val="fr-BE"/>
              </w:rPr>
            </w:pPr>
            <w:r>
              <w:rPr>
                <w:rFonts w:ascii="Arial" w:hAnsi="Arial" w:cs="Arial"/>
                <w:sz w:val="22"/>
                <w:szCs w:val="22"/>
                <w:lang w:val="fr-BE"/>
              </w:rPr>
              <w:t>P</w:t>
            </w:r>
            <w:r w:rsidRPr="00294F6F">
              <w:rPr>
                <w:rFonts w:ascii="Arial" w:hAnsi="Arial" w:cs="Arial"/>
                <w:sz w:val="22"/>
                <w:szCs w:val="22"/>
                <w:lang w:val="fr-BE"/>
              </w:rPr>
              <w:t>rojet de statuts (ou, pour les entreprises déjà constituées, le projet de modification des statuts et le projet de statuts coordonnés)</w:t>
            </w:r>
          </w:p>
        </w:tc>
      </w:tr>
      <w:tr w:rsidR="0053689B" w:rsidRPr="009D78E3" w:rsidTr="009E17B2">
        <w:tc>
          <w:tcPr>
            <w:tcW w:w="817" w:type="dxa"/>
            <w:shd w:val="clear" w:color="auto" w:fill="auto"/>
            <w:vAlign w:val="center"/>
          </w:tcPr>
          <w:p w:rsidR="0053689B" w:rsidRDefault="0053689B" w:rsidP="009E17B2">
            <w:pPr>
              <w:jc w:val="center"/>
              <w:rPr>
                <w:rFonts w:ascii="Arial" w:hAnsi="Arial" w:cs="Arial"/>
                <w:lang w:val="fr-BE"/>
              </w:rPr>
            </w:pPr>
            <w:r>
              <w:rPr>
                <w:rFonts w:ascii="Arial" w:hAnsi="Arial" w:cs="Arial"/>
                <w:lang w:val="fr-BE"/>
              </w:rPr>
              <w:t>6.</w:t>
            </w:r>
          </w:p>
        </w:tc>
        <w:tc>
          <w:tcPr>
            <w:tcW w:w="8039" w:type="dxa"/>
            <w:shd w:val="clear" w:color="auto" w:fill="auto"/>
          </w:tcPr>
          <w:p w:rsidR="0053689B" w:rsidRDefault="0053689B" w:rsidP="009E17B2">
            <w:pPr>
              <w:jc w:val="both"/>
              <w:rPr>
                <w:rFonts w:ascii="Arial" w:hAnsi="Arial" w:cs="Arial"/>
                <w:sz w:val="22"/>
                <w:szCs w:val="22"/>
                <w:lang w:val="fr-BE"/>
              </w:rPr>
            </w:pPr>
            <w:r>
              <w:rPr>
                <w:rFonts w:ascii="Arial" w:hAnsi="Arial" w:cs="Arial"/>
                <w:sz w:val="22"/>
                <w:szCs w:val="22"/>
                <w:lang w:val="fr-BE"/>
              </w:rPr>
              <w:t>P</w:t>
            </w:r>
            <w:r w:rsidRPr="00294F6F">
              <w:rPr>
                <w:rFonts w:ascii="Arial" w:hAnsi="Arial" w:cs="Arial"/>
                <w:sz w:val="22"/>
                <w:szCs w:val="22"/>
                <w:lang w:val="fr-BE"/>
              </w:rPr>
              <w:t xml:space="preserve">rojet de politique « Fit &amp; </w:t>
            </w:r>
            <w:proofErr w:type="spellStart"/>
            <w:r w:rsidRPr="00294F6F">
              <w:rPr>
                <w:rFonts w:ascii="Arial" w:hAnsi="Arial" w:cs="Arial"/>
                <w:sz w:val="22"/>
                <w:szCs w:val="22"/>
                <w:lang w:val="fr-BE"/>
              </w:rPr>
              <w:t>Proper</w:t>
            </w:r>
            <w:proofErr w:type="spellEnd"/>
            <w:r w:rsidRPr="00294F6F">
              <w:rPr>
                <w:rFonts w:ascii="Arial" w:hAnsi="Arial" w:cs="Arial"/>
                <w:sz w:val="22"/>
                <w:szCs w:val="22"/>
                <w:lang w:val="fr-BE"/>
              </w:rPr>
              <w:t> » et liste synthétisant la composition projetée du conseil d’administration, du comité de direction, le cas échéant des comités spécialisés du conseil d’administration (comité d’audit, comité des risques et comité de rémunération) et responsables de fonctions de contrôle indépendantes</w:t>
            </w:r>
          </w:p>
        </w:tc>
      </w:tr>
      <w:tr w:rsidR="0053689B" w:rsidRPr="009D78E3" w:rsidTr="009E17B2">
        <w:tc>
          <w:tcPr>
            <w:tcW w:w="817" w:type="dxa"/>
            <w:shd w:val="clear" w:color="auto" w:fill="auto"/>
            <w:vAlign w:val="center"/>
          </w:tcPr>
          <w:p w:rsidR="0053689B" w:rsidRDefault="0053689B" w:rsidP="009E17B2">
            <w:pPr>
              <w:jc w:val="center"/>
              <w:rPr>
                <w:rFonts w:ascii="Arial" w:hAnsi="Arial" w:cs="Arial"/>
                <w:lang w:val="fr-BE"/>
              </w:rPr>
            </w:pPr>
            <w:r>
              <w:rPr>
                <w:rFonts w:ascii="Arial" w:hAnsi="Arial" w:cs="Arial"/>
                <w:lang w:val="fr-BE"/>
              </w:rPr>
              <w:t>7.</w:t>
            </w:r>
          </w:p>
        </w:tc>
        <w:tc>
          <w:tcPr>
            <w:tcW w:w="8039" w:type="dxa"/>
            <w:shd w:val="clear" w:color="auto" w:fill="auto"/>
          </w:tcPr>
          <w:p w:rsidR="0053689B" w:rsidRDefault="0053689B" w:rsidP="009E17B2">
            <w:pPr>
              <w:jc w:val="both"/>
              <w:rPr>
                <w:rFonts w:ascii="Arial" w:hAnsi="Arial" w:cs="Arial"/>
                <w:sz w:val="22"/>
                <w:szCs w:val="22"/>
                <w:lang w:val="fr-BE"/>
              </w:rPr>
            </w:pPr>
            <w:r>
              <w:rPr>
                <w:rFonts w:ascii="Arial" w:hAnsi="Arial" w:cs="Arial"/>
                <w:sz w:val="22"/>
                <w:szCs w:val="22"/>
                <w:lang w:val="fr-BE"/>
              </w:rPr>
              <w:t>F</w:t>
            </w:r>
            <w:r w:rsidRPr="00294F6F">
              <w:rPr>
                <w:rFonts w:ascii="Arial" w:hAnsi="Arial" w:cs="Arial"/>
                <w:sz w:val="22"/>
                <w:szCs w:val="22"/>
                <w:lang w:val="fr-BE"/>
              </w:rPr>
              <w:t xml:space="preserve">ormulaires « Fit &amp; </w:t>
            </w:r>
            <w:proofErr w:type="spellStart"/>
            <w:r w:rsidRPr="00294F6F">
              <w:rPr>
                <w:rFonts w:ascii="Arial" w:hAnsi="Arial" w:cs="Arial"/>
                <w:sz w:val="22"/>
                <w:szCs w:val="22"/>
                <w:lang w:val="fr-BE"/>
              </w:rPr>
              <w:t>Proper</w:t>
            </w:r>
            <w:proofErr w:type="spellEnd"/>
            <w:r w:rsidRPr="00294F6F">
              <w:rPr>
                <w:rFonts w:ascii="Arial" w:hAnsi="Arial" w:cs="Arial"/>
                <w:sz w:val="22"/>
                <w:szCs w:val="22"/>
                <w:lang w:val="fr-BE"/>
              </w:rPr>
              <w:t> » à remplir par les candidats administrateurs (exécutifs ou non-exécutifs), membres du comité de direction (non-administrateurs) et responsables de fonctions de contrôle indépendantes (Risk Management, Fonction actuarielle, Compliance et Audit interne)</w:t>
            </w:r>
          </w:p>
          <w:p w:rsidR="0053689B" w:rsidRDefault="000953BD" w:rsidP="009E17B2">
            <w:pPr>
              <w:jc w:val="both"/>
              <w:rPr>
                <w:rFonts w:ascii="Arial" w:hAnsi="Arial" w:cs="Arial"/>
                <w:sz w:val="22"/>
                <w:szCs w:val="22"/>
                <w:lang w:val="fr-BE"/>
              </w:rPr>
            </w:pPr>
            <w:hyperlink r:id="rId18" w:history="1">
              <w:r w:rsidR="0053689B" w:rsidRPr="00294F6F">
                <w:rPr>
                  <w:rStyle w:val="Hyperlink"/>
                  <w:rFonts w:ascii="Arial" w:hAnsi="Arial" w:cs="Arial"/>
                  <w:sz w:val="22"/>
                  <w:szCs w:val="22"/>
                  <w:lang w:val="fr-BE"/>
                </w:rPr>
                <w:t>https://www.nbb.be/fr/articles/circulaire-nbb201302-expertise-et-honorabilite-professionnelle-fit-proper</w:t>
              </w:r>
            </w:hyperlink>
          </w:p>
        </w:tc>
      </w:tr>
      <w:tr w:rsidR="0053689B" w:rsidRPr="009D78E3" w:rsidTr="009E17B2">
        <w:tc>
          <w:tcPr>
            <w:tcW w:w="817" w:type="dxa"/>
            <w:shd w:val="clear" w:color="auto" w:fill="auto"/>
            <w:vAlign w:val="center"/>
          </w:tcPr>
          <w:p w:rsidR="0053689B" w:rsidRDefault="0053689B" w:rsidP="009E17B2">
            <w:pPr>
              <w:jc w:val="center"/>
              <w:rPr>
                <w:rFonts w:ascii="Arial" w:hAnsi="Arial" w:cs="Arial"/>
                <w:lang w:val="fr-BE"/>
              </w:rPr>
            </w:pPr>
            <w:r>
              <w:rPr>
                <w:rFonts w:ascii="Arial" w:hAnsi="Arial" w:cs="Arial"/>
                <w:lang w:val="fr-BE"/>
              </w:rPr>
              <w:t>8.</w:t>
            </w:r>
          </w:p>
        </w:tc>
        <w:tc>
          <w:tcPr>
            <w:tcW w:w="8039" w:type="dxa"/>
            <w:shd w:val="clear" w:color="auto" w:fill="auto"/>
          </w:tcPr>
          <w:p w:rsidR="0053689B" w:rsidRDefault="0053689B" w:rsidP="009E17B2">
            <w:pPr>
              <w:jc w:val="both"/>
              <w:rPr>
                <w:rFonts w:ascii="Arial" w:hAnsi="Arial" w:cs="Arial"/>
                <w:sz w:val="22"/>
                <w:szCs w:val="22"/>
                <w:lang w:val="fr-BE"/>
              </w:rPr>
            </w:pPr>
            <w:r>
              <w:rPr>
                <w:rFonts w:ascii="Arial" w:hAnsi="Arial" w:cs="Arial"/>
                <w:sz w:val="22"/>
                <w:szCs w:val="22"/>
                <w:lang w:val="fr-BE"/>
              </w:rPr>
              <w:t>P</w:t>
            </w:r>
            <w:r w:rsidRPr="00294F6F">
              <w:rPr>
                <w:rFonts w:ascii="Arial" w:hAnsi="Arial" w:cs="Arial"/>
                <w:sz w:val="22"/>
                <w:szCs w:val="22"/>
                <w:lang w:val="fr-BE"/>
              </w:rPr>
              <w:t>rojet de ‘règles internes’ en matière d’incompatibilités / cumul de mandats</w:t>
            </w:r>
          </w:p>
        </w:tc>
      </w:tr>
      <w:tr w:rsidR="0053689B" w:rsidRPr="009D78E3" w:rsidTr="009E17B2">
        <w:tc>
          <w:tcPr>
            <w:tcW w:w="817" w:type="dxa"/>
            <w:shd w:val="clear" w:color="auto" w:fill="auto"/>
            <w:vAlign w:val="center"/>
          </w:tcPr>
          <w:p w:rsidR="0053689B" w:rsidRDefault="0053689B" w:rsidP="009E17B2">
            <w:pPr>
              <w:jc w:val="center"/>
              <w:rPr>
                <w:rFonts w:ascii="Arial" w:hAnsi="Arial" w:cs="Arial"/>
                <w:lang w:val="fr-BE"/>
              </w:rPr>
            </w:pPr>
            <w:r>
              <w:rPr>
                <w:rFonts w:ascii="Arial" w:hAnsi="Arial" w:cs="Arial"/>
                <w:lang w:val="fr-BE"/>
              </w:rPr>
              <w:t>9.</w:t>
            </w:r>
          </w:p>
        </w:tc>
        <w:tc>
          <w:tcPr>
            <w:tcW w:w="8039" w:type="dxa"/>
            <w:shd w:val="clear" w:color="auto" w:fill="auto"/>
          </w:tcPr>
          <w:p w:rsidR="0053689B" w:rsidRDefault="0053689B" w:rsidP="009E17B2">
            <w:pPr>
              <w:jc w:val="both"/>
              <w:rPr>
                <w:rFonts w:ascii="Arial" w:hAnsi="Arial" w:cs="Arial"/>
                <w:sz w:val="22"/>
                <w:szCs w:val="22"/>
                <w:lang w:val="fr-BE"/>
              </w:rPr>
            </w:pPr>
            <w:r>
              <w:rPr>
                <w:rFonts w:ascii="Arial" w:hAnsi="Arial" w:cs="Arial"/>
                <w:sz w:val="22"/>
                <w:szCs w:val="22"/>
                <w:lang w:val="fr-BE"/>
              </w:rPr>
              <w:t>F</w:t>
            </w:r>
            <w:r w:rsidRPr="00294F6F">
              <w:rPr>
                <w:rFonts w:ascii="Arial" w:hAnsi="Arial" w:cs="Arial"/>
                <w:sz w:val="22"/>
                <w:szCs w:val="22"/>
                <w:lang w:val="fr-BE"/>
              </w:rPr>
              <w:t>ormulaires concernant les « prêts, crédits, garanties et contrats d’assurance aux dirigeants, actionnaires et personnes apparentées » =&gt; à communiquer à partir de mai 2018 (circulaire à paraître prochainement sur le site web de la Banque)</w:t>
            </w:r>
          </w:p>
        </w:tc>
      </w:tr>
      <w:tr w:rsidR="0053689B" w:rsidRPr="009D78E3" w:rsidTr="009E17B2">
        <w:tc>
          <w:tcPr>
            <w:tcW w:w="817" w:type="dxa"/>
            <w:shd w:val="clear" w:color="auto" w:fill="auto"/>
            <w:vAlign w:val="center"/>
          </w:tcPr>
          <w:p w:rsidR="0053689B" w:rsidRDefault="0053689B" w:rsidP="009E17B2">
            <w:pPr>
              <w:jc w:val="center"/>
              <w:rPr>
                <w:rFonts w:ascii="Arial" w:hAnsi="Arial" w:cs="Arial"/>
                <w:lang w:val="fr-BE"/>
              </w:rPr>
            </w:pPr>
            <w:r>
              <w:rPr>
                <w:rFonts w:ascii="Arial" w:hAnsi="Arial" w:cs="Arial"/>
                <w:lang w:val="fr-BE"/>
              </w:rPr>
              <w:lastRenderedPageBreak/>
              <w:t>10.</w:t>
            </w:r>
          </w:p>
        </w:tc>
        <w:tc>
          <w:tcPr>
            <w:tcW w:w="8039" w:type="dxa"/>
            <w:shd w:val="clear" w:color="auto" w:fill="auto"/>
          </w:tcPr>
          <w:p w:rsidR="0053689B" w:rsidRDefault="0053689B" w:rsidP="009E17B2">
            <w:pPr>
              <w:jc w:val="both"/>
              <w:rPr>
                <w:rFonts w:ascii="Arial" w:hAnsi="Arial" w:cs="Arial"/>
                <w:sz w:val="22"/>
                <w:szCs w:val="22"/>
                <w:lang w:val="fr-BE"/>
              </w:rPr>
            </w:pPr>
            <w:r>
              <w:rPr>
                <w:rFonts w:ascii="Arial" w:hAnsi="Arial" w:cs="Arial"/>
                <w:sz w:val="22"/>
                <w:szCs w:val="22"/>
                <w:lang w:val="fr-BE"/>
              </w:rPr>
              <w:t>P</w:t>
            </w:r>
            <w:r w:rsidRPr="00294F6F">
              <w:rPr>
                <w:rFonts w:ascii="Arial" w:hAnsi="Arial" w:cs="Arial"/>
                <w:sz w:val="22"/>
                <w:szCs w:val="22"/>
                <w:lang w:val="fr-BE"/>
              </w:rPr>
              <w:t xml:space="preserve">rojet de politique en matière de risques : </w:t>
            </w:r>
            <w:r w:rsidRPr="00294F6F">
              <w:rPr>
                <w:rFonts w:ascii="Arial" w:hAnsi="Arial" w:cs="Arial"/>
                <w:i/>
                <w:sz w:val="22"/>
                <w:szCs w:val="22"/>
                <w:lang w:val="fr-FR"/>
              </w:rPr>
              <w:t xml:space="preserve">Politique d'appétence au risque, et Politique générale de gestion des risques qui regroupe notamment les politiques suivantes : a) Politique de gestion du risque de souscription et de provisionnement, b) politique de gestion actif-passif (asset </w:t>
            </w:r>
            <w:proofErr w:type="spellStart"/>
            <w:r w:rsidRPr="00294F6F">
              <w:rPr>
                <w:rFonts w:ascii="Arial" w:hAnsi="Arial" w:cs="Arial"/>
                <w:i/>
                <w:sz w:val="22"/>
                <w:szCs w:val="22"/>
                <w:lang w:val="fr-FR"/>
              </w:rPr>
              <w:t>liability</w:t>
            </w:r>
            <w:proofErr w:type="spellEnd"/>
            <w:r w:rsidRPr="00294F6F">
              <w:rPr>
                <w:rFonts w:ascii="Arial" w:hAnsi="Arial" w:cs="Arial"/>
                <w:i/>
                <w:sz w:val="22"/>
                <w:szCs w:val="22"/>
                <w:lang w:val="fr-FR"/>
              </w:rPr>
              <w:t xml:space="preserve"> management ou ALM), c) Politique de gestion du risque d'investissement, d) Politique de gestion du risque de liquidité, e) Politique de gestion du risque de concentration, f) Politique de gestion du risque opérationnel, g) Politique de réassurance, h) Politique de participations bénéficiaires, i) Politique de crédit hypothécaire (le ca</w:t>
            </w:r>
            <w:r w:rsidR="001F202A">
              <w:rPr>
                <w:rFonts w:ascii="Arial" w:hAnsi="Arial" w:cs="Arial"/>
                <w:i/>
                <w:sz w:val="22"/>
                <w:szCs w:val="22"/>
                <w:lang w:val="fr-FR"/>
              </w:rPr>
              <w:t xml:space="preserve">s échéant), j) Politique de </w:t>
            </w:r>
            <w:proofErr w:type="spellStart"/>
            <w:r w:rsidR="001F202A">
              <w:rPr>
                <w:rFonts w:ascii="Arial" w:hAnsi="Arial" w:cs="Arial"/>
                <w:i/>
                <w:sz w:val="22"/>
                <w:szCs w:val="22"/>
                <w:lang w:val="fr-FR"/>
              </w:rPr>
              <w:t>rep</w:t>
            </w:r>
            <w:r w:rsidRPr="00294F6F">
              <w:rPr>
                <w:rFonts w:ascii="Arial" w:hAnsi="Arial" w:cs="Arial"/>
                <w:i/>
                <w:sz w:val="22"/>
                <w:szCs w:val="22"/>
                <w:lang w:val="fr-FR"/>
              </w:rPr>
              <w:t>o</w:t>
            </w:r>
            <w:r w:rsidR="001F202A">
              <w:rPr>
                <w:rFonts w:ascii="Arial" w:hAnsi="Arial" w:cs="Arial"/>
                <w:i/>
                <w:sz w:val="22"/>
                <w:szCs w:val="22"/>
                <w:lang w:val="fr-FR"/>
              </w:rPr>
              <w:t>r</w:t>
            </w:r>
            <w:r w:rsidRPr="00294F6F">
              <w:rPr>
                <w:rFonts w:ascii="Arial" w:hAnsi="Arial" w:cs="Arial"/>
                <w:i/>
                <w:sz w:val="22"/>
                <w:szCs w:val="22"/>
                <w:lang w:val="fr-FR"/>
              </w:rPr>
              <w:t>ting</w:t>
            </w:r>
            <w:proofErr w:type="spellEnd"/>
            <w:r w:rsidRPr="00294F6F">
              <w:rPr>
                <w:rFonts w:ascii="Arial" w:hAnsi="Arial" w:cs="Arial"/>
                <w:i/>
                <w:sz w:val="22"/>
                <w:szCs w:val="22"/>
                <w:lang w:val="fr-FR"/>
              </w:rPr>
              <w:t xml:space="preserve"> à la Banque, et k) Politique ORSA</w:t>
            </w:r>
          </w:p>
        </w:tc>
      </w:tr>
      <w:tr w:rsidR="0053689B" w:rsidRPr="009D78E3" w:rsidTr="009E17B2">
        <w:tc>
          <w:tcPr>
            <w:tcW w:w="817" w:type="dxa"/>
            <w:shd w:val="clear" w:color="auto" w:fill="auto"/>
            <w:vAlign w:val="center"/>
          </w:tcPr>
          <w:p w:rsidR="0053689B" w:rsidRDefault="0053689B" w:rsidP="009E17B2">
            <w:pPr>
              <w:jc w:val="center"/>
              <w:rPr>
                <w:rFonts w:ascii="Arial" w:hAnsi="Arial" w:cs="Arial"/>
                <w:lang w:val="fr-BE"/>
              </w:rPr>
            </w:pPr>
            <w:r>
              <w:rPr>
                <w:rFonts w:ascii="Arial" w:hAnsi="Arial" w:cs="Arial"/>
                <w:lang w:val="fr-BE"/>
              </w:rPr>
              <w:t>11.</w:t>
            </w:r>
          </w:p>
        </w:tc>
        <w:tc>
          <w:tcPr>
            <w:tcW w:w="8039" w:type="dxa"/>
            <w:shd w:val="clear" w:color="auto" w:fill="auto"/>
          </w:tcPr>
          <w:p w:rsidR="0053689B" w:rsidRDefault="0053689B" w:rsidP="009E17B2">
            <w:pPr>
              <w:jc w:val="both"/>
              <w:rPr>
                <w:rFonts w:ascii="Arial" w:hAnsi="Arial" w:cs="Arial"/>
                <w:sz w:val="22"/>
                <w:szCs w:val="22"/>
                <w:lang w:val="fr-BE"/>
              </w:rPr>
            </w:pPr>
            <w:r w:rsidRPr="00294F6F">
              <w:rPr>
                <w:rFonts w:ascii="Arial" w:hAnsi="Arial" w:cs="Arial"/>
                <w:sz w:val="22"/>
                <w:szCs w:val="22"/>
                <w:lang w:val="fr-BE"/>
              </w:rPr>
              <w:t>Projets de chartes Risk Management, Fonction actuarielle, Compliance et Audit interne</w:t>
            </w:r>
          </w:p>
        </w:tc>
      </w:tr>
      <w:tr w:rsidR="0053689B" w:rsidRPr="009D78E3" w:rsidTr="009E17B2">
        <w:tc>
          <w:tcPr>
            <w:tcW w:w="817" w:type="dxa"/>
            <w:shd w:val="clear" w:color="auto" w:fill="auto"/>
            <w:vAlign w:val="center"/>
          </w:tcPr>
          <w:p w:rsidR="0053689B" w:rsidRDefault="0053689B" w:rsidP="009E17B2">
            <w:pPr>
              <w:jc w:val="center"/>
              <w:rPr>
                <w:rFonts w:ascii="Arial" w:hAnsi="Arial" w:cs="Arial"/>
                <w:lang w:val="fr-BE"/>
              </w:rPr>
            </w:pPr>
            <w:r>
              <w:rPr>
                <w:rFonts w:ascii="Arial" w:hAnsi="Arial" w:cs="Arial"/>
                <w:lang w:val="fr-BE"/>
              </w:rPr>
              <w:t>12.</w:t>
            </w:r>
          </w:p>
        </w:tc>
        <w:tc>
          <w:tcPr>
            <w:tcW w:w="8039" w:type="dxa"/>
            <w:shd w:val="clear" w:color="auto" w:fill="auto"/>
          </w:tcPr>
          <w:p w:rsidR="0053689B" w:rsidRPr="00294F6F" w:rsidRDefault="0053689B" w:rsidP="009E17B2">
            <w:pPr>
              <w:jc w:val="both"/>
              <w:rPr>
                <w:rFonts w:ascii="Arial" w:hAnsi="Arial" w:cs="Arial"/>
                <w:sz w:val="22"/>
                <w:szCs w:val="22"/>
                <w:lang w:val="fr-BE"/>
              </w:rPr>
            </w:pPr>
            <w:r w:rsidRPr="00294F6F">
              <w:rPr>
                <w:rFonts w:ascii="Arial" w:hAnsi="Arial" w:cs="Arial"/>
                <w:sz w:val="22"/>
                <w:szCs w:val="22"/>
                <w:lang w:val="fr-BE"/>
              </w:rPr>
              <w:t>Organigramme lors du démarrage des activités</w:t>
            </w:r>
          </w:p>
        </w:tc>
      </w:tr>
      <w:tr w:rsidR="0053689B" w:rsidRPr="009D78E3" w:rsidTr="009E17B2">
        <w:tc>
          <w:tcPr>
            <w:tcW w:w="817" w:type="dxa"/>
            <w:shd w:val="clear" w:color="auto" w:fill="auto"/>
            <w:vAlign w:val="center"/>
          </w:tcPr>
          <w:p w:rsidR="0053689B" w:rsidRDefault="0053689B" w:rsidP="009E17B2">
            <w:pPr>
              <w:jc w:val="center"/>
              <w:rPr>
                <w:rFonts w:ascii="Arial" w:hAnsi="Arial" w:cs="Arial"/>
                <w:lang w:val="fr-BE"/>
              </w:rPr>
            </w:pPr>
            <w:r>
              <w:rPr>
                <w:rFonts w:ascii="Arial" w:hAnsi="Arial" w:cs="Arial"/>
                <w:lang w:val="fr-BE"/>
              </w:rPr>
              <w:t>13.</w:t>
            </w:r>
          </w:p>
        </w:tc>
        <w:tc>
          <w:tcPr>
            <w:tcW w:w="8039" w:type="dxa"/>
            <w:shd w:val="clear" w:color="auto" w:fill="auto"/>
          </w:tcPr>
          <w:p w:rsidR="0053689B" w:rsidRPr="00294F6F" w:rsidRDefault="0053689B" w:rsidP="009E17B2">
            <w:pPr>
              <w:jc w:val="both"/>
              <w:rPr>
                <w:rFonts w:ascii="Arial" w:hAnsi="Arial" w:cs="Arial"/>
                <w:sz w:val="22"/>
                <w:szCs w:val="22"/>
                <w:lang w:val="fr-BE"/>
              </w:rPr>
            </w:pPr>
            <w:r w:rsidRPr="00294F6F">
              <w:rPr>
                <w:rFonts w:ascii="Arial" w:hAnsi="Arial" w:cs="Arial"/>
                <w:i/>
                <w:sz w:val="22"/>
                <w:szCs w:val="22"/>
                <w:lang w:val="fr-FR"/>
              </w:rPr>
              <w:t>Projets de (i) politique d’investissement, (ii) politique de gestion du capital et « management action plan » et (iii) politique d’évaluation des actifs et des passifs</w:t>
            </w:r>
          </w:p>
        </w:tc>
      </w:tr>
      <w:tr w:rsidR="0053689B" w:rsidRPr="009D78E3" w:rsidTr="009E17B2">
        <w:tc>
          <w:tcPr>
            <w:tcW w:w="817" w:type="dxa"/>
            <w:shd w:val="clear" w:color="auto" w:fill="auto"/>
            <w:vAlign w:val="center"/>
          </w:tcPr>
          <w:p w:rsidR="0053689B" w:rsidRDefault="0053689B" w:rsidP="009E17B2">
            <w:pPr>
              <w:jc w:val="center"/>
              <w:rPr>
                <w:rFonts w:ascii="Arial" w:hAnsi="Arial" w:cs="Arial"/>
                <w:lang w:val="fr-BE"/>
              </w:rPr>
            </w:pPr>
            <w:r>
              <w:rPr>
                <w:rFonts w:ascii="Arial" w:hAnsi="Arial" w:cs="Arial"/>
                <w:lang w:val="fr-BE"/>
              </w:rPr>
              <w:t>14.</w:t>
            </w:r>
          </w:p>
        </w:tc>
        <w:tc>
          <w:tcPr>
            <w:tcW w:w="8039" w:type="dxa"/>
            <w:shd w:val="clear" w:color="auto" w:fill="auto"/>
          </w:tcPr>
          <w:p w:rsidR="0053689B" w:rsidRPr="00294F6F" w:rsidRDefault="0053689B" w:rsidP="009E17B2">
            <w:pPr>
              <w:jc w:val="both"/>
              <w:rPr>
                <w:rFonts w:ascii="Arial" w:hAnsi="Arial" w:cs="Arial"/>
                <w:i/>
                <w:sz w:val="22"/>
                <w:szCs w:val="22"/>
                <w:lang w:val="fr-FR"/>
              </w:rPr>
            </w:pPr>
            <w:r w:rsidRPr="00294F6F">
              <w:rPr>
                <w:rFonts w:ascii="Arial" w:hAnsi="Arial" w:cs="Arial"/>
                <w:sz w:val="22"/>
                <w:szCs w:val="22"/>
                <w:lang w:val="fr-FR"/>
              </w:rPr>
              <w:t>Projet de politique de sous-traitance et projets de conventions d’agrément</w:t>
            </w:r>
          </w:p>
        </w:tc>
      </w:tr>
      <w:tr w:rsidR="0053689B" w:rsidRPr="009D78E3" w:rsidTr="009E17B2">
        <w:tc>
          <w:tcPr>
            <w:tcW w:w="817" w:type="dxa"/>
            <w:shd w:val="clear" w:color="auto" w:fill="auto"/>
            <w:vAlign w:val="center"/>
          </w:tcPr>
          <w:p w:rsidR="0053689B" w:rsidRDefault="0053689B" w:rsidP="009E17B2">
            <w:pPr>
              <w:jc w:val="center"/>
              <w:rPr>
                <w:rFonts w:ascii="Arial" w:hAnsi="Arial" w:cs="Arial"/>
                <w:lang w:val="fr-BE"/>
              </w:rPr>
            </w:pPr>
            <w:r>
              <w:rPr>
                <w:rFonts w:ascii="Arial" w:hAnsi="Arial" w:cs="Arial"/>
                <w:lang w:val="fr-BE"/>
              </w:rPr>
              <w:t>15.</w:t>
            </w:r>
          </w:p>
        </w:tc>
        <w:tc>
          <w:tcPr>
            <w:tcW w:w="8039" w:type="dxa"/>
            <w:shd w:val="clear" w:color="auto" w:fill="auto"/>
          </w:tcPr>
          <w:p w:rsidR="0053689B" w:rsidRPr="00AF35D9" w:rsidRDefault="0053689B" w:rsidP="009E17B2">
            <w:pPr>
              <w:jc w:val="both"/>
              <w:rPr>
                <w:rFonts w:ascii="Arial" w:hAnsi="Arial" w:cs="Arial"/>
                <w:sz w:val="22"/>
                <w:szCs w:val="22"/>
                <w:lang w:val="fr-BE"/>
              </w:rPr>
            </w:pPr>
            <w:r w:rsidRPr="00294F6F">
              <w:rPr>
                <w:rFonts w:ascii="Arial" w:hAnsi="Arial" w:cs="Arial"/>
                <w:sz w:val="22"/>
                <w:szCs w:val="22"/>
                <w:lang w:val="fr-BE"/>
              </w:rPr>
              <w:t>Projet de politique de rémunération</w:t>
            </w:r>
          </w:p>
        </w:tc>
      </w:tr>
      <w:tr w:rsidR="0053689B" w:rsidRPr="009D78E3" w:rsidTr="009E17B2">
        <w:tc>
          <w:tcPr>
            <w:tcW w:w="817" w:type="dxa"/>
            <w:shd w:val="clear" w:color="auto" w:fill="auto"/>
            <w:vAlign w:val="center"/>
          </w:tcPr>
          <w:p w:rsidR="0053689B" w:rsidRDefault="0053689B" w:rsidP="009E17B2">
            <w:pPr>
              <w:jc w:val="center"/>
              <w:rPr>
                <w:rFonts w:ascii="Arial" w:hAnsi="Arial" w:cs="Arial"/>
                <w:lang w:val="fr-BE"/>
              </w:rPr>
            </w:pPr>
            <w:r>
              <w:rPr>
                <w:rFonts w:ascii="Arial" w:hAnsi="Arial" w:cs="Arial"/>
                <w:lang w:val="fr-BE"/>
              </w:rPr>
              <w:t>16.</w:t>
            </w:r>
          </w:p>
        </w:tc>
        <w:tc>
          <w:tcPr>
            <w:tcW w:w="8039" w:type="dxa"/>
            <w:shd w:val="clear" w:color="auto" w:fill="auto"/>
          </w:tcPr>
          <w:p w:rsidR="0053689B" w:rsidRPr="00294F6F" w:rsidRDefault="0053689B" w:rsidP="009E17B2">
            <w:pPr>
              <w:jc w:val="both"/>
              <w:rPr>
                <w:rFonts w:ascii="Arial" w:hAnsi="Arial" w:cs="Arial"/>
                <w:sz w:val="22"/>
                <w:szCs w:val="22"/>
                <w:lang w:val="fr-BE"/>
              </w:rPr>
            </w:pPr>
            <w:r w:rsidRPr="00294F6F">
              <w:rPr>
                <w:rFonts w:ascii="Arial" w:hAnsi="Arial" w:cs="Arial"/>
                <w:sz w:val="22"/>
                <w:szCs w:val="22"/>
                <w:lang w:val="fr-BE"/>
              </w:rPr>
              <w:t xml:space="preserve">Projets de politique (i) d’intégrité, (ii) de </w:t>
            </w:r>
            <w:proofErr w:type="spellStart"/>
            <w:r w:rsidRPr="00294F6F">
              <w:rPr>
                <w:rFonts w:ascii="Arial" w:hAnsi="Arial" w:cs="Arial"/>
                <w:i/>
                <w:sz w:val="22"/>
                <w:szCs w:val="22"/>
                <w:lang w:val="fr-BE"/>
              </w:rPr>
              <w:t>whistleblowing</w:t>
            </w:r>
            <w:proofErr w:type="spellEnd"/>
            <w:r w:rsidRPr="00294F6F">
              <w:rPr>
                <w:rFonts w:ascii="Arial" w:hAnsi="Arial" w:cs="Arial"/>
                <w:sz w:val="22"/>
                <w:szCs w:val="22"/>
                <w:lang w:val="fr-BE"/>
              </w:rPr>
              <w:t xml:space="preserve"> et de conflits d’intérêts</w:t>
            </w:r>
          </w:p>
        </w:tc>
      </w:tr>
      <w:tr w:rsidR="0053689B" w:rsidRPr="009118C8" w:rsidTr="009E17B2">
        <w:tc>
          <w:tcPr>
            <w:tcW w:w="817" w:type="dxa"/>
            <w:shd w:val="clear" w:color="auto" w:fill="auto"/>
            <w:vAlign w:val="center"/>
          </w:tcPr>
          <w:p w:rsidR="0053689B" w:rsidRDefault="0053689B" w:rsidP="009E17B2">
            <w:pPr>
              <w:jc w:val="center"/>
              <w:rPr>
                <w:rFonts w:ascii="Arial" w:hAnsi="Arial" w:cs="Arial"/>
                <w:lang w:val="fr-BE"/>
              </w:rPr>
            </w:pPr>
            <w:r>
              <w:rPr>
                <w:rFonts w:ascii="Arial" w:hAnsi="Arial" w:cs="Arial"/>
                <w:lang w:val="fr-BE"/>
              </w:rPr>
              <w:t>17.</w:t>
            </w:r>
          </w:p>
        </w:tc>
        <w:tc>
          <w:tcPr>
            <w:tcW w:w="8039" w:type="dxa"/>
            <w:shd w:val="clear" w:color="auto" w:fill="auto"/>
          </w:tcPr>
          <w:p w:rsidR="0053689B" w:rsidRDefault="000953BD" w:rsidP="00F53D16">
            <w:pPr>
              <w:jc w:val="both"/>
              <w:rPr>
                <w:rFonts w:ascii="Arial" w:hAnsi="Arial" w:cs="Arial"/>
                <w:sz w:val="22"/>
                <w:szCs w:val="22"/>
                <w:lang w:val="fr-BE"/>
              </w:rPr>
            </w:pPr>
            <w:hyperlink r:id="rId19" w:history="1">
              <w:r w:rsidR="0053689B" w:rsidRPr="002D01BD">
                <w:rPr>
                  <w:rFonts w:ascii="Arial" w:hAnsi="Arial" w:cs="Arial"/>
                  <w:sz w:val="22"/>
                  <w:szCs w:val="22"/>
                  <w:lang w:val="fr-BE"/>
                </w:rPr>
                <w:t>Proposition de désignation d'un commissaire agréé ou d'une société de révision agréée</w:t>
              </w:r>
            </w:hyperlink>
          </w:p>
          <w:bookmarkStart w:id="3" w:name="_MON_1603614322"/>
          <w:bookmarkEnd w:id="3"/>
          <w:p w:rsidR="00C829E6" w:rsidRPr="00294F6F" w:rsidRDefault="000953BD" w:rsidP="00C829E6">
            <w:pPr>
              <w:jc w:val="both"/>
              <w:rPr>
                <w:rFonts w:ascii="Arial" w:hAnsi="Arial" w:cs="Arial"/>
                <w:sz w:val="22"/>
                <w:szCs w:val="22"/>
                <w:lang w:val="fr-BE"/>
              </w:rPr>
            </w:pPr>
            <w:r>
              <w:rPr>
                <w:rFonts w:ascii="Calibri" w:hAnsi="Calibri"/>
                <w:sz w:val="22"/>
                <w:szCs w:val="22"/>
                <w:lang w:val="fr-BE" w:eastAsia="fr-BE"/>
              </w:rPr>
              <w:object w:dxaOrig="1546" w:dyaOrig="991">
                <v:shape id="_x0000_i1046" type="#_x0000_t75" style="width:77.25pt;height:49.5pt" o:ole="">
                  <v:imagedata r:id="rId20" o:title=""/>
                </v:shape>
                <o:OLEObject Type="Embed" ProgID="Word.Document.12" ShapeID="_x0000_i1046" DrawAspect="Icon" ObjectID="_1603614593" r:id="rId21">
                  <o:FieldCodes>\s</o:FieldCodes>
                </o:OLEObject>
              </w:object>
            </w:r>
          </w:p>
        </w:tc>
      </w:tr>
      <w:tr w:rsidR="0053689B" w:rsidRPr="009D78E3" w:rsidTr="009E17B2">
        <w:trPr>
          <w:trHeight w:val="340"/>
        </w:trPr>
        <w:tc>
          <w:tcPr>
            <w:tcW w:w="8856" w:type="dxa"/>
            <w:gridSpan w:val="2"/>
            <w:shd w:val="clear" w:color="auto" w:fill="auto"/>
          </w:tcPr>
          <w:p w:rsidR="0053689B" w:rsidRPr="00294F6F" w:rsidRDefault="00CD6615" w:rsidP="009E17B2">
            <w:pPr>
              <w:jc w:val="both"/>
              <w:rPr>
                <w:rFonts w:ascii="Arial" w:hAnsi="Arial" w:cs="Arial"/>
                <w:sz w:val="22"/>
                <w:szCs w:val="22"/>
                <w:lang w:val="fr-BE"/>
              </w:rPr>
            </w:pPr>
            <w:r>
              <w:rPr>
                <w:rFonts w:ascii="Arial" w:hAnsi="Arial" w:cs="Arial"/>
                <w:b/>
                <w:sz w:val="22"/>
                <w:szCs w:val="22"/>
                <w:u w:val="single"/>
                <w:lang w:val="fr-BE"/>
              </w:rPr>
              <w:t xml:space="preserve">4.3. </w:t>
            </w:r>
            <w:r w:rsidR="0053689B" w:rsidRPr="00294F6F">
              <w:rPr>
                <w:rFonts w:ascii="Arial" w:hAnsi="Arial" w:cs="Arial"/>
                <w:b/>
                <w:sz w:val="22"/>
                <w:szCs w:val="22"/>
                <w:u w:val="single"/>
                <w:lang w:val="fr-BE"/>
              </w:rPr>
              <w:t>Annexes concernant les aspects financiers et techniques</w:t>
            </w:r>
          </w:p>
        </w:tc>
      </w:tr>
      <w:tr w:rsidR="0053689B" w:rsidRPr="009118C8" w:rsidTr="009E17B2">
        <w:tc>
          <w:tcPr>
            <w:tcW w:w="817" w:type="dxa"/>
            <w:shd w:val="clear" w:color="auto" w:fill="auto"/>
            <w:vAlign w:val="center"/>
          </w:tcPr>
          <w:p w:rsidR="0053689B" w:rsidRDefault="0053689B" w:rsidP="009E17B2">
            <w:pPr>
              <w:jc w:val="center"/>
              <w:rPr>
                <w:rFonts w:ascii="Arial" w:hAnsi="Arial" w:cs="Arial"/>
                <w:lang w:val="fr-BE"/>
              </w:rPr>
            </w:pPr>
            <w:r>
              <w:rPr>
                <w:rFonts w:ascii="Arial" w:hAnsi="Arial" w:cs="Arial"/>
                <w:lang w:val="fr-BE"/>
              </w:rPr>
              <w:t>18.</w:t>
            </w:r>
          </w:p>
        </w:tc>
        <w:tc>
          <w:tcPr>
            <w:tcW w:w="8039" w:type="dxa"/>
            <w:shd w:val="clear" w:color="auto" w:fill="auto"/>
          </w:tcPr>
          <w:p w:rsidR="0053689B" w:rsidRDefault="000953BD" w:rsidP="009E17B2">
            <w:pPr>
              <w:jc w:val="both"/>
              <w:rPr>
                <w:rFonts w:ascii="Arial" w:hAnsi="Arial" w:cs="Arial"/>
                <w:sz w:val="22"/>
                <w:szCs w:val="22"/>
                <w:lang w:val="fr-BE"/>
              </w:rPr>
            </w:pPr>
            <w:hyperlink r:id="rId22" w:history="1">
              <w:r w:rsidR="0053689B" w:rsidRPr="00187822">
                <w:rPr>
                  <w:rFonts w:ascii="Arial" w:hAnsi="Arial" w:cs="Arial"/>
                  <w:sz w:val="22"/>
                  <w:szCs w:val="22"/>
                  <w:lang w:val="fr-BE"/>
                </w:rPr>
                <w:t>Bilans prévisionnels</w:t>
              </w:r>
            </w:hyperlink>
          </w:p>
          <w:p w:rsidR="00187822" w:rsidRPr="00294F6F" w:rsidRDefault="000953BD" w:rsidP="009E17B2">
            <w:pPr>
              <w:jc w:val="both"/>
              <w:rPr>
                <w:rFonts w:ascii="Arial" w:hAnsi="Arial" w:cs="Arial"/>
                <w:sz w:val="22"/>
                <w:szCs w:val="22"/>
                <w:lang w:val="fr-BE"/>
              </w:rPr>
            </w:pPr>
            <w:r>
              <w:rPr>
                <w:rFonts w:ascii="Calibri" w:hAnsi="Calibri"/>
                <w:sz w:val="22"/>
                <w:szCs w:val="22"/>
                <w:lang w:val="fr-BE" w:eastAsia="fr-BE"/>
              </w:rPr>
              <w:object w:dxaOrig="1546" w:dyaOrig="991">
                <v:shape id="_x0000_i1051" type="#_x0000_t75" style="width:77.25pt;height:49.5pt" o:ole="">
                  <v:imagedata r:id="rId23" o:title=""/>
                </v:shape>
                <o:OLEObject Type="Embed" ProgID="Excel.Sheet.12" ShapeID="_x0000_i1051" DrawAspect="Icon" ObjectID="_1603614594" r:id="rId24"/>
              </w:object>
            </w:r>
          </w:p>
        </w:tc>
      </w:tr>
      <w:tr w:rsidR="0053689B" w:rsidRPr="009118C8" w:rsidTr="009E17B2">
        <w:tc>
          <w:tcPr>
            <w:tcW w:w="817" w:type="dxa"/>
            <w:shd w:val="clear" w:color="auto" w:fill="auto"/>
            <w:vAlign w:val="center"/>
          </w:tcPr>
          <w:p w:rsidR="0053689B" w:rsidRDefault="0053689B" w:rsidP="009E17B2">
            <w:pPr>
              <w:jc w:val="center"/>
              <w:rPr>
                <w:rFonts w:ascii="Arial" w:hAnsi="Arial" w:cs="Arial"/>
                <w:lang w:val="fr-BE"/>
              </w:rPr>
            </w:pPr>
            <w:r>
              <w:rPr>
                <w:rFonts w:ascii="Arial" w:hAnsi="Arial" w:cs="Arial"/>
                <w:lang w:val="fr-BE"/>
              </w:rPr>
              <w:t>19.</w:t>
            </w:r>
          </w:p>
        </w:tc>
        <w:tc>
          <w:tcPr>
            <w:tcW w:w="8039" w:type="dxa"/>
            <w:shd w:val="clear" w:color="auto" w:fill="auto"/>
          </w:tcPr>
          <w:p w:rsidR="0053689B" w:rsidRDefault="000953BD" w:rsidP="009E17B2">
            <w:pPr>
              <w:jc w:val="both"/>
              <w:rPr>
                <w:rFonts w:ascii="Arial" w:hAnsi="Arial" w:cs="Arial"/>
                <w:sz w:val="22"/>
                <w:szCs w:val="22"/>
                <w:lang w:val="fr-BE"/>
              </w:rPr>
            </w:pPr>
            <w:hyperlink r:id="rId25" w:history="1">
              <w:r w:rsidR="0053689B" w:rsidRPr="00187822">
                <w:rPr>
                  <w:rFonts w:ascii="Arial" w:hAnsi="Arial" w:cs="Arial"/>
                  <w:sz w:val="22"/>
                  <w:szCs w:val="22"/>
                  <w:lang w:val="fr-BE"/>
                </w:rPr>
                <w:t>Prévisions relatives au capital de solvabilité requis – formule standard</w:t>
              </w:r>
            </w:hyperlink>
          </w:p>
          <w:p w:rsidR="00187822" w:rsidRPr="00294F6F" w:rsidRDefault="000953BD" w:rsidP="009E17B2">
            <w:pPr>
              <w:jc w:val="both"/>
              <w:rPr>
                <w:rFonts w:ascii="Arial" w:hAnsi="Arial" w:cs="Arial"/>
                <w:sz w:val="22"/>
                <w:szCs w:val="22"/>
                <w:lang w:val="fr-BE"/>
              </w:rPr>
            </w:pPr>
            <w:r>
              <w:rPr>
                <w:rFonts w:ascii="Calibri" w:hAnsi="Calibri"/>
                <w:sz w:val="22"/>
                <w:szCs w:val="22"/>
                <w:lang w:val="fr-BE" w:eastAsia="fr-BE"/>
              </w:rPr>
              <w:object w:dxaOrig="1546" w:dyaOrig="991">
                <v:shape id="_x0000_i1053" type="#_x0000_t75" style="width:77.25pt;height:49.5pt" o:ole="">
                  <v:imagedata r:id="rId26" o:title=""/>
                </v:shape>
                <o:OLEObject Type="Embed" ProgID="Excel.Sheet.12" ShapeID="_x0000_i1053" DrawAspect="Icon" ObjectID="_1603614595" r:id="rId27"/>
              </w:object>
            </w:r>
          </w:p>
        </w:tc>
      </w:tr>
      <w:tr w:rsidR="0053689B" w:rsidRPr="009118C8" w:rsidTr="009E17B2">
        <w:tc>
          <w:tcPr>
            <w:tcW w:w="817" w:type="dxa"/>
            <w:shd w:val="clear" w:color="auto" w:fill="auto"/>
            <w:vAlign w:val="center"/>
          </w:tcPr>
          <w:p w:rsidR="0053689B" w:rsidRDefault="0053689B" w:rsidP="009E17B2">
            <w:pPr>
              <w:jc w:val="center"/>
              <w:rPr>
                <w:rFonts w:ascii="Arial" w:hAnsi="Arial" w:cs="Arial"/>
                <w:lang w:val="fr-BE"/>
              </w:rPr>
            </w:pPr>
            <w:r>
              <w:rPr>
                <w:rFonts w:ascii="Arial" w:hAnsi="Arial" w:cs="Arial"/>
                <w:lang w:val="fr-BE"/>
              </w:rPr>
              <w:t>20.</w:t>
            </w:r>
          </w:p>
        </w:tc>
        <w:tc>
          <w:tcPr>
            <w:tcW w:w="8039" w:type="dxa"/>
            <w:shd w:val="clear" w:color="auto" w:fill="auto"/>
          </w:tcPr>
          <w:p w:rsidR="0053689B" w:rsidRDefault="000953BD" w:rsidP="009E17B2">
            <w:pPr>
              <w:jc w:val="both"/>
              <w:rPr>
                <w:rFonts w:ascii="Arial" w:hAnsi="Arial" w:cs="Arial"/>
                <w:sz w:val="22"/>
                <w:szCs w:val="22"/>
                <w:lang w:val="fr-BE"/>
              </w:rPr>
            </w:pPr>
            <w:hyperlink r:id="rId28" w:history="1">
              <w:r w:rsidR="0053689B" w:rsidRPr="00187822">
                <w:rPr>
                  <w:rFonts w:ascii="Arial" w:hAnsi="Arial" w:cs="Arial"/>
                  <w:sz w:val="22"/>
                  <w:szCs w:val="22"/>
                  <w:lang w:val="fr-BE"/>
                </w:rPr>
                <w:t>Prévisions relatives au capital de solvabilité requis – modèle interne partiel</w:t>
              </w:r>
            </w:hyperlink>
          </w:p>
          <w:p w:rsidR="00187822" w:rsidRPr="00294F6F" w:rsidRDefault="000953BD" w:rsidP="009E17B2">
            <w:pPr>
              <w:jc w:val="both"/>
              <w:rPr>
                <w:rFonts w:ascii="Arial" w:hAnsi="Arial" w:cs="Arial"/>
                <w:sz w:val="22"/>
                <w:szCs w:val="22"/>
                <w:lang w:val="fr-BE"/>
              </w:rPr>
            </w:pPr>
            <w:r>
              <w:rPr>
                <w:rFonts w:ascii="Calibri" w:hAnsi="Calibri"/>
                <w:sz w:val="22"/>
                <w:szCs w:val="22"/>
                <w:lang w:val="fr-BE" w:eastAsia="fr-BE"/>
              </w:rPr>
              <w:object w:dxaOrig="1546" w:dyaOrig="991">
                <v:shape id="_x0000_i1055" type="#_x0000_t75" style="width:77.25pt;height:49.5pt" o:ole="">
                  <v:imagedata r:id="rId29" o:title=""/>
                </v:shape>
                <o:OLEObject Type="Embed" ProgID="Excel.Sheet.12" ShapeID="_x0000_i1055" DrawAspect="Icon" ObjectID="_1603614596" r:id="rId30"/>
              </w:object>
            </w:r>
          </w:p>
        </w:tc>
      </w:tr>
      <w:tr w:rsidR="0053689B" w:rsidRPr="009118C8" w:rsidTr="009E17B2">
        <w:tc>
          <w:tcPr>
            <w:tcW w:w="817" w:type="dxa"/>
            <w:shd w:val="clear" w:color="auto" w:fill="auto"/>
            <w:vAlign w:val="center"/>
          </w:tcPr>
          <w:p w:rsidR="0053689B" w:rsidRDefault="0053689B" w:rsidP="009E17B2">
            <w:pPr>
              <w:jc w:val="center"/>
              <w:rPr>
                <w:rFonts w:ascii="Arial" w:hAnsi="Arial" w:cs="Arial"/>
                <w:lang w:val="fr-BE"/>
              </w:rPr>
            </w:pPr>
            <w:r>
              <w:rPr>
                <w:rFonts w:ascii="Arial" w:hAnsi="Arial" w:cs="Arial"/>
                <w:lang w:val="fr-BE"/>
              </w:rPr>
              <w:t>21.</w:t>
            </w:r>
          </w:p>
        </w:tc>
        <w:tc>
          <w:tcPr>
            <w:tcW w:w="8039" w:type="dxa"/>
            <w:shd w:val="clear" w:color="auto" w:fill="auto"/>
          </w:tcPr>
          <w:p w:rsidR="0053689B" w:rsidRDefault="000953BD" w:rsidP="009E17B2">
            <w:pPr>
              <w:jc w:val="both"/>
              <w:rPr>
                <w:rFonts w:ascii="Arial" w:hAnsi="Arial" w:cs="Arial"/>
                <w:sz w:val="22"/>
                <w:szCs w:val="22"/>
                <w:lang w:val="fr-BE"/>
              </w:rPr>
            </w:pPr>
            <w:hyperlink r:id="rId31" w:history="1">
              <w:r w:rsidR="0053689B" w:rsidRPr="00187822">
                <w:rPr>
                  <w:rFonts w:ascii="Arial" w:hAnsi="Arial" w:cs="Arial"/>
                  <w:sz w:val="22"/>
                  <w:szCs w:val="22"/>
                  <w:lang w:val="fr-BE"/>
                </w:rPr>
                <w:t>Prévisions relatives au capital de solvabilité requis – modèle interne</w:t>
              </w:r>
            </w:hyperlink>
          </w:p>
          <w:p w:rsidR="00187822" w:rsidRPr="00294F6F" w:rsidRDefault="000953BD" w:rsidP="009E17B2">
            <w:pPr>
              <w:jc w:val="both"/>
              <w:rPr>
                <w:rFonts w:ascii="Arial" w:hAnsi="Arial" w:cs="Arial"/>
                <w:sz w:val="22"/>
                <w:szCs w:val="22"/>
                <w:lang w:val="fr-BE"/>
              </w:rPr>
            </w:pPr>
            <w:r>
              <w:rPr>
                <w:rFonts w:ascii="Calibri" w:hAnsi="Calibri"/>
                <w:sz w:val="22"/>
                <w:szCs w:val="22"/>
                <w:lang w:val="fr-BE" w:eastAsia="fr-BE"/>
              </w:rPr>
              <w:object w:dxaOrig="1546" w:dyaOrig="991">
                <v:shape id="_x0000_i1057" type="#_x0000_t75" style="width:77.25pt;height:49.5pt" o:ole="">
                  <v:imagedata r:id="rId32" o:title=""/>
                </v:shape>
                <o:OLEObject Type="Embed" ProgID="Excel.Sheet.12" ShapeID="_x0000_i1057" DrawAspect="Icon" ObjectID="_1603614597" r:id="rId33"/>
              </w:object>
            </w:r>
          </w:p>
        </w:tc>
      </w:tr>
      <w:tr w:rsidR="0053689B" w:rsidRPr="009118C8" w:rsidTr="009E17B2">
        <w:tc>
          <w:tcPr>
            <w:tcW w:w="817" w:type="dxa"/>
            <w:shd w:val="clear" w:color="auto" w:fill="auto"/>
            <w:vAlign w:val="center"/>
          </w:tcPr>
          <w:p w:rsidR="0053689B" w:rsidRDefault="0053689B" w:rsidP="009E17B2">
            <w:pPr>
              <w:jc w:val="center"/>
              <w:rPr>
                <w:rFonts w:ascii="Arial" w:hAnsi="Arial" w:cs="Arial"/>
                <w:lang w:val="fr-BE"/>
              </w:rPr>
            </w:pPr>
            <w:r>
              <w:rPr>
                <w:rFonts w:ascii="Arial" w:hAnsi="Arial" w:cs="Arial"/>
                <w:lang w:val="fr-BE"/>
              </w:rPr>
              <w:t>22.</w:t>
            </w:r>
          </w:p>
        </w:tc>
        <w:tc>
          <w:tcPr>
            <w:tcW w:w="8039" w:type="dxa"/>
            <w:shd w:val="clear" w:color="auto" w:fill="auto"/>
          </w:tcPr>
          <w:p w:rsidR="0053689B" w:rsidRDefault="000953BD" w:rsidP="009E17B2">
            <w:pPr>
              <w:jc w:val="both"/>
              <w:rPr>
                <w:rFonts w:ascii="Arial" w:hAnsi="Arial" w:cs="Arial"/>
                <w:sz w:val="22"/>
                <w:szCs w:val="22"/>
                <w:lang w:val="fr-BE"/>
              </w:rPr>
            </w:pPr>
            <w:hyperlink r:id="rId34" w:history="1">
              <w:r w:rsidR="0053689B" w:rsidRPr="00187822">
                <w:rPr>
                  <w:rFonts w:ascii="Arial" w:hAnsi="Arial" w:cs="Arial"/>
                  <w:sz w:val="22"/>
                  <w:szCs w:val="22"/>
                  <w:lang w:val="fr-BE"/>
                </w:rPr>
                <w:t>Prévisions relatives au minimum de capital requis – non-vie</w:t>
              </w:r>
            </w:hyperlink>
          </w:p>
          <w:p w:rsidR="00187822" w:rsidRPr="00294F6F" w:rsidRDefault="000953BD" w:rsidP="009E17B2">
            <w:pPr>
              <w:jc w:val="both"/>
              <w:rPr>
                <w:rFonts w:ascii="Arial" w:hAnsi="Arial" w:cs="Arial"/>
                <w:sz w:val="22"/>
                <w:szCs w:val="22"/>
                <w:lang w:val="fr-BE"/>
              </w:rPr>
            </w:pPr>
            <w:r>
              <w:rPr>
                <w:rFonts w:ascii="Calibri" w:hAnsi="Calibri"/>
                <w:sz w:val="22"/>
                <w:szCs w:val="22"/>
                <w:lang w:val="fr-BE" w:eastAsia="fr-BE"/>
              </w:rPr>
              <w:object w:dxaOrig="1546" w:dyaOrig="991">
                <v:shape id="_x0000_i1059" type="#_x0000_t75" style="width:77.25pt;height:49.5pt" o:ole="">
                  <v:imagedata r:id="rId35" o:title=""/>
                </v:shape>
                <o:OLEObject Type="Embed" ProgID="Excel.Sheet.12" ShapeID="_x0000_i1059" DrawAspect="Icon" ObjectID="_1603614598" r:id="rId36"/>
              </w:object>
            </w:r>
          </w:p>
        </w:tc>
      </w:tr>
      <w:tr w:rsidR="0053689B" w:rsidRPr="009118C8" w:rsidTr="009E17B2">
        <w:tc>
          <w:tcPr>
            <w:tcW w:w="817" w:type="dxa"/>
            <w:shd w:val="clear" w:color="auto" w:fill="auto"/>
            <w:vAlign w:val="center"/>
          </w:tcPr>
          <w:p w:rsidR="0053689B" w:rsidRDefault="0053689B" w:rsidP="009E17B2">
            <w:pPr>
              <w:jc w:val="center"/>
              <w:rPr>
                <w:rFonts w:ascii="Arial" w:hAnsi="Arial" w:cs="Arial"/>
                <w:lang w:val="fr-BE"/>
              </w:rPr>
            </w:pPr>
            <w:r>
              <w:rPr>
                <w:rFonts w:ascii="Arial" w:hAnsi="Arial" w:cs="Arial"/>
                <w:lang w:val="fr-BE"/>
              </w:rPr>
              <w:lastRenderedPageBreak/>
              <w:t>23.</w:t>
            </w:r>
          </w:p>
        </w:tc>
        <w:tc>
          <w:tcPr>
            <w:tcW w:w="8039" w:type="dxa"/>
            <w:shd w:val="clear" w:color="auto" w:fill="auto"/>
          </w:tcPr>
          <w:p w:rsidR="0053689B" w:rsidRDefault="000953BD" w:rsidP="009E17B2">
            <w:pPr>
              <w:jc w:val="both"/>
              <w:rPr>
                <w:rFonts w:ascii="Arial" w:hAnsi="Arial" w:cs="Arial"/>
                <w:sz w:val="22"/>
                <w:szCs w:val="22"/>
                <w:lang w:val="fr-BE"/>
              </w:rPr>
            </w:pPr>
            <w:hyperlink r:id="rId37" w:history="1">
              <w:r w:rsidR="0053689B" w:rsidRPr="00187822">
                <w:rPr>
                  <w:rFonts w:ascii="Arial" w:hAnsi="Arial" w:cs="Arial"/>
                  <w:sz w:val="22"/>
                  <w:szCs w:val="22"/>
                  <w:lang w:val="fr-BE"/>
                </w:rPr>
                <w:t>Prévisions relatives au minimum de capital requis – vie</w:t>
              </w:r>
            </w:hyperlink>
          </w:p>
          <w:p w:rsidR="00187822" w:rsidRPr="00294F6F" w:rsidRDefault="000953BD" w:rsidP="009E17B2">
            <w:pPr>
              <w:jc w:val="both"/>
              <w:rPr>
                <w:rFonts w:ascii="Arial" w:hAnsi="Arial" w:cs="Arial"/>
                <w:sz w:val="22"/>
                <w:szCs w:val="22"/>
                <w:lang w:val="fr-BE"/>
              </w:rPr>
            </w:pPr>
            <w:r>
              <w:rPr>
                <w:rFonts w:ascii="Calibri" w:hAnsi="Calibri"/>
                <w:sz w:val="22"/>
                <w:szCs w:val="22"/>
                <w:lang w:val="fr-BE" w:eastAsia="fr-BE"/>
              </w:rPr>
              <w:object w:dxaOrig="1546" w:dyaOrig="991">
                <v:shape id="_x0000_i1061" type="#_x0000_t75" style="width:77.25pt;height:49.5pt" o:ole="">
                  <v:imagedata r:id="rId38" o:title=""/>
                </v:shape>
                <o:OLEObject Type="Embed" ProgID="Excel.Sheet.12" ShapeID="_x0000_i1061" DrawAspect="Icon" ObjectID="_1603614599" r:id="rId39"/>
              </w:object>
            </w:r>
          </w:p>
        </w:tc>
      </w:tr>
      <w:tr w:rsidR="0053689B" w:rsidRPr="009118C8" w:rsidTr="009E17B2">
        <w:tc>
          <w:tcPr>
            <w:tcW w:w="817" w:type="dxa"/>
            <w:shd w:val="clear" w:color="auto" w:fill="auto"/>
            <w:vAlign w:val="center"/>
          </w:tcPr>
          <w:p w:rsidR="0053689B" w:rsidRDefault="0053689B" w:rsidP="009E17B2">
            <w:pPr>
              <w:jc w:val="center"/>
              <w:rPr>
                <w:rFonts w:ascii="Arial" w:hAnsi="Arial" w:cs="Arial"/>
                <w:lang w:val="fr-BE"/>
              </w:rPr>
            </w:pPr>
            <w:r>
              <w:rPr>
                <w:rFonts w:ascii="Arial" w:hAnsi="Arial" w:cs="Arial"/>
                <w:lang w:val="fr-BE"/>
              </w:rPr>
              <w:t>24.</w:t>
            </w:r>
          </w:p>
        </w:tc>
        <w:tc>
          <w:tcPr>
            <w:tcW w:w="8039" w:type="dxa"/>
            <w:shd w:val="clear" w:color="auto" w:fill="auto"/>
          </w:tcPr>
          <w:p w:rsidR="0053689B" w:rsidRDefault="000953BD" w:rsidP="009E17B2">
            <w:pPr>
              <w:jc w:val="both"/>
              <w:rPr>
                <w:rFonts w:ascii="Arial" w:hAnsi="Arial" w:cs="Arial"/>
                <w:sz w:val="22"/>
                <w:szCs w:val="22"/>
                <w:lang w:val="fr-BE"/>
              </w:rPr>
            </w:pPr>
            <w:hyperlink r:id="rId40" w:history="1">
              <w:r w:rsidR="0053689B" w:rsidRPr="00187822">
                <w:rPr>
                  <w:rFonts w:ascii="Arial" w:hAnsi="Arial" w:cs="Arial"/>
                  <w:sz w:val="22"/>
                  <w:szCs w:val="22"/>
                  <w:lang w:val="fr-BE"/>
                </w:rPr>
                <w:t>Prévisions relatives aux moyens financiers</w:t>
              </w:r>
            </w:hyperlink>
          </w:p>
          <w:p w:rsidR="00187822" w:rsidRPr="00294F6F" w:rsidRDefault="000953BD" w:rsidP="009E17B2">
            <w:pPr>
              <w:jc w:val="both"/>
              <w:rPr>
                <w:rFonts w:ascii="Arial" w:hAnsi="Arial" w:cs="Arial"/>
                <w:sz w:val="22"/>
                <w:szCs w:val="22"/>
                <w:lang w:val="fr-BE"/>
              </w:rPr>
            </w:pPr>
            <w:r>
              <w:rPr>
                <w:rFonts w:ascii="Calibri" w:hAnsi="Calibri"/>
                <w:sz w:val="22"/>
                <w:szCs w:val="22"/>
                <w:lang w:val="fr-BE" w:eastAsia="fr-BE"/>
              </w:rPr>
              <w:object w:dxaOrig="1546" w:dyaOrig="991">
                <v:shape id="_x0000_i1063" type="#_x0000_t75" style="width:77.25pt;height:49.5pt" o:ole="">
                  <v:imagedata r:id="rId41" o:title=""/>
                </v:shape>
                <o:OLEObject Type="Embed" ProgID="Excel.Sheet.12" ShapeID="_x0000_i1063" DrawAspect="Icon" ObjectID="_1603614600" r:id="rId42"/>
              </w:object>
            </w:r>
          </w:p>
        </w:tc>
      </w:tr>
      <w:tr w:rsidR="0053689B" w:rsidRPr="009118C8" w:rsidTr="009E17B2">
        <w:tc>
          <w:tcPr>
            <w:tcW w:w="817" w:type="dxa"/>
            <w:shd w:val="clear" w:color="auto" w:fill="auto"/>
            <w:vAlign w:val="center"/>
          </w:tcPr>
          <w:p w:rsidR="0053689B" w:rsidRDefault="0053689B" w:rsidP="009E17B2">
            <w:pPr>
              <w:jc w:val="center"/>
              <w:rPr>
                <w:rFonts w:ascii="Arial" w:hAnsi="Arial" w:cs="Arial"/>
                <w:lang w:val="fr-BE"/>
              </w:rPr>
            </w:pPr>
            <w:r>
              <w:rPr>
                <w:rFonts w:ascii="Arial" w:hAnsi="Arial" w:cs="Arial"/>
                <w:lang w:val="fr-BE"/>
              </w:rPr>
              <w:t>25.</w:t>
            </w:r>
          </w:p>
        </w:tc>
        <w:tc>
          <w:tcPr>
            <w:tcW w:w="8039" w:type="dxa"/>
            <w:shd w:val="clear" w:color="auto" w:fill="auto"/>
          </w:tcPr>
          <w:p w:rsidR="0053689B" w:rsidRDefault="000953BD" w:rsidP="009E17B2">
            <w:pPr>
              <w:jc w:val="both"/>
              <w:rPr>
                <w:rFonts w:ascii="Arial" w:hAnsi="Arial" w:cs="Arial"/>
                <w:sz w:val="22"/>
                <w:szCs w:val="22"/>
                <w:lang w:val="fr-BE"/>
              </w:rPr>
            </w:pPr>
            <w:hyperlink r:id="rId43" w:history="1">
              <w:r w:rsidR="0053689B" w:rsidRPr="00187822">
                <w:rPr>
                  <w:rFonts w:ascii="Arial" w:hAnsi="Arial" w:cs="Arial"/>
                  <w:sz w:val="22"/>
                  <w:szCs w:val="22"/>
                  <w:lang w:val="fr-BE"/>
                </w:rPr>
                <w:t>Prévisions relatives aux frais, aux primes, aux cotisations et aux sinistres – non-vie</w:t>
              </w:r>
            </w:hyperlink>
          </w:p>
          <w:p w:rsidR="00187822" w:rsidRPr="00294F6F" w:rsidRDefault="000953BD" w:rsidP="009E17B2">
            <w:pPr>
              <w:jc w:val="both"/>
              <w:rPr>
                <w:rFonts w:ascii="Arial" w:hAnsi="Arial" w:cs="Arial"/>
                <w:sz w:val="22"/>
                <w:szCs w:val="22"/>
                <w:lang w:val="fr-BE"/>
              </w:rPr>
            </w:pPr>
            <w:r>
              <w:rPr>
                <w:rFonts w:ascii="Calibri" w:hAnsi="Calibri"/>
                <w:sz w:val="22"/>
                <w:szCs w:val="22"/>
                <w:lang w:val="fr-BE" w:eastAsia="fr-BE"/>
              </w:rPr>
              <w:object w:dxaOrig="1546" w:dyaOrig="991">
                <v:shape id="_x0000_i1068" type="#_x0000_t75" style="width:77.25pt;height:49.5pt" o:ole="">
                  <v:imagedata r:id="rId44" o:title=""/>
                </v:shape>
                <o:OLEObject Type="Embed" ProgID="Excel.Sheet.12" ShapeID="_x0000_i1068" DrawAspect="Icon" ObjectID="_1603614601" r:id="rId45"/>
              </w:object>
            </w:r>
          </w:p>
        </w:tc>
      </w:tr>
      <w:tr w:rsidR="0053689B" w:rsidRPr="009118C8" w:rsidTr="009E17B2">
        <w:tc>
          <w:tcPr>
            <w:tcW w:w="817" w:type="dxa"/>
            <w:shd w:val="clear" w:color="auto" w:fill="auto"/>
            <w:vAlign w:val="center"/>
          </w:tcPr>
          <w:p w:rsidR="0053689B" w:rsidRDefault="0053689B" w:rsidP="009E17B2">
            <w:pPr>
              <w:jc w:val="center"/>
              <w:rPr>
                <w:rFonts w:ascii="Arial" w:hAnsi="Arial" w:cs="Arial"/>
                <w:lang w:val="fr-BE"/>
              </w:rPr>
            </w:pPr>
            <w:r>
              <w:rPr>
                <w:rFonts w:ascii="Arial" w:hAnsi="Arial" w:cs="Arial"/>
                <w:lang w:val="fr-BE"/>
              </w:rPr>
              <w:t>26.</w:t>
            </w:r>
          </w:p>
        </w:tc>
        <w:tc>
          <w:tcPr>
            <w:tcW w:w="8039" w:type="dxa"/>
            <w:shd w:val="clear" w:color="auto" w:fill="auto"/>
          </w:tcPr>
          <w:p w:rsidR="0053689B" w:rsidRDefault="000953BD" w:rsidP="009E17B2">
            <w:pPr>
              <w:jc w:val="both"/>
              <w:rPr>
                <w:rFonts w:ascii="Arial" w:hAnsi="Arial" w:cs="Arial"/>
                <w:sz w:val="22"/>
                <w:szCs w:val="22"/>
                <w:lang w:val="fr-BE"/>
              </w:rPr>
            </w:pPr>
            <w:hyperlink r:id="rId46" w:history="1">
              <w:r w:rsidR="0053689B" w:rsidRPr="00187822">
                <w:rPr>
                  <w:rFonts w:ascii="Arial" w:hAnsi="Arial" w:cs="Arial"/>
                  <w:sz w:val="22"/>
                  <w:szCs w:val="22"/>
                  <w:lang w:val="fr-BE"/>
                </w:rPr>
                <w:t>Prévisions relatives aux frais, aux primes, aux cotisations et aux sinistres vie</w:t>
              </w:r>
            </w:hyperlink>
          </w:p>
          <w:bookmarkStart w:id="4" w:name="_GoBack"/>
          <w:bookmarkEnd w:id="4"/>
          <w:p w:rsidR="00187822" w:rsidRPr="00294F6F" w:rsidRDefault="000953BD" w:rsidP="009E17B2">
            <w:pPr>
              <w:jc w:val="both"/>
              <w:rPr>
                <w:rFonts w:ascii="Arial" w:hAnsi="Arial" w:cs="Arial"/>
                <w:sz w:val="22"/>
                <w:szCs w:val="22"/>
                <w:lang w:val="fr-BE"/>
              </w:rPr>
            </w:pPr>
            <w:r>
              <w:rPr>
                <w:rFonts w:ascii="Calibri" w:hAnsi="Calibri"/>
                <w:sz w:val="22"/>
                <w:szCs w:val="22"/>
                <w:lang w:val="fr-BE" w:eastAsia="fr-BE"/>
              </w:rPr>
              <w:object w:dxaOrig="1546" w:dyaOrig="991">
                <v:shape id="_x0000_i1070" type="#_x0000_t75" style="width:77.25pt;height:49.5pt" o:ole="">
                  <v:imagedata r:id="rId47" o:title=""/>
                </v:shape>
                <o:OLEObject Type="Embed" ProgID="Excel.Sheet.12" ShapeID="_x0000_i1070" DrawAspect="Icon" ObjectID="_1603614602" r:id="rId48"/>
              </w:object>
            </w:r>
          </w:p>
        </w:tc>
      </w:tr>
    </w:tbl>
    <w:p w:rsidR="0053689B" w:rsidRDefault="0053689B" w:rsidP="0053689B">
      <w:pPr>
        <w:jc w:val="both"/>
        <w:rPr>
          <w:rFonts w:ascii="Arial" w:hAnsi="Arial" w:cs="Arial"/>
          <w:lang w:val="fr-BE"/>
        </w:rPr>
      </w:pPr>
    </w:p>
    <w:p w:rsidR="0053689B" w:rsidRDefault="0053689B" w:rsidP="0053689B">
      <w:pPr>
        <w:jc w:val="both"/>
        <w:rPr>
          <w:rFonts w:ascii="Arial" w:hAnsi="Arial" w:cs="Arial"/>
          <w:lang w:val="fr-BE"/>
        </w:rPr>
      </w:pPr>
    </w:p>
    <w:p w:rsidR="0053689B" w:rsidRPr="00EF4DD9" w:rsidRDefault="0053689B" w:rsidP="0053689B">
      <w:pPr>
        <w:jc w:val="both"/>
        <w:rPr>
          <w:sz w:val="2"/>
          <w:szCs w:val="2"/>
          <w:lang w:val="fr-FR"/>
        </w:rPr>
      </w:pPr>
    </w:p>
    <w:sectPr w:rsidR="0053689B" w:rsidRPr="00EF4DD9" w:rsidSect="00C16030">
      <w:headerReference w:type="even" r:id="rId49"/>
      <w:footerReference w:type="even" r:id="rId50"/>
      <w:footerReference w:type="default" r:id="rId51"/>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3C1" w:rsidRDefault="00CD73C1">
      <w:r>
        <w:separator/>
      </w:r>
    </w:p>
  </w:endnote>
  <w:endnote w:type="continuationSeparator" w:id="0">
    <w:p w:rsidR="00CD73C1" w:rsidRDefault="00CD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319" w:rsidRDefault="00975319" w:rsidP="00C160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5319" w:rsidRDefault="00975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319" w:rsidRPr="00914114" w:rsidRDefault="00975319" w:rsidP="00C16030">
    <w:pPr>
      <w:pStyle w:val="Footer"/>
      <w:jc w:val="center"/>
      <w:rPr>
        <w:sz w:val="18"/>
        <w:szCs w:val="18"/>
      </w:rPr>
    </w:pPr>
    <w:r w:rsidRPr="00914114">
      <w:rPr>
        <w:rStyle w:val="PageNumber"/>
        <w:sz w:val="18"/>
        <w:szCs w:val="18"/>
      </w:rPr>
      <w:fldChar w:fldCharType="begin"/>
    </w:r>
    <w:r w:rsidRPr="00914114">
      <w:rPr>
        <w:rStyle w:val="PageNumber"/>
        <w:sz w:val="18"/>
        <w:szCs w:val="18"/>
      </w:rPr>
      <w:instrText xml:space="preserve"> PAGE </w:instrText>
    </w:r>
    <w:r w:rsidRPr="00914114">
      <w:rPr>
        <w:rStyle w:val="PageNumber"/>
        <w:sz w:val="18"/>
        <w:szCs w:val="18"/>
      </w:rPr>
      <w:fldChar w:fldCharType="separate"/>
    </w:r>
    <w:r w:rsidR="00BE643D">
      <w:rPr>
        <w:rStyle w:val="PageNumber"/>
        <w:noProof/>
        <w:sz w:val="18"/>
        <w:szCs w:val="18"/>
      </w:rPr>
      <w:t>3</w:t>
    </w:r>
    <w:r w:rsidRPr="00914114">
      <w:rPr>
        <w:rStyle w:val="PageNumber"/>
        <w:sz w:val="18"/>
        <w:szCs w:val="18"/>
      </w:rPr>
      <w:fldChar w:fldCharType="end"/>
    </w:r>
    <w:r w:rsidRPr="00914114">
      <w:rPr>
        <w:rStyle w:val="PageNumber"/>
        <w:sz w:val="18"/>
        <w:szCs w:val="18"/>
      </w:rPr>
      <w:t>/</w:t>
    </w:r>
    <w:r w:rsidRPr="00914114">
      <w:rPr>
        <w:rStyle w:val="PageNumber"/>
        <w:sz w:val="18"/>
        <w:szCs w:val="18"/>
      </w:rPr>
      <w:fldChar w:fldCharType="begin"/>
    </w:r>
    <w:r w:rsidRPr="00914114">
      <w:rPr>
        <w:rStyle w:val="PageNumber"/>
        <w:sz w:val="18"/>
        <w:szCs w:val="18"/>
      </w:rPr>
      <w:instrText xml:space="preserve"> NUMPAGES </w:instrText>
    </w:r>
    <w:r w:rsidRPr="00914114">
      <w:rPr>
        <w:rStyle w:val="PageNumber"/>
        <w:sz w:val="18"/>
        <w:szCs w:val="18"/>
      </w:rPr>
      <w:fldChar w:fldCharType="separate"/>
    </w:r>
    <w:r w:rsidR="00BE643D">
      <w:rPr>
        <w:rStyle w:val="PageNumber"/>
        <w:noProof/>
        <w:sz w:val="18"/>
        <w:szCs w:val="18"/>
      </w:rPr>
      <w:t>3</w:t>
    </w:r>
    <w:r w:rsidRPr="00914114">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3C1" w:rsidRDefault="00CD73C1">
      <w:r>
        <w:separator/>
      </w:r>
    </w:p>
  </w:footnote>
  <w:footnote w:type="continuationSeparator" w:id="0">
    <w:p w:rsidR="00CD73C1" w:rsidRDefault="00CD7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319" w:rsidRDefault="00975319" w:rsidP="00C160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5319" w:rsidRDefault="00975319" w:rsidP="00C1603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716D"/>
    <w:multiLevelType w:val="hybridMultilevel"/>
    <w:tmpl w:val="89E80E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6F12F8"/>
    <w:multiLevelType w:val="hybridMultilevel"/>
    <w:tmpl w:val="D966DF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84840"/>
    <w:multiLevelType w:val="hybridMultilevel"/>
    <w:tmpl w:val="06F65AE4"/>
    <w:lvl w:ilvl="0" w:tplc="04090017">
      <w:start w:val="1"/>
      <w:numFmt w:val="lowerLetter"/>
      <w:lvlText w:val="%1)"/>
      <w:lvlJc w:val="left"/>
      <w:pPr>
        <w:ind w:left="360" w:hanging="360"/>
      </w:pPr>
    </w:lvl>
    <w:lvl w:ilvl="1" w:tplc="2BD274C2">
      <w:start w:val="2"/>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EF34E9"/>
    <w:multiLevelType w:val="hybridMultilevel"/>
    <w:tmpl w:val="5136FA82"/>
    <w:lvl w:ilvl="0" w:tplc="72EE732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B6533"/>
    <w:multiLevelType w:val="hybridMultilevel"/>
    <w:tmpl w:val="5C20C4E6"/>
    <w:lvl w:ilvl="0" w:tplc="2BD274C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F287A"/>
    <w:multiLevelType w:val="hybridMultilevel"/>
    <w:tmpl w:val="F2AE8706"/>
    <w:lvl w:ilvl="0" w:tplc="05CE2F12">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2676456"/>
    <w:multiLevelType w:val="hybridMultilevel"/>
    <w:tmpl w:val="FBC691E6"/>
    <w:lvl w:ilvl="0" w:tplc="9ECEEB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41290"/>
    <w:multiLevelType w:val="hybridMultilevel"/>
    <w:tmpl w:val="1646C46E"/>
    <w:lvl w:ilvl="0" w:tplc="9ECEEB7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E3E56"/>
    <w:multiLevelType w:val="hybridMultilevel"/>
    <w:tmpl w:val="7800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E2BB6"/>
    <w:multiLevelType w:val="hybridMultilevel"/>
    <w:tmpl w:val="9B9E6462"/>
    <w:lvl w:ilvl="0" w:tplc="2BD274C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F97EDCDA">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CB34B3"/>
    <w:multiLevelType w:val="hybridMultilevel"/>
    <w:tmpl w:val="BCD6D97A"/>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7407026"/>
    <w:multiLevelType w:val="hybridMultilevel"/>
    <w:tmpl w:val="6262C0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5D0B6C"/>
    <w:multiLevelType w:val="hybridMultilevel"/>
    <w:tmpl w:val="D57C752A"/>
    <w:lvl w:ilvl="0" w:tplc="7FB841FC">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278CE"/>
    <w:multiLevelType w:val="hybridMultilevel"/>
    <w:tmpl w:val="63A4DEF0"/>
    <w:lvl w:ilvl="0" w:tplc="504AA1B8">
      <w:start w:val="1"/>
      <w:numFmt w:val="upperRoman"/>
      <w:lvlText w:val="%1."/>
      <w:lvlJc w:val="left"/>
      <w:pPr>
        <w:ind w:left="1080" w:hanging="720"/>
      </w:pPr>
      <w:rPr>
        <w:rFonts w:hint="default"/>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B97095C"/>
    <w:multiLevelType w:val="hybridMultilevel"/>
    <w:tmpl w:val="5F6ACA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054238"/>
    <w:multiLevelType w:val="hybridMultilevel"/>
    <w:tmpl w:val="5136FA82"/>
    <w:lvl w:ilvl="0" w:tplc="72EE732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B25EA"/>
    <w:multiLevelType w:val="hybridMultilevel"/>
    <w:tmpl w:val="82AC6906"/>
    <w:lvl w:ilvl="0" w:tplc="342607C0">
      <w:numFmt w:val="bullet"/>
      <w:lvlText w:val="-"/>
      <w:lvlJc w:val="left"/>
      <w:pPr>
        <w:tabs>
          <w:tab w:val="num" w:pos="1080"/>
        </w:tabs>
        <w:ind w:left="1080" w:hanging="360"/>
      </w:pPr>
      <w:rPr>
        <w:rFonts w:ascii="Arial" w:eastAsia="Calibri" w:hAnsi="Arial" w:hint="default"/>
      </w:rPr>
    </w:lvl>
    <w:lvl w:ilvl="1" w:tplc="0409000F">
      <w:start w:val="1"/>
      <w:numFmt w:val="decimal"/>
      <w:lvlText w:val="%2."/>
      <w:lvlJc w:val="left"/>
      <w:pPr>
        <w:tabs>
          <w:tab w:val="num" w:pos="1800"/>
        </w:tabs>
        <w:ind w:left="1800" w:hanging="360"/>
      </w:pPr>
      <w:rPr>
        <w:rFonts w:hint="default"/>
      </w:rPr>
    </w:lvl>
    <w:lvl w:ilvl="2" w:tplc="F97EDCDA">
      <w:start w:val="1"/>
      <w:numFmt w:val="lowerLetter"/>
      <w:lvlText w:val="%3)"/>
      <w:lvlJc w:val="left"/>
      <w:pPr>
        <w:tabs>
          <w:tab w:val="num" w:pos="2520"/>
        </w:tabs>
        <w:ind w:left="2520" w:hanging="360"/>
      </w:pPr>
      <w:rPr>
        <w:rFonts w:hint="default"/>
      </w:rPr>
    </w:lvl>
    <w:lvl w:ilvl="3" w:tplc="45B6E57A">
      <w:start w:val="1"/>
      <w:numFmt w:val="upperRoman"/>
      <w:lvlText w:val="%4."/>
      <w:lvlJc w:val="left"/>
      <w:pPr>
        <w:tabs>
          <w:tab w:val="num" w:pos="3600"/>
        </w:tabs>
        <w:ind w:left="3600" w:hanging="720"/>
      </w:pPr>
      <w:rPr>
        <w:rFont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F6910BC"/>
    <w:multiLevelType w:val="multilevel"/>
    <w:tmpl w:val="39C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FF2E6E"/>
    <w:multiLevelType w:val="hybridMultilevel"/>
    <w:tmpl w:val="ECC6F930"/>
    <w:lvl w:ilvl="0" w:tplc="05CE2F12">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B2078A8"/>
    <w:multiLevelType w:val="hybridMultilevel"/>
    <w:tmpl w:val="B412A7CE"/>
    <w:lvl w:ilvl="0" w:tplc="04090005">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D0F3168"/>
    <w:multiLevelType w:val="hybridMultilevel"/>
    <w:tmpl w:val="1D26B6C6"/>
    <w:lvl w:ilvl="0" w:tplc="2BD274C2">
      <w:start w:val="2"/>
      <w:numFmt w:val="bullet"/>
      <w:lvlText w:val="-"/>
      <w:lvlJc w:val="left"/>
      <w:pPr>
        <w:tabs>
          <w:tab w:val="num" w:pos="720"/>
        </w:tabs>
        <w:ind w:left="720" w:hanging="360"/>
      </w:pPr>
      <w:rPr>
        <w:rFonts w:ascii="Times New Roman" w:eastAsia="Times New Roman" w:hAnsi="Times New Roman" w:cs="Times New Roman" w:hint="default"/>
      </w:rPr>
    </w:lvl>
    <w:lvl w:ilvl="1" w:tplc="2BD274C2">
      <w:start w:val="2"/>
      <w:numFmt w:val="bullet"/>
      <w:lvlText w:val="-"/>
      <w:lvlJc w:val="left"/>
      <w:pPr>
        <w:tabs>
          <w:tab w:val="num" w:pos="1440"/>
        </w:tabs>
        <w:ind w:left="1440" w:hanging="360"/>
      </w:pPr>
      <w:rPr>
        <w:rFonts w:ascii="Times New Roman" w:eastAsia="Times New Roman" w:hAnsi="Times New Roman" w:cs="Times New Roman" w:hint="default"/>
      </w:rPr>
    </w:lvl>
    <w:lvl w:ilvl="2" w:tplc="F97EDCDA">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B34324"/>
    <w:multiLevelType w:val="hybridMultilevel"/>
    <w:tmpl w:val="176A9F06"/>
    <w:lvl w:ilvl="0" w:tplc="7FB841FC">
      <w:start w:val="1"/>
      <w:numFmt w:val="bullet"/>
      <w:lvlText w:val="-"/>
      <w:lvlJc w:val="left"/>
      <w:pPr>
        <w:ind w:left="360" w:hanging="360"/>
      </w:pPr>
      <w:rPr>
        <w:rFonts w:ascii="Arial" w:eastAsia="Times New Roman" w:hAnsi="Arial" w:cs="Aria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1"/>
  </w:num>
  <w:num w:numId="4">
    <w:abstractNumId w:val="0"/>
  </w:num>
  <w:num w:numId="5">
    <w:abstractNumId w:val="19"/>
  </w:num>
  <w:num w:numId="6">
    <w:abstractNumId w:val="11"/>
  </w:num>
  <w:num w:numId="7">
    <w:abstractNumId w:val="10"/>
  </w:num>
  <w:num w:numId="8">
    <w:abstractNumId w:val="18"/>
  </w:num>
  <w:num w:numId="9">
    <w:abstractNumId w:val="5"/>
  </w:num>
  <w:num w:numId="10">
    <w:abstractNumId w:val="7"/>
  </w:num>
  <w:num w:numId="11">
    <w:abstractNumId w:val="4"/>
  </w:num>
  <w:num w:numId="12">
    <w:abstractNumId w:val="2"/>
  </w:num>
  <w:num w:numId="13">
    <w:abstractNumId w:val="20"/>
  </w:num>
  <w:num w:numId="14">
    <w:abstractNumId w:val="21"/>
  </w:num>
  <w:num w:numId="15">
    <w:abstractNumId w:val="17"/>
  </w:num>
  <w:num w:numId="16">
    <w:abstractNumId w:val="13"/>
  </w:num>
  <w:num w:numId="17">
    <w:abstractNumId w:val="16"/>
  </w:num>
  <w:num w:numId="18">
    <w:abstractNumId w:val="12"/>
  </w:num>
  <w:num w:numId="19">
    <w:abstractNumId w:val="3"/>
  </w:num>
  <w:num w:numId="20">
    <w:abstractNumId w:val="15"/>
  </w:num>
  <w:num w:numId="21">
    <w:abstractNumId w:val="12"/>
  </w:num>
  <w:num w:numId="22">
    <w:abstractNumId w:val="8"/>
  </w:num>
  <w:num w:numId="2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A0"/>
    <w:rsid w:val="00011F9F"/>
    <w:rsid w:val="0001318B"/>
    <w:rsid w:val="00031760"/>
    <w:rsid w:val="00037F36"/>
    <w:rsid w:val="000442A0"/>
    <w:rsid w:val="00066B31"/>
    <w:rsid w:val="000767F7"/>
    <w:rsid w:val="00081EC7"/>
    <w:rsid w:val="00086A5B"/>
    <w:rsid w:val="00090127"/>
    <w:rsid w:val="000937AF"/>
    <w:rsid w:val="000953BD"/>
    <w:rsid w:val="000A3E1D"/>
    <w:rsid w:val="000A5750"/>
    <w:rsid w:val="000A5A5D"/>
    <w:rsid w:val="000C1855"/>
    <w:rsid w:val="000C4A23"/>
    <w:rsid w:val="000D2A7D"/>
    <w:rsid w:val="000D4997"/>
    <w:rsid w:val="000E21FE"/>
    <w:rsid w:val="000E356A"/>
    <w:rsid w:val="000F74ED"/>
    <w:rsid w:val="00113846"/>
    <w:rsid w:val="001229C5"/>
    <w:rsid w:val="00130AC5"/>
    <w:rsid w:val="00133FCB"/>
    <w:rsid w:val="00136E6C"/>
    <w:rsid w:val="00137A7D"/>
    <w:rsid w:val="00137FFB"/>
    <w:rsid w:val="001444DC"/>
    <w:rsid w:val="001459A8"/>
    <w:rsid w:val="00174459"/>
    <w:rsid w:val="00187822"/>
    <w:rsid w:val="001971D0"/>
    <w:rsid w:val="001A048E"/>
    <w:rsid w:val="001A372B"/>
    <w:rsid w:val="001A6687"/>
    <w:rsid w:val="001B24AF"/>
    <w:rsid w:val="001C6ED6"/>
    <w:rsid w:val="001D3FA0"/>
    <w:rsid w:val="001F202A"/>
    <w:rsid w:val="001F7014"/>
    <w:rsid w:val="0021306F"/>
    <w:rsid w:val="0021673C"/>
    <w:rsid w:val="00220358"/>
    <w:rsid w:val="0022084F"/>
    <w:rsid w:val="002402F9"/>
    <w:rsid w:val="00244D82"/>
    <w:rsid w:val="002468E4"/>
    <w:rsid w:val="00250746"/>
    <w:rsid w:val="00251ED2"/>
    <w:rsid w:val="002558AE"/>
    <w:rsid w:val="00256C21"/>
    <w:rsid w:val="00261249"/>
    <w:rsid w:val="002713B4"/>
    <w:rsid w:val="00290C6D"/>
    <w:rsid w:val="00294F6F"/>
    <w:rsid w:val="002C2BC7"/>
    <w:rsid w:val="002D01BD"/>
    <w:rsid w:val="002D0C0A"/>
    <w:rsid w:val="002E1F31"/>
    <w:rsid w:val="002E26E4"/>
    <w:rsid w:val="002F66A1"/>
    <w:rsid w:val="00305986"/>
    <w:rsid w:val="00320343"/>
    <w:rsid w:val="00323FB5"/>
    <w:rsid w:val="003252D7"/>
    <w:rsid w:val="00326D4E"/>
    <w:rsid w:val="003327A5"/>
    <w:rsid w:val="003364C3"/>
    <w:rsid w:val="00342DD2"/>
    <w:rsid w:val="00351E23"/>
    <w:rsid w:val="00365E7C"/>
    <w:rsid w:val="00380C59"/>
    <w:rsid w:val="00392829"/>
    <w:rsid w:val="003A1856"/>
    <w:rsid w:val="003A6398"/>
    <w:rsid w:val="003C64AB"/>
    <w:rsid w:val="003C75F3"/>
    <w:rsid w:val="003C7F6B"/>
    <w:rsid w:val="003D5524"/>
    <w:rsid w:val="003D5CDE"/>
    <w:rsid w:val="003F2A02"/>
    <w:rsid w:val="00405DEE"/>
    <w:rsid w:val="00421823"/>
    <w:rsid w:val="004262C0"/>
    <w:rsid w:val="004351CE"/>
    <w:rsid w:val="00446B51"/>
    <w:rsid w:val="0045348E"/>
    <w:rsid w:val="004656DC"/>
    <w:rsid w:val="00465AE9"/>
    <w:rsid w:val="00482817"/>
    <w:rsid w:val="0049390E"/>
    <w:rsid w:val="0049660A"/>
    <w:rsid w:val="004A2BA2"/>
    <w:rsid w:val="004A4EEF"/>
    <w:rsid w:val="004A7DE2"/>
    <w:rsid w:val="004C3E6E"/>
    <w:rsid w:val="004C714E"/>
    <w:rsid w:val="004D2AA0"/>
    <w:rsid w:val="004D673D"/>
    <w:rsid w:val="004D7A30"/>
    <w:rsid w:val="004E23DC"/>
    <w:rsid w:val="004E6BB7"/>
    <w:rsid w:val="004F317F"/>
    <w:rsid w:val="00505071"/>
    <w:rsid w:val="005064A4"/>
    <w:rsid w:val="00506D48"/>
    <w:rsid w:val="00517FC0"/>
    <w:rsid w:val="00531ADF"/>
    <w:rsid w:val="0053689B"/>
    <w:rsid w:val="005373CC"/>
    <w:rsid w:val="00546FF3"/>
    <w:rsid w:val="00557CC7"/>
    <w:rsid w:val="005601B6"/>
    <w:rsid w:val="005616FB"/>
    <w:rsid w:val="00562246"/>
    <w:rsid w:val="00571D2F"/>
    <w:rsid w:val="00575DEA"/>
    <w:rsid w:val="00582997"/>
    <w:rsid w:val="0058381C"/>
    <w:rsid w:val="005B5AFC"/>
    <w:rsid w:val="005B60B5"/>
    <w:rsid w:val="005B7BA5"/>
    <w:rsid w:val="005C3F5D"/>
    <w:rsid w:val="005C61E2"/>
    <w:rsid w:val="005D2BD3"/>
    <w:rsid w:val="005F04EC"/>
    <w:rsid w:val="005F2398"/>
    <w:rsid w:val="005F33EC"/>
    <w:rsid w:val="00602B51"/>
    <w:rsid w:val="00606FCA"/>
    <w:rsid w:val="00631CC5"/>
    <w:rsid w:val="00632D5C"/>
    <w:rsid w:val="00633F3D"/>
    <w:rsid w:val="00634861"/>
    <w:rsid w:val="006513F1"/>
    <w:rsid w:val="00655FB2"/>
    <w:rsid w:val="00666CC5"/>
    <w:rsid w:val="006722BC"/>
    <w:rsid w:val="0068448C"/>
    <w:rsid w:val="0069241A"/>
    <w:rsid w:val="006951B9"/>
    <w:rsid w:val="006952FD"/>
    <w:rsid w:val="00696D58"/>
    <w:rsid w:val="006A7FBE"/>
    <w:rsid w:val="006B0E7E"/>
    <w:rsid w:val="006C0700"/>
    <w:rsid w:val="006C32C0"/>
    <w:rsid w:val="006D13FE"/>
    <w:rsid w:val="006D2472"/>
    <w:rsid w:val="006D72CF"/>
    <w:rsid w:val="006E1776"/>
    <w:rsid w:val="006E3789"/>
    <w:rsid w:val="006E5954"/>
    <w:rsid w:val="006E69FE"/>
    <w:rsid w:val="006E73D3"/>
    <w:rsid w:val="006E7AF3"/>
    <w:rsid w:val="006F60DD"/>
    <w:rsid w:val="006F7BE6"/>
    <w:rsid w:val="0070346B"/>
    <w:rsid w:val="007122D1"/>
    <w:rsid w:val="00721C40"/>
    <w:rsid w:val="00726282"/>
    <w:rsid w:val="00752566"/>
    <w:rsid w:val="007658AD"/>
    <w:rsid w:val="0078213C"/>
    <w:rsid w:val="007C6F19"/>
    <w:rsid w:val="0081233F"/>
    <w:rsid w:val="00825B8F"/>
    <w:rsid w:val="00836E03"/>
    <w:rsid w:val="0085169D"/>
    <w:rsid w:val="00853D09"/>
    <w:rsid w:val="00855CD1"/>
    <w:rsid w:val="00860ADE"/>
    <w:rsid w:val="00880988"/>
    <w:rsid w:val="008876D1"/>
    <w:rsid w:val="008955F1"/>
    <w:rsid w:val="008A3A63"/>
    <w:rsid w:val="008A605F"/>
    <w:rsid w:val="008A7910"/>
    <w:rsid w:val="008B2289"/>
    <w:rsid w:val="008C03EA"/>
    <w:rsid w:val="008C1B37"/>
    <w:rsid w:val="008C2B86"/>
    <w:rsid w:val="008C5751"/>
    <w:rsid w:val="008C7749"/>
    <w:rsid w:val="008D6B1E"/>
    <w:rsid w:val="008E3F1C"/>
    <w:rsid w:val="008E6CED"/>
    <w:rsid w:val="00900910"/>
    <w:rsid w:val="009009EB"/>
    <w:rsid w:val="00900BA3"/>
    <w:rsid w:val="009024CB"/>
    <w:rsid w:val="00923FC9"/>
    <w:rsid w:val="009258A2"/>
    <w:rsid w:val="009348B7"/>
    <w:rsid w:val="00953E37"/>
    <w:rsid w:val="0095716F"/>
    <w:rsid w:val="009615D0"/>
    <w:rsid w:val="00963DCA"/>
    <w:rsid w:val="00967E94"/>
    <w:rsid w:val="009729F8"/>
    <w:rsid w:val="0097478C"/>
    <w:rsid w:val="00975319"/>
    <w:rsid w:val="00991441"/>
    <w:rsid w:val="009A3589"/>
    <w:rsid w:val="009A7038"/>
    <w:rsid w:val="009B1609"/>
    <w:rsid w:val="009B3475"/>
    <w:rsid w:val="009C2A20"/>
    <w:rsid w:val="009D0AB8"/>
    <w:rsid w:val="009D78E3"/>
    <w:rsid w:val="009E17B2"/>
    <w:rsid w:val="009F1311"/>
    <w:rsid w:val="00A11BD4"/>
    <w:rsid w:val="00A17472"/>
    <w:rsid w:val="00A20D4E"/>
    <w:rsid w:val="00A23EC9"/>
    <w:rsid w:val="00A275C0"/>
    <w:rsid w:val="00A3042A"/>
    <w:rsid w:val="00A3050E"/>
    <w:rsid w:val="00A335C0"/>
    <w:rsid w:val="00A426C8"/>
    <w:rsid w:val="00A641FF"/>
    <w:rsid w:val="00A70E45"/>
    <w:rsid w:val="00A712E2"/>
    <w:rsid w:val="00A73156"/>
    <w:rsid w:val="00A80EFE"/>
    <w:rsid w:val="00A84D5D"/>
    <w:rsid w:val="00A95647"/>
    <w:rsid w:val="00AA381C"/>
    <w:rsid w:val="00AA674E"/>
    <w:rsid w:val="00AB0CD4"/>
    <w:rsid w:val="00AC0175"/>
    <w:rsid w:val="00AC2B22"/>
    <w:rsid w:val="00AC46A9"/>
    <w:rsid w:val="00AC53B8"/>
    <w:rsid w:val="00AD0A3C"/>
    <w:rsid w:val="00AD31CA"/>
    <w:rsid w:val="00AD32DA"/>
    <w:rsid w:val="00AE4844"/>
    <w:rsid w:val="00AF1642"/>
    <w:rsid w:val="00AF26A3"/>
    <w:rsid w:val="00AF53AE"/>
    <w:rsid w:val="00AF599C"/>
    <w:rsid w:val="00AF7E0B"/>
    <w:rsid w:val="00B07C4B"/>
    <w:rsid w:val="00B12C4E"/>
    <w:rsid w:val="00B27D0B"/>
    <w:rsid w:val="00B3484B"/>
    <w:rsid w:val="00B46F2F"/>
    <w:rsid w:val="00B50E5A"/>
    <w:rsid w:val="00B544B5"/>
    <w:rsid w:val="00B54C17"/>
    <w:rsid w:val="00B57F09"/>
    <w:rsid w:val="00B622A0"/>
    <w:rsid w:val="00B774A1"/>
    <w:rsid w:val="00B81D33"/>
    <w:rsid w:val="00BA2C0E"/>
    <w:rsid w:val="00BA2F74"/>
    <w:rsid w:val="00BB2684"/>
    <w:rsid w:val="00BC4840"/>
    <w:rsid w:val="00BD15EE"/>
    <w:rsid w:val="00BE22F5"/>
    <w:rsid w:val="00BE51DC"/>
    <w:rsid w:val="00BE643D"/>
    <w:rsid w:val="00BF1F91"/>
    <w:rsid w:val="00C0104E"/>
    <w:rsid w:val="00C02AB9"/>
    <w:rsid w:val="00C10383"/>
    <w:rsid w:val="00C134A2"/>
    <w:rsid w:val="00C14E25"/>
    <w:rsid w:val="00C157AD"/>
    <w:rsid w:val="00C16030"/>
    <w:rsid w:val="00C16491"/>
    <w:rsid w:val="00C33609"/>
    <w:rsid w:val="00C36C44"/>
    <w:rsid w:val="00C72604"/>
    <w:rsid w:val="00C75934"/>
    <w:rsid w:val="00C75C6D"/>
    <w:rsid w:val="00C824BD"/>
    <w:rsid w:val="00C829E6"/>
    <w:rsid w:val="00CA2657"/>
    <w:rsid w:val="00CA5499"/>
    <w:rsid w:val="00CB3D22"/>
    <w:rsid w:val="00CC0C36"/>
    <w:rsid w:val="00CD6615"/>
    <w:rsid w:val="00CD704B"/>
    <w:rsid w:val="00CD7092"/>
    <w:rsid w:val="00CD73C1"/>
    <w:rsid w:val="00CE0C3B"/>
    <w:rsid w:val="00CE48A2"/>
    <w:rsid w:val="00D13ACD"/>
    <w:rsid w:val="00D16755"/>
    <w:rsid w:val="00D20620"/>
    <w:rsid w:val="00D40E08"/>
    <w:rsid w:val="00D60F27"/>
    <w:rsid w:val="00D67592"/>
    <w:rsid w:val="00DA3647"/>
    <w:rsid w:val="00DB1DA7"/>
    <w:rsid w:val="00DB5E46"/>
    <w:rsid w:val="00DD08A0"/>
    <w:rsid w:val="00E01C3B"/>
    <w:rsid w:val="00E1052A"/>
    <w:rsid w:val="00E15CFA"/>
    <w:rsid w:val="00E24A99"/>
    <w:rsid w:val="00E32C20"/>
    <w:rsid w:val="00E35F4E"/>
    <w:rsid w:val="00E4088B"/>
    <w:rsid w:val="00E55350"/>
    <w:rsid w:val="00E6641B"/>
    <w:rsid w:val="00E72FBD"/>
    <w:rsid w:val="00E733F2"/>
    <w:rsid w:val="00E73BD3"/>
    <w:rsid w:val="00E76BC8"/>
    <w:rsid w:val="00E92A72"/>
    <w:rsid w:val="00E97588"/>
    <w:rsid w:val="00EC5C9F"/>
    <w:rsid w:val="00ED4F3C"/>
    <w:rsid w:val="00ED6639"/>
    <w:rsid w:val="00ED7BD0"/>
    <w:rsid w:val="00EE3DE5"/>
    <w:rsid w:val="00EE59DC"/>
    <w:rsid w:val="00EE7EEA"/>
    <w:rsid w:val="00EF4DD9"/>
    <w:rsid w:val="00F04A9B"/>
    <w:rsid w:val="00F15987"/>
    <w:rsid w:val="00F16F7B"/>
    <w:rsid w:val="00F210D7"/>
    <w:rsid w:val="00F246FE"/>
    <w:rsid w:val="00F423C1"/>
    <w:rsid w:val="00F53D16"/>
    <w:rsid w:val="00F55B96"/>
    <w:rsid w:val="00F565CB"/>
    <w:rsid w:val="00F71CB7"/>
    <w:rsid w:val="00F955FF"/>
    <w:rsid w:val="00FA1A59"/>
    <w:rsid w:val="00FA24FA"/>
    <w:rsid w:val="00FB7572"/>
    <w:rsid w:val="00FC37D5"/>
    <w:rsid w:val="00FD2CE8"/>
    <w:rsid w:val="00FD4F9E"/>
    <w:rsid w:val="00FE1BE3"/>
    <w:rsid w:val="00FF30F9"/>
    <w:rsid w:val="00FF463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F27D83F7-286A-4114-AE03-9B63A102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6030"/>
    <w:rPr>
      <w:sz w:val="24"/>
      <w:szCs w:val="24"/>
      <w:lang w:val="en-US" w:eastAsia="en-US"/>
    </w:rPr>
  </w:style>
  <w:style w:type="paragraph" w:styleId="Heading1">
    <w:name w:val="heading 1"/>
    <w:basedOn w:val="Normal"/>
    <w:next w:val="Normal"/>
    <w:qFormat/>
    <w:rsid w:val="00C1603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1603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16030"/>
    <w:pPr>
      <w:keepNext/>
      <w:spacing w:before="240" w:after="60"/>
      <w:outlineLvl w:val="2"/>
    </w:pPr>
    <w:rPr>
      <w:rFonts w:ascii="Arial" w:hAnsi="Arial" w:cs="Arial"/>
      <w:b/>
      <w:bCs/>
      <w:sz w:val="26"/>
      <w:szCs w:val="26"/>
    </w:rPr>
  </w:style>
  <w:style w:type="paragraph" w:styleId="Heading9">
    <w:name w:val="heading 9"/>
    <w:next w:val="Normal"/>
    <w:qFormat/>
    <w:rsid w:val="00C16030"/>
    <w:pPr>
      <w:overflowPunct w:val="0"/>
      <w:autoSpaceDE w:val="0"/>
      <w:autoSpaceDN w:val="0"/>
      <w:adjustRightInd w:val="0"/>
      <w:textAlignment w:val="baseline"/>
      <w:outlineLvl w:val="8"/>
    </w:pPr>
    <w:rPr>
      <w:rFonts w:ascii="Courier" w:hAnsi="Courie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16030"/>
    <w:rPr>
      <w:rFonts w:ascii="Arial" w:hAnsi="Arial" w:cs="Arial"/>
      <w:b/>
      <w:bCs/>
      <w:i/>
      <w:iCs/>
      <w:sz w:val="28"/>
      <w:szCs w:val="28"/>
      <w:lang w:val="en-US" w:eastAsia="en-US" w:bidi="ar-SA"/>
    </w:rPr>
  </w:style>
  <w:style w:type="paragraph" w:styleId="Header">
    <w:name w:val="header"/>
    <w:basedOn w:val="Normal"/>
    <w:rsid w:val="00C16030"/>
    <w:pPr>
      <w:tabs>
        <w:tab w:val="center" w:pos="4320"/>
        <w:tab w:val="right" w:pos="8640"/>
      </w:tabs>
    </w:pPr>
  </w:style>
  <w:style w:type="character" w:styleId="PageNumber">
    <w:name w:val="page number"/>
    <w:basedOn w:val="DefaultParagraphFont"/>
    <w:rsid w:val="00C16030"/>
  </w:style>
  <w:style w:type="paragraph" w:styleId="Footer">
    <w:name w:val="footer"/>
    <w:basedOn w:val="Normal"/>
    <w:rsid w:val="00C16030"/>
    <w:pPr>
      <w:tabs>
        <w:tab w:val="center" w:pos="4320"/>
        <w:tab w:val="right" w:pos="8640"/>
      </w:tabs>
    </w:pPr>
  </w:style>
  <w:style w:type="character" w:styleId="FootnoteReference">
    <w:name w:val="footnote reference"/>
    <w:semiHidden/>
    <w:rsid w:val="00C16030"/>
    <w:rPr>
      <w:vertAlign w:val="superscript"/>
    </w:rPr>
  </w:style>
  <w:style w:type="paragraph" w:styleId="FootnoteText">
    <w:name w:val="footnote text"/>
    <w:basedOn w:val="Normal"/>
    <w:semiHidden/>
    <w:rsid w:val="00C16030"/>
    <w:rPr>
      <w:sz w:val="20"/>
      <w:szCs w:val="20"/>
    </w:rPr>
  </w:style>
  <w:style w:type="paragraph" w:styleId="BalloonText">
    <w:name w:val="Balloon Text"/>
    <w:basedOn w:val="Normal"/>
    <w:semiHidden/>
    <w:rsid w:val="00C16030"/>
    <w:rPr>
      <w:rFonts w:ascii="Tahoma" w:hAnsi="Tahoma" w:cs="Tahoma"/>
      <w:sz w:val="16"/>
      <w:szCs w:val="16"/>
    </w:rPr>
  </w:style>
  <w:style w:type="character" w:styleId="CommentReference">
    <w:name w:val="annotation reference"/>
    <w:semiHidden/>
    <w:rsid w:val="00C16030"/>
    <w:rPr>
      <w:sz w:val="16"/>
      <w:szCs w:val="16"/>
    </w:rPr>
  </w:style>
  <w:style w:type="paragraph" w:styleId="CommentText">
    <w:name w:val="annotation text"/>
    <w:basedOn w:val="Normal"/>
    <w:link w:val="CommentTextChar"/>
    <w:semiHidden/>
    <w:rsid w:val="00C16030"/>
    <w:rPr>
      <w:sz w:val="20"/>
      <w:szCs w:val="20"/>
    </w:rPr>
  </w:style>
  <w:style w:type="table" w:styleId="TableGrid">
    <w:name w:val="Table Grid"/>
    <w:basedOn w:val="TableNormal"/>
    <w:uiPriority w:val="59"/>
    <w:rsid w:val="00C1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C16030"/>
    <w:pPr>
      <w:tabs>
        <w:tab w:val="right" w:leader="dot" w:pos="8630"/>
      </w:tabs>
    </w:pPr>
    <w:rPr>
      <w:b/>
      <w:sz w:val="22"/>
      <w:szCs w:val="22"/>
      <w:lang w:val="fr-BE"/>
    </w:rPr>
  </w:style>
  <w:style w:type="paragraph" w:styleId="TOC2">
    <w:name w:val="toc 2"/>
    <w:basedOn w:val="Normal"/>
    <w:next w:val="Normal"/>
    <w:autoRedefine/>
    <w:semiHidden/>
    <w:rsid w:val="00C16030"/>
    <w:pPr>
      <w:ind w:left="240"/>
    </w:pPr>
  </w:style>
  <w:style w:type="paragraph" w:styleId="TOC3">
    <w:name w:val="toc 3"/>
    <w:basedOn w:val="Normal"/>
    <w:next w:val="Normal"/>
    <w:autoRedefine/>
    <w:semiHidden/>
    <w:rsid w:val="00C16030"/>
    <w:pPr>
      <w:ind w:left="480"/>
    </w:pPr>
  </w:style>
  <w:style w:type="character" w:styleId="Hyperlink">
    <w:name w:val="Hyperlink"/>
    <w:rsid w:val="00C16030"/>
    <w:rPr>
      <w:color w:val="0000FF"/>
      <w:u w:val="single"/>
    </w:rPr>
  </w:style>
  <w:style w:type="paragraph" w:customStyle="1" w:styleId="Default">
    <w:name w:val="Default"/>
    <w:rsid w:val="009C2A20"/>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E1052A"/>
    <w:pPr>
      <w:ind w:left="720"/>
    </w:pPr>
  </w:style>
  <w:style w:type="paragraph" w:styleId="NormalWeb">
    <w:name w:val="Normal (Web)"/>
    <w:basedOn w:val="Normal"/>
    <w:uiPriority w:val="99"/>
    <w:unhideWhenUsed/>
    <w:rsid w:val="00031760"/>
    <w:pPr>
      <w:spacing w:before="100" w:beforeAutospacing="1" w:after="100" w:afterAutospacing="1"/>
    </w:pPr>
    <w:rPr>
      <w:lang w:val="fr-BE" w:eastAsia="fr-BE"/>
    </w:rPr>
  </w:style>
  <w:style w:type="character" w:customStyle="1" w:styleId="CommentTextChar">
    <w:name w:val="Comment Text Char"/>
    <w:link w:val="CommentText"/>
    <w:semiHidden/>
    <w:rsid w:val="005B7BA5"/>
  </w:style>
  <w:style w:type="paragraph" w:styleId="CommentSubject">
    <w:name w:val="annotation subject"/>
    <w:basedOn w:val="CommentText"/>
    <w:next w:val="CommentText"/>
    <w:link w:val="CommentSubjectChar"/>
    <w:rsid w:val="00F71CB7"/>
    <w:rPr>
      <w:b/>
      <w:bCs/>
    </w:rPr>
  </w:style>
  <w:style w:type="character" w:customStyle="1" w:styleId="CommentSubjectChar">
    <w:name w:val="Comment Subject Char"/>
    <w:link w:val="CommentSubject"/>
    <w:rsid w:val="00F71CB7"/>
    <w:rPr>
      <w:b/>
      <w:bCs/>
      <w:lang w:val="en-US" w:eastAsia="en-US"/>
    </w:rPr>
  </w:style>
  <w:style w:type="paragraph" w:customStyle="1" w:styleId="BoiteVakje">
    <w:name w:val="Boite/Vakje"/>
    <w:basedOn w:val="Normal"/>
    <w:rsid w:val="006C32C0"/>
    <w:pPr>
      <w:spacing w:line="200" w:lineRule="atLeast"/>
    </w:pPr>
    <w:rPr>
      <w:rFonts w:ascii="Arial" w:eastAsia="Calibri"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862061">
      <w:bodyDiv w:val="1"/>
      <w:marLeft w:val="0"/>
      <w:marRight w:val="0"/>
      <w:marTop w:val="0"/>
      <w:marBottom w:val="0"/>
      <w:divBdr>
        <w:top w:val="none" w:sz="0" w:space="0" w:color="auto"/>
        <w:left w:val="none" w:sz="0" w:space="0" w:color="auto"/>
        <w:bottom w:val="none" w:sz="0" w:space="0" w:color="auto"/>
        <w:right w:val="none" w:sz="0" w:space="0" w:color="auto"/>
      </w:divBdr>
    </w:div>
    <w:div w:id="1092361473">
      <w:bodyDiv w:val="1"/>
      <w:marLeft w:val="0"/>
      <w:marRight w:val="0"/>
      <w:marTop w:val="0"/>
      <w:marBottom w:val="0"/>
      <w:divBdr>
        <w:top w:val="none" w:sz="0" w:space="0" w:color="auto"/>
        <w:left w:val="none" w:sz="0" w:space="0" w:color="auto"/>
        <w:bottom w:val="none" w:sz="0" w:space="0" w:color="auto"/>
        <w:right w:val="none" w:sz="0" w:space="0" w:color="auto"/>
      </w:divBdr>
    </w:div>
    <w:div w:id="1117993107">
      <w:bodyDiv w:val="1"/>
      <w:marLeft w:val="0"/>
      <w:marRight w:val="0"/>
      <w:marTop w:val="0"/>
      <w:marBottom w:val="0"/>
      <w:divBdr>
        <w:top w:val="none" w:sz="0" w:space="0" w:color="auto"/>
        <w:left w:val="none" w:sz="0" w:space="0" w:color="auto"/>
        <w:bottom w:val="none" w:sz="0" w:space="0" w:color="auto"/>
        <w:right w:val="none" w:sz="0" w:space="0" w:color="auto"/>
      </w:divBdr>
    </w:div>
    <w:div w:id="1300964343">
      <w:bodyDiv w:val="1"/>
      <w:marLeft w:val="0"/>
      <w:marRight w:val="0"/>
      <w:marTop w:val="0"/>
      <w:marBottom w:val="0"/>
      <w:divBdr>
        <w:top w:val="none" w:sz="0" w:space="0" w:color="auto"/>
        <w:left w:val="none" w:sz="0" w:space="0" w:color="auto"/>
        <w:bottom w:val="none" w:sz="0" w:space="0" w:color="auto"/>
        <w:right w:val="none" w:sz="0" w:space="0" w:color="auto"/>
      </w:divBdr>
    </w:div>
    <w:div w:id="18295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1.docx"/><Relationship Id="rId18" Type="http://schemas.openxmlformats.org/officeDocument/2006/relationships/hyperlink" Target="https://www.nbb.be/fr/articles/circulaire-nbb201302-expertise-et-honorabilite-professionnelle-fit-proper" TargetMode="External"/><Relationship Id="rId26" Type="http://schemas.openxmlformats.org/officeDocument/2006/relationships/image" Target="media/image6.emf"/><Relationship Id="rId39" Type="http://schemas.openxmlformats.org/officeDocument/2006/relationships/package" Target="embeddings/Microsoft_Excel_Worksheet8.xlsx"/><Relationship Id="rId21" Type="http://schemas.openxmlformats.org/officeDocument/2006/relationships/package" Target="embeddings/Microsoft_Word_Document3.docx"/><Relationship Id="rId34" Type="http://schemas.openxmlformats.org/officeDocument/2006/relationships/hyperlink" Target="file:///\\nbb.local\res\LIBRARY\PRXNWEBP\DOC\CP\fr\vo\circ\22.xlsx" TargetMode="External"/><Relationship Id="rId42" Type="http://schemas.openxmlformats.org/officeDocument/2006/relationships/package" Target="embeddings/Microsoft_Excel_Worksheet9.xlsx"/><Relationship Id="rId47" Type="http://schemas.openxmlformats.org/officeDocument/2006/relationships/image" Target="media/image13.emf"/><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Word_Document2.docx"/><Relationship Id="rId29" Type="http://schemas.openxmlformats.org/officeDocument/2006/relationships/image" Target="media/image7.emf"/><Relationship Id="rId11" Type="http://schemas.openxmlformats.org/officeDocument/2006/relationships/hyperlink" Target="file:///\\nbb.local\res\LIBRARY\PRXNWEBP\DOC\CP\fr\vo\circ\2.doc" TargetMode="External"/><Relationship Id="rId24" Type="http://schemas.openxmlformats.org/officeDocument/2006/relationships/package" Target="embeddings/Microsoft_Excel_Worksheet.xlsx"/><Relationship Id="rId32" Type="http://schemas.openxmlformats.org/officeDocument/2006/relationships/image" Target="media/image8.emf"/><Relationship Id="rId37" Type="http://schemas.openxmlformats.org/officeDocument/2006/relationships/hyperlink" Target="file:///\\nbb.local\res\LIBRARY\PRXNWEBP\DOC\CP\fr\vo\circ\23.xlsx" TargetMode="External"/><Relationship Id="rId40" Type="http://schemas.openxmlformats.org/officeDocument/2006/relationships/hyperlink" Target="file:///\\nbb.local\res\LIBRARY\PRXNWEBP\DOC\CP\fr\vo\circ\24.xlsx" TargetMode="External"/><Relationship Id="rId45" Type="http://schemas.openxmlformats.org/officeDocument/2006/relationships/package" Target="embeddings/Microsoft_Excel_Worksheet10.xlsx"/><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package" Target="embeddings/Microsoft_Word_Document.docx"/><Relationship Id="rId19" Type="http://schemas.openxmlformats.org/officeDocument/2006/relationships/hyperlink" Target="file:///\\nbb.local\res\LIBRARY\PRXNWEBP\DOC\CP\fr\vo\circ\17.doc" TargetMode="External"/><Relationship Id="rId31" Type="http://schemas.openxmlformats.org/officeDocument/2006/relationships/hyperlink" Target="file:///\\nbb.local\res\LIBRARY\PRXNWEBP\DOC\CP\fr\vo\circ\21.xlsx" TargetMode="External"/><Relationship Id="rId44" Type="http://schemas.openxmlformats.org/officeDocument/2006/relationships/image" Target="media/image12.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file:///\\nbb.local\res\LIBRARY\PRXNWEBP\DOC\CP\fr\vo\circ\3.doc" TargetMode="External"/><Relationship Id="rId22" Type="http://schemas.openxmlformats.org/officeDocument/2006/relationships/hyperlink" Target="file:///\\nbb.local\res\LIBRARY\PRXNWEBP\DOC\CP\fr\vo\circ\18.xlsx" TargetMode="External"/><Relationship Id="rId27" Type="http://schemas.openxmlformats.org/officeDocument/2006/relationships/package" Target="embeddings/Microsoft_Excel_Worksheet4.xlsx"/><Relationship Id="rId30" Type="http://schemas.openxmlformats.org/officeDocument/2006/relationships/package" Target="embeddings/Microsoft_Excel_Worksheet5.xlsx"/><Relationship Id="rId35" Type="http://schemas.openxmlformats.org/officeDocument/2006/relationships/image" Target="media/image9.emf"/><Relationship Id="rId43" Type="http://schemas.openxmlformats.org/officeDocument/2006/relationships/hyperlink" Target="file:///\\nbb.local\res\LIBRARY\PRXNWEBP\DOC\CP\fr\vo\circ\25.xlsx" TargetMode="External"/><Relationship Id="rId48" Type="http://schemas.openxmlformats.org/officeDocument/2006/relationships/package" Target="embeddings/Microsoft_Excel_Worksheet11.xlsx"/><Relationship Id="rId8" Type="http://schemas.openxmlformats.org/officeDocument/2006/relationships/hyperlink" Target="file:///\\nbb.local\res\LIBRARY\PRXNWEBP\DOC\CP\fr\vo\circ\1.doc"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https://www.nbb.be/fr/articles/communication-cbfa200931-communication-aux-candidats-actionnaires-et-aux-actionnaires" TargetMode="External"/><Relationship Id="rId25" Type="http://schemas.openxmlformats.org/officeDocument/2006/relationships/hyperlink" Target="file:///\\nbb.local\res\LIBRARY\PRXNWEBP\DOC\CP\fr\vo\circ\19.xlsx" TargetMode="External"/><Relationship Id="rId33" Type="http://schemas.openxmlformats.org/officeDocument/2006/relationships/package" Target="embeddings/Microsoft_Excel_Worksheet6.xlsx"/><Relationship Id="rId38" Type="http://schemas.openxmlformats.org/officeDocument/2006/relationships/image" Target="media/image10.emf"/><Relationship Id="rId46" Type="http://schemas.openxmlformats.org/officeDocument/2006/relationships/hyperlink" Target="file:///\\nbb.local\res\LIBRARY\PRXNWEBP\DOC\CP\fr\vo\circ\26.xlsx" TargetMode="External"/><Relationship Id="rId20" Type="http://schemas.openxmlformats.org/officeDocument/2006/relationships/image" Target="media/image4.emf"/><Relationship Id="rId41"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5.emf"/><Relationship Id="rId28" Type="http://schemas.openxmlformats.org/officeDocument/2006/relationships/hyperlink" Target="file:///\\nbb.local\res\LIBRARY\PRXNWEBP\DOC\CP\fr\vo\circ\20.xlsx" TargetMode="External"/><Relationship Id="rId36" Type="http://schemas.openxmlformats.org/officeDocument/2006/relationships/package" Target="embeddings/Microsoft_Excel_Worksheet7.xlsx"/><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104C2-2CBB-4111-B12D-00520810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530</Words>
  <Characters>5204</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CBFA - Entreprises d'assurances - Circulaires &amp; communications - Mémorandum relatif à l'obtention d'un agrément par une entreprise d'assurances de droit belge</vt:lpstr>
    </vt:vector>
  </TitlesOfParts>
  <Company>CBFA</Company>
  <LinksUpToDate>false</LinksUpToDate>
  <CharactersWithSpaces>5723</CharactersWithSpaces>
  <SharedDoc>false</SharedDoc>
  <HLinks>
    <vt:vector size="90" baseType="variant">
      <vt:variant>
        <vt:i4>2490428</vt:i4>
      </vt:variant>
      <vt:variant>
        <vt:i4>78</vt:i4>
      </vt:variant>
      <vt:variant>
        <vt:i4>0</vt:i4>
      </vt:variant>
      <vt:variant>
        <vt:i4>5</vt:i4>
      </vt:variant>
      <vt:variant>
        <vt:lpwstr>../26.xlsx</vt:lpwstr>
      </vt:variant>
      <vt:variant>
        <vt:lpwstr/>
      </vt:variant>
      <vt:variant>
        <vt:i4>2490431</vt:i4>
      </vt:variant>
      <vt:variant>
        <vt:i4>72</vt:i4>
      </vt:variant>
      <vt:variant>
        <vt:i4>0</vt:i4>
      </vt:variant>
      <vt:variant>
        <vt:i4>5</vt:i4>
      </vt:variant>
      <vt:variant>
        <vt:lpwstr>../25.xlsx</vt:lpwstr>
      </vt:variant>
      <vt:variant>
        <vt:lpwstr/>
      </vt:variant>
      <vt:variant>
        <vt:i4>2490430</vt:i4>
      </vt:variant>
      <vt:variant>
        <vt:i4>66</vt:i4>
      </vt:variant>
      <vt:variant>
        <vt:i4>0</vt:i4>
      </vt:variant>
      <vt:variant>
        <vt:i4>5</vt:i4>
      </vt:variant>
      <vt:variant>
        <vt:lpwstr>../24.xlsx</vt:lpwstr>
      </vt:variant>
      <vt:variant>
        <vt:lpwstr/>
      </vt:variant>
      <vt:variant>
        <vt:i4>2490425</vt:i4>
      </vt:variant>
      <vt:variant>
        <vt:i4>60</vt:i4>
      </vt:variant>
      <vt:variant>
        <vt:i4>0</vt:i4>
      </vt:variant>
      <vt:variant>
        <vt:i4>5</vt:i4>
      </vt:variant>
      <vt:variant>
        <vt:lpwstr>../23.xlsx</vt:lpwstr>
      </vt:variant>
      <vt:variant>
        <vt:lpwstr/>
      </vt:variant>
      <vt:variant>
        <vt:i4>2490424</vt:i4>
      </vt:variant>
      <vt:variant>
        <vt:i4>54</vt:i4>
      </vt:variant>
      <vt:variant>
        <vt:i4>0</vt:i4>
      </vt:variant>
      <vt:variant>
        <vt:i4>5</vt:i4>
      </vt:variant>
      <vt:variant>
        <vt:lpwstr>../22.xlsx</vt:lpwstr>
      </vt:variant>
      <vt:variant>
        <vt:lpwstr/>
      </vt:variant>
      <vt:variant>
        <vt:i4>2490427</vt:i4>
      </vt:variant>
      <vt:variant>
        <vt:i4>48</vt:i4>
      </vt:variant>
      <vt:variant>
        <vt:i4>0</vt:i4>
      </vt:variant>
      <vt:variant>
        <vt:i4>5</vt:i4>
      </vt:variant>
      <vt:variant>
        <vt:lpwstr>../21.xlsx</vt:lpwstr>
      </vt:variant>
      <vt:variant>
        <vt:lpwstr/>
      </vt:variant>
      <vt:variant>
        <vt:i4>2490426</vt:i4>
      </vt:variant>
      <vt:variant>
        <vt:i4>42</vt:i4>
      </vt:variant>
      <vt:variant>
        <vt:i4>0</vt:i4>
      </vt:variant>
      <vt:variant>
        <vt:i4>5</vt:i4>
      </vt:variant>
      <vt:variant>
        <vt:lpwstr>../20.xlsx</vt:lpwstr>
      </vt:variant>
      <vt:variant>
        <vt:lpwstr/>
      </vt:variant>
      <vt:variant>
        <vt:i4>2424883</vt:i4>
      </vt:variant>
      <vt:variant>
        <vt:i4>36</vt:i4>
      </vt:variant>
      <vt:variant>
        <vt:i4>0</vt:i4>
      </vt:variant>
      <vt:variant>
        <vt:i4>5</vt:i4>
      </vt:variant>
      <vt:variant>
        <vt:lpwstr>../19.xlsx</vt:lpwstr>
      </vt:variant>
      <vt:variant>
        <vt:lpwstr/>
      </vt:variant>
      <vt:variant>
        <vt:i4>2424882</vt:i4>
      </vt:variant>
      <vt:variant>
        <vt:i4>30</vt:i4>
      </vt:variant>
      <vt:variant>
        <vt:i4>0</vt:i4>
      </vt:variant>
      <vt:variant>
        <vt:i4>5</vt:i4>
      </vt:variant>
      <vt:variant>
        <vt:lpwstr>../18.xlsx</vt:lpwstr>
      </vt:variant>
      <vt:variant>
        <vt:lpwstr/>
      </vt:variant>
      <vt:variant>
        <vt:i4>6160466</vt:i4>
      </vt:variant>
      <vt:variant>
        <vt:i4>24</vt:i4>
      </vt:variant>
      <vt:variant>
        <vt:i4>0</vt:i4>
      </vt:variant>
      <vt:variant>
        <vt:i4>5</vt:i4>
      </vt:variant>
      <vt:variant>
        <vt:lpwstr>../17.doc</vt:lpwstr>
      </vt:variant>
      <vt:variant>
        <vt:lpwstr/>
      </vt:variant>
      <vt:variant>
        <vt:i4>1704022</vt:i4>
      </vt:variant>
      <vt:variant>
        <vt:i4>21</vt:i4>
      </vt:variant>
      <vt:variant>
        <vt:i4>0</vt:i4>
      </vt:variant>
      <vt:variant>
        <vt:i4>5</vt:i4>
      </vt:variant>
      <vt:variant>
        <vt:lpwstr>https://www.nbb.be/fr/articles/circulaire-nbb201302-expertise-et-honorabilite-professionnelle-fit-proper</vt:lpwstr>
      </vt:variant>
      <vt:variant>
        <vt:lpwstr/>
      </vt:variant>
      <vt:variant>
        <vt:i4>524310</vt:i4>
      </vt:variant>
      <vt:variant>
        <vt:i4>18</vt:i4>
      </vt:variant>
      <vt:variant>
        <vt:i4>0</vt:i4>
      </vt:variant>
      <vt:variant>
        <vt:i4>5</vt:i4>
      </vt:variant>
      <vt:variant>
        <vt:lpwstr>https://www.nbb.be/fr/articles/communication-cbfa200931-communication-aux-candidats-actionnaires-et-aux-actionnaires</vt:lpwstr>
      </vt:variant>
      <vt:variant>
        <vt:lpwstr/>
      </vt:variant>
      <vt:variant>
        <vt:i4>1704000</vt:i4>
      </vt:variant>
      <vt:variant>
        <vt:i4>12</vt:i4>
      </vt:variant>
      <vt:variant>
        <vt:i4>0</vt:i4>
      </vt:variant>
      <vt:variant>
        <vt:i4>5</vt:i4>
      </vt:variant>
      <vt:variant>
        <vt:lpwstr>../3.doc</vt:lpwstr>
      </vt:variant>
      <vt:variant>
        <vt:lpwstr/>
      </vt:variant>
      <vt:variant>
        <vt:i4>1769536</vt:i4>
      </vt:variant>
      <vt:variant>
        <vt:i4>6</vt:i4>
      </vt:variant>
      <vt:variant>
        <vt:i4>0</vt:i4>
      </vt:variant>
      <vt:variant>
        <vt:i4>5</vt:i4>
      </vt:variant>
      <vt:variant>
        <vt:lpwstr>../2.doc</vt:lpwstr>
      </vt:variant>
      <vt:variant>
        <vt:lpwstr/>
      </vt:variant>
      <vt:variant>
        <vt:i4>1572928</vt:i4>
      </vt:variant>
      <vt:variant>
        <vt:i4>0</vt:i4>
      </vt:variant>
      <vt:variant>
        <vt:i4>0</vt:i4>
      </vt:variant>
      <vt:variant>
        <vt:i4>5</vt:i4>
      </vt:variant>
      <vt:variant>
        <vt:lpwstr>../1.doc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CBFA - Entreprises d'assurances - Circulaires &amp; communications - Mémorandum relatif à l'obtention d'un agrément par une entreprise d'assurances de droit belge</dc:title>
  <dc:subject/>
  <dc:creator>CBFA</dc:creator>
  <cp:keywords/>
  <cp:lastModifiedBy>Dame Jean-marie</cp:lastModifiedBy>
  <cp:revision>4</cp:revision>
  <cp:lastPrinted>2017-02-24T16:16:00Z</cp:lastPrinted>
  <dcterms:created xsi:type="dcterms:W3CDTF">2018-11-13T10:30:00Z</dcterms:created>
  <dcterms:modified xsi:type="dcterms:W3CDTF">2018-11-13T10:42:00Z</dcterms:modified>
</cp:coreProperties>
</file>