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6D7274" w:rsidRPr="00562A44" w:rsidTr="007B7965">
        <w:trPr>
          <w:cantSplit/>
          <w:trHeight w:hRule="exact" w:val="1077"/>
        </w:trPr>
        <w:tc>
          <w:tcPr>
            <w:tcW w:w="6067" w:type="dxa"/>
            <w:vAlign w:val="center"/>
          </w:tcPr>
          <w:p w:rsidR="006D7274" w:rsidRPr="0022511B" w:rsidRDefault="006D7274" w:rsidP="007B7965">
            <w:pPr>
              <w:pStyle w:val="AdresseAdres"/>
              <w:spacing w:before="300"/>
              <w:rPr>
                <w:lang w:val="nl-BE"/>
              </w:rPr>
            </w:pPr>
            <w:r w:rsidRPr="0022511B">
              <w:rPr>
                <w:lang w:val="nl-BE"/>
              </w:rPr>
              <w:t>de Berlaimontlaan 14 – BE-1000 Brussel</w:t>
            </w:r>
          </w:p>
          <w:p w:rsidR="006D7274" w:rsidRPr="0022511B" w:rsidRDefault="00306D32" w:rsidP="00C67902">
            <w:pPr>
              <w:pStyle w:val="AdresseAdres"/>
              <w:rPr>
                <w:lang w:val="nl-BE"/>
              </w:rPr>
            </w:pPr>
            <w:r>
              <w:rPr>
                <w:lang w:val="nl-BE"/>
              </w:rPr>
              <w:t>tel. +32 2 221 22 20 – fax + 32 2 221 31 04</w:t>
            </w:r>
          </w:p>
          <w:p w:rsidR="006D7274" w:rsidRPr="0022511B" w:rsidRDefault="006D7274" w:rsidP="00C67902">
            <w:pPr>
              <w:pStyle w:val="AdresseAdres"/>
              <w:rPr>
                <w:lang w:val="nl-BE"/>
              </w:rPr>
            </w:pPr>
            <w:r w:rsidRPr="0022511B">
              <w:rPr>
                <w:lang w:val="nl-BE"/>
              </w:rPr>
              <w:t>ondernemingsnummer: 0203.201.340</w:t>
            </w:r>
          </w:p>
          <w:p w:rsidR="006D7274" w:rsidRPr="00713218" w:rsidRDefault="006D7274" w:rsidP="00C67902">
            <w:pPr>
              <w:pStyle w:val="AdresseAdres"/>
            </w:pPr>
            <w:r w:rsidRPr="00713218">
              <w:t>RPR Brussel</w:t>
            </w:r>
          </w:p>
          <w:p w:rsidR="006D7274" w:rsidRPr="00562A44" w:rsidRDefault="006D7274" w:rsidP="006D7274">
            <w:pPr>
              <w:pStyle w:val="AdresseAdres"/>
              <w:rPr>
                <w:lang w:val="fr-BE"/>
              </w:rPr>
            </w:pPr>
            <w:r w:rsidRPr="00713218">
              <w:t>www.nbb.be</w:t>
            </w:r>
          </w:p>
        </w:tc>
        <w:tc>
          <w:tcPr>
            <w:tcW w:w="3856" w:type="dxa"/>
            <w:gridSpan w:val="2"/>
            <w:shd w:val="clear" w:color="auto" w:fill="auto"/>
            <w:vAlign w:val="center"/>
          </w:tcPr>
          <w:p w:rsidR="006D7274" w:rsidRPr="00562A44" w:rsidRDefault="006D7274" w:rsidP="00682F2F">
            <w:pPr>
              <w:spacing w:line="260" w:lineRule="atLeast"/>
              <w:rPr>
                <w:sz w:val="16"/>
                <w:szCs w:val="16"/>
                <w:lang w:val="fr-BE"/>
              </w:rPr>
            </w:pPr>
            <w:r w:rsidRPr="00DD0AAC">
              <w:rPr>
                <w:noProof/>
                <w:sz w:val="16"/>
                <w:szCs w:val="16"/>
                <w:lang w:val="fr-BE" w:eastAsia="fr-BE"/>
              </w:rPr>
              <w:drawing>
                <wp:inline distT="0" distB="0" distL="0" distR="0" wp14:anchorId="379F9F1B" wp14:editId="01A7B0F8">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6D7274" w:rsidRPr="00562A44" w:rsidTr="00682F2F">
        <w:trPr>
          <w:cantSplit/>
          <w:trHeight w:hRule="exact" w:val="850"/>
        </w:trPr>
        <w:tc>
          <w:tcPr>
            <w:tcW w:w="6067" w:type="dxa"/>
            <w:shd w:val="clear" w:color="auto" w:fill="auto"/>
          </w:tcPr>
          <w:p w:rsidR="006D7274" w:rsidRPr="000A56E5" w:rsidRDefault="006D7274"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rsidR="006D7274" w:rsidRPr="004911A8" w:rsidRDefault="006D7274" w:rsidP="007B7965">
            <w:pPr>
              <w:pStyle w:val="TitreTitel"/>
              <w:keepLines/>
              <w:tabs>
                <w:tab w:val="left" w:pos="284"/>
                <w:tab w:val="right" w:leader="dot" w:pos="9639"/>
              </w:tabs>
              <w:spacing w:after="170"/>
              <w:ind w:left="397" w:right="567" w:hanging="397"/>
            </w:pPr>
            <w:r>
              <w:t>Circulaire</w:t>
            </w:r>
          </w:p>
        </w:tc>
      </w:tr>
      <w:tr w:rsidR="006D7274" w:rsidRPr="00812A3E" w:rsidTr="007B7965">
        <w:trPr>
          <w:cantSplit/>
          <w:trHeight w:hRule="exact" w:val="794"/>
        </w:trPr>
        <w:tc>
          <w:tcPr>
            <w:tcW w:w="6067" w:type="dxa"/>
            <w:vMerge w:val="restart"/>
            <w:shd w:val="clear" w:color="auto" w:fill="auto"/>
          </w:tcPr>
          <w:p w:rsidR="006D7274" w:rsidRPr="00562A44" w:rsidRDefault="006D7274" w:rsidP="00C67902">
            <w:pPr>
              <w:pStyle w:val="AdresseAdres"/>
              <w:rPr>
                <w:lang w:val="fr-BE"/>
              </w:rPr>
            </w:pPr>
          </w:p>
        </w:tc>
        <w:tc>
          <w:tcPr>
            <w:tcW w:w="3856" w:type="dxa"/>
            <w:gridSpan w:val="2"/>
          </w:tcPr>
          <w:p w:rsidR="006D7274" w:rsidRPr="00562A44" w:rsidRDefault="006D7274" w:rsidP="00CC6550">
            <w:pPr>
              <w:spacing w:line="260" w:lineRule="atLeast"/>
              <w:rPr>
                <w:lang w:val="fr-BE"/>
              </w:rPr>
            </w:pPr>
            <w:r w:rsidRPr="00562A44">
              <w:rPr>
                <w:lang w:val="fr-BE"/>
              </w:rPr>
              <w:t>Bru</w:t>
            </w:r>
            <w:r w:rsidRPr="00E81847">
              <w:rPr>
                <w:lang w:val="fr-BE"/>
              </w:rPr>
              <w:t>ss</w:t>
            </w:r>
            <w:r w:rsidRPr="00562A44">
              <w:rPr>
                <w:lang w:val="fr-BE"/>
              </w:rPr>
              <w:t xml:space="preserve">el, </w:t>
            </w:r>
            <w:r w:rsidR="00356EBB">
              <w:rPr>
                <w:lang w:val="fr-BE"/>
              </w:rPr>
              <w:t>7</w:t>
            </w:r>
            <w:r w:rsidR="00CC6550">
              <w:rPr>
                <w:lang w:val="fr-BE"/>
              </w:rPr>
              <w:t xml:space="preserve"> </w:t>
            </w:r>
            <w:proofErr w:type="spellStart"/>
            <w:r w:rsidR="00CC6550">
              <w:rPr>
                <w:lang w:val="fr-BE"/>
              </w:rPr>
              <w:t>juli</w:t>
            </w:r>
            <w:proofErr w:type="spellEnd"/>
            <w:r w:rsidR="0038121D">
              <w:rPr>
                <w:lang w:val="fr-BE"/>
              </w:rPr>
              <w:t xml:space="preserve"> </w:t>
            </w:r>
            <w:r w:rsidR="007B7C31">
              <w:rPr>
                <w:lang w:val="fr-BE"/>
              </w:rPr>
              <w:t>2017</w:t>
            </w:r>
          </w:p>
        </w:tc>
      </w:tr>
      <w:tr w:rsidR="006D7274" w:rsidRPr="00812A3E" w:rsidTr="00682F2F">
        <w:trPr>
          <w:cantSplit/>
          <w:trHeight w:hRule="exact" w:val="198"/>
        </w:trPr>
        <w:tc>
          <w:tcPr>
            <w:tcW w:w="6067" w:type="dxa"/>
            <w:vMerge/>
          </w:tcPr>
          <w:p w:rsidR="006D7274" w:rsidRPr="00562A44" w:rsidRDefault="006D7274" w:rsidP="00682F2F">
            <w:pPr>
              <w:spacing w:line="260" w:lineRule="atLeast"/>
              <w:rPr>
                <w:lang w:val="fr-BE"/>
              </w:rPr>
            </w:pPr>
          </w:p>
        </w:tc>
        <w:tc>
          <w:tcPr>
            <w:tcW w:w="1644" w:type="dxa"/>
            <w:vAlign w:val="center"/>
          </w:tcPr>
          <w:p w:rsidR="006D7274" w:rsidRPr="00562A44" w:rsidRDefault="006D7274" w:rsidP="00682F2F">
            <w:pPr>
              <w:pStyle w:val="BoiteVakje"/>
            </w:pPr>
          </w:p>
        </w:tc>
        <w:tc>
          <w:tcPr>
            <w:tcW w:w="2212" w:type="dxa"/>
            <w:vAlign w:val="center"/>
          </w:tcPr>
          <w:p w:rsidR="006D7274" w:rsidRPr="00562A44" w:rsidRDefault="006D7274" w:rsidP="00682F2F">
            <w:pPr>
              <w:pStyle w:val="BoiteVakje"/>
              <w:rPr>
                <w:sz w:val="16"/>
                <w:szCs w:val="16"/>
              </w:rPr>
            </w:pPr>
          </w:p>
        </w:tc>
      </w:tr>
      <w:tr w:rsidR="006D7274" w:rsidRPr="00812A3E" w:rsidTr="00682F2F">
        <w:trPr>
          <w:cantSplit/>
          <w:trHeight w:hRule="exact" w:val="198"/>
        </w:trPr>
        <w:tc>
          <w:tcPr>
            <w:tcW w:w="6067" w:type="dxa"/>
            <w:vMerge/>
          </w:tcPr>
          <w:p w:rsidR="006D7274" w:rsidRPr="00562A44" w:rsidRDefault="006D7274" w:rsidP="00682F2F">
            <w:pPr>
              <w:tabs>
                <w:tab w:val="left" w:pos="1276"/>
                <w:tab w:val="left" w:pos="2268"/>
              </w:tabs>
              <w:spacing w:line="260" w:lineRule="atLeast"/>
              <w:rPr>
                <w:lang w:val="fr-BE"/>
              </w:rPr>
            </w:pPr>
          </w:p>
        </w:tc>
        <w:tc>
          <w:tcPr>
            <w:tcW w:w="1644" w:type="dxa"/>
            <w:vAlign w:val="center"/>
          </w:tcPr>
          <w:p w:rsidR="006D7274" w:rsidRPr="00562A44" w:rsidRDefault="006D7274" w:rsidP="00682F2F">
            <w:pPr>
              <w:pStyle w:val="BoiteVakje"/>
            </w:pPr>
            <w:proofErr w:type="spellStart"/>
            <w:r w:rsidRPr="00E81847">
              <w:t>Kenmerk</w:t>
            </w:r>
            <w:proofErr w:type="spellEnd"/>
            <w:r w:rsidRPr="00562A44">
              <w:t xml:space="preserve">: </w:t>
            </w:r>
            <w:r w:rsidRPr="00562A44">
              <w:rPr>
                <w:vanish/>
                <w:color w:val="FF0000"/>
              </w:rPr>
              <w:t>---------------&gt;</w:t>
            </w:r>
          </w:p>
        </w:tc>
        <w:tc>
          <w:tcPr>
            <w:tcW w:w="2212" w:type="dxa"/>
            <w:vAlign w:val="center"/>
          </w:tcPr>
          <w:p w:rsidR="006D7274" w:rsidRPr="00562A44" w:rsidRDefault="007B7C31" w:rsidP="00682F2F">
            <w:pPr>
              <w:pStyle w:val="BoitetexteVakjetekst"/>
            </w:pPr>
            <w:r>
              <w:t>NBB_2017</w:t>
            </w:r>
            <w:r w:rsidR="00306D32">
              <w:t>_21</w:t>
            </w:r>
          </w:p>
        </w:tc>
      </w:tr>
      <w:tr w:rsidR="006D7274" w:rsidRPr="00812A3E" w:rsidTr="00682F2F">
        <w:trPr>
          <w:cantSplit/>
          <w:trHeight w:hRule="exact" w:val="198"/>
        </w:trPr>
        <w:tc>
          <w:tcPr>
            <w:tcW w:w="6067" w:type="dxa"/>
            <w:vMerge/>
          </w:tcPr>
          <w:p w:rsidR="006D7274" w:rsidRPr="00562A44" w:rsidRDefault="006D7274" w:rsidP="00682F2F">
            <w:pPr>
              <w:spacing w:line="260" w:lineRule="atLeast"/>
              <w:rPr>
                <w:lang w:val="fr-BE"/>
              </w:rPr>
            </w:pPr>
          </w:p>
        </w:tc>
        <w:tc>
          <w:tcPr>
            <w:tcW w:w="3856" w:type="dxa"/>
            <w:gridSpan w:val="2"/>
            <w:vAlign w:val="center"/>
          </w:tcPr>
          <w:p w:rsidR="006D7274" w:rsidRPr="00562A44" w:rsidRDefault="006D7274" w:rsidP="00682F2F">
            <w:pPr>
              <w:pStyle w:val="BoiteVakje"/>
              <w:rPr>
                <w:sz w:val="16"/>
                <w:szCs w:val="16"/>
              </w:rPr>
            </w:pPr>
          </w:p>
        </w:tc>
      </w:tr>
      <w:tr w:rsidR="006D7274" w:rsidRPr="00DC3DB5" w:rsidTr="00C67902">
        <w:trPr>
          <w:cantSplit/>
          <w:trHeight w:hRule="exact" w:val="198"/>
        </w:trPr>
        <w:tc>
          <w:tcPr>
            <w:tcW w:w="6067" w:type="dxa"/>
            <w:vMerge w:val="restart"/>
          </w:tcPr>
          <w:p w:rsidR="006D7274" w:rsidRPr="00C863D3" w:rsidRDefault="006D7274" w:rsidP="00C67902">
            <w:pPr>
              <w:pStyle w:val="AdresseAdres"/>
            </w:pPr>
          </w:p>
        </w:tc>
        <w:tc>
          <w:tcPr>
            <w:tcW w:w="3856" w:type="dxa"/>
            <w:gridSpan w:val="2"/>
            <w:vAlign w:val="center"/>
          </w:tcPr>
          <w:p w:rsidR="006D7274" w:rsidRPr="00DC3DB5" w:rsidRDefault="006D7274" w:rsidP="004E6FD5">
            <w:pPr>
              <w:pStyle w:val="BoiteVakje"/>
              <w:rPr>
                <w:lang w:val="nl-BE"/>
              </w:rPr>
            </w:pPr>
            <w:r w:rsidRPr="00DC3DB5">
              <w:rPr>
                <w:lang w:val="nl-BE"/>
              </w:rPr>
              <w:t xml:space="preserve">uw correspondent: </w:t>
            </w:r>
            <w:r w:rsidRPr="00DC3DB5">
              <w:rPr>
                <w:rFonts w:cs="Arial"/>
                <w:vanish/>
                <w:color w:val="FF0000"/>
                <w:lang w:val="nl-BE"/>
              </w:rPr>
              <w:t>plaats de naam hieronder</w:t>
            </w:r>
          </w:p>
        </w:tc>
      </w:tr>
      <w:tr w:rsidR="006D7274" w:rsidRPr="00DC3DB5" w:rsidTr="00682F2F">
        <w:trPr>
          <w:cantSplit/>
          <w:trHeight w:hRule="exact" w:val="57"/>
        </w:trPr>
        <w:tc>
          <w:tcPr>
            <w:tcW w:w="6067" w:type="dxa"/>
            <w:vMerge/>
          </w:tcPr>
          <w:p w:rsidR="006D7274" w:rsidRPr="00DC3DB5" w:rsidRDefault="006D7274" w:rsidP="00682F2F">
            <w:pPr>
              <w:spacing w:line="260" w:lineRule="atLeast"/>
              <w:rPr>
                <w:lang w:val="nl-BE"/>
              </w:rPr>
            </w:pPr>
          </w:p>
        </w:tc>
        <w:tc>
          <w:tcPr>
            <w:tcW w:w="3856" w:type="dxa"/>
            <w:gridSpan w:val="2"/>
            <w:vAlign w:val="center"/>
          </w:tcPr>
          <w:p w:rsidR="006D7274" w:rsidRPr="00DC3DB5" w:rsidRDefault="006D7274" w:rsidP="00682F2F">
            <w:pPr>
              <w:pStyle w:val="BoiteVakje"/>
              <w:rPr>
                <w:lang w:val="nl-BE"/>
              </w:rPr>
            </w:pPr>
          </w:p>
        </w:tc>
      </w:tr>
      <w:tr w:rsidR="006D7274" w:rsidRPr="00812A3E" w:rsidTr="00682F2F">
        <w:trPr>
          <w:cantSplit/>
          <w:trHeight w:val="198"/>
        </w:trPr>
        <w:tc>
          <w:tcPr>
            <w:tcW w:w="6067" w:type="dxa"/>
            <w:vMerge/>
          </w:tcPr>
          <w:p w:rsidR="006D7274" w:rsidRPr="00DC3DB5" w:rsidRDefault="006D7274" w:rsidP="00682F2F">
            <w:pPr>
              <w:spacing w:line="260" w:lineRule="atLeast"/>
              <w:rPr>
                <w:lang w:val="nl-BE"/>
              </w:rPr>
            </w:pPr>
          </w:p>
        </w:tc>
        <w:tc>
          <w:tcPr>
            <w:tcW w:w="3856" w:type="dxa"/>
            <w:gridSpan w:val="2"/>
            <w:vAlign w:val="center"/>
          </w:tcPr>
          <w:p w:rsidR="006D7274" w:rsidRPr="00457582" w:rsidRDefault="00C3632A" w:rsidP="00682F2F">
            <w:pPr>
              <w:pStyle w:val="BoiteVakje"/>
            </w:pPr>
            <w:r>
              <w:t>Merel Pieters</w:t>
            </w:r>
          </w:p>
        </w:tc>
      </w:tr>
      <w:tr w:rsidR="006D7274" w:rsidRPr="00812A3E" w:rsidTr="00682F2F">
        <w:trPr>
          <w:cantSplit/>
          <w:trHeight w:val="198"/>
        </w:trPr>
        <w:tc>
          <w:tcPr>
            <w:tcW w:w="6067" w:type="dxa"/>
            <w:vMerge/>
          </w:tcPr>
          <w:p w:rsidR="006D7274" w:rsidRPr="00562A44" w:rsidRDefault="006D7274" w:rsidP="00682F2F">
            <w:pPr>
              <w:spacing w:line="260" w:lineRule="atLeast"/>
              <w:rPr>
                <w:lang w:val="fr-BE"/>
              </w:rPr>
            </w:pPr>
          </w:p>
        </w:tc>
        <w:tc>
          <w:tcPr>
            <w:tcW w:w="3856" w:type="dxa"/>
            <w:gridSpan w:val="2"/>
            <w:vAlign w:val="center"/>
          </w:tcPr>
          <w:p w:rsidR="006D7274" w:rsidRPr="00457582" w:rsidRDefault="006D7274" w:rsidP="00C3632A">
            <w:pPr>
              <w:pStyle w:val="BoiteVakje"/>
            </w:pPr>
            <w:r>
              <w:t xml:space="preserve">tel. +32 2 221 </w:t>
            </w:r>
            <w:r w:rsidR="00C3632A">
              <w:t>40 05</w:t>
            </w:r>
            <w:r>
              <w:t xml:space="preserve"> – f</w:t>
            </w:r>
            <w:r w:rsidR="00B46E16">
              <w:t>ax +32 2 221 31 04</w:t>
            </w:r>
          </w:p>
        </w:tc>
      </w:tr>
      <w:tr w:rsidR="006D7274" w:rsidRPr="00812A3E" w:rsidTr="00682F2F">
        <w:trPr>
          <w:cantSplit/>
          <w:trHeight w:val="198"/>
        </w:trPr>
        <w:tc>
          <w:tcPr>
            <w:tcW w:w="6067" w:type="dxa"/>
            <w:vMerge/>
          </w:tcPr>
          <w:p w:rsidR="006D7274" w:rsidRPr="000A58D7" w:rsidRDefault="006D7274" w:rsidP="00682F2F">
            <w:pPr>
              <w:pStyle w:val="SujetOnderwerp"/>
              <w:rPr>
                <w:b w:val="0"/>
                <w:sz w:val="16"/>
              </w:rPr>
            </w:pPr>
          </w:p>
        </w:tc>
        <w:tc>
          <w:tcPr>
            <w:tcW w:w="3856" w:type="dxa"/>
            <w:gridSpan w:val="2"/>
            <w:vAlign w:val="center"/>
          </w:tcPr>
          <w:p w:rsidR="006D7274" w:rsidRPr="00457582" w:rsidRDefault="00C3632A" w:rsidP="00682F2F">
            <w:pPr>
              <w:pStyle w:val="BoiteVakje"/>
              <w:rPr>
                <w:b/>
              </w:rPr>
            </w:pPr>
            <w:r>
              <w:t>merel.pieters@nbb.be</w:t>
            </w:r>
          </w:p>
        </w:tc>
      </w:tr>
      <w:tr w:rsidR="006D7274" w:rsidRPr="00562A44" w:rsidTr="004E6FD5">
        <w:trPr>
          <w:cantSplit/>
          <w:trHeight w:hRule="exact" w:val="1191"/>
        </w:trPr>
        <w:tc>
          <w:tcPr>
            <w:tcW w:w="9923" w:type="dxa"/>
            <w:gridSpan w:val="3"/>
            <w:tcMar>
              <w:top w:w="113" w:type="dxa"/>
            </w:tcMar>
            <w:vAlign w:val="bottom"/>
          </w:tcPr>
          <w:p w:rsidR="006D7274" w:rsidRPr="00FE417A" w:rsidRDefault="006D7274" w:rsidP="007B7965">
            <w:pPr>
              <w:pStyle w:val="SujetOnderwerp"/>
            </w:pPr>
          </w:p>
        </w:tc>
      </w:tr>
      <w:tr w:rsidR="006D7274" w:rsidRPr="00DC3DB5" w:rsidTr="006D7274">
        <w:trPr>
          <w:cantSplit/>
          <w:trHeight w:hRule="exact" w:val="397"/>
        </w:trPr>
        <w:tc>
          <w:tcPr>
            <w:tcW w:w="9923" w:type="dxa"/>
            <w:gridSpan w:val="3"/>
            <w:vAlign w:val="center"/>
          </w:tcPr>
          <w:p w:rsidR="006D7274" w:rsidRPr="0022511B" w:rsidRDefault="00C3632A" w:rsidP="00682F2F">
            <w:pPr>
              <w:spacing w:line="260" w:lineRule="atLeast"/>
              <w:rPr>
                <w:lang w:val="nl-BE"/>
              </w:rPr>
            </w:pPr>
            <w:r w:rsidRPr="00CC6550">
              <w:rPr>
                <w:rFonts w:eastAsia="Arial" w:cs="Arial"/>
                <w:b/>
                <w:bdr w:val="nil"/>
                <w:lang w:val="fr-FR"/>
              </w:rPr>
              <w:t>Leningen</w:t>
            </w:r>
            <w:r w:rsidR="00175376" w:rsidRPr="00CC6550">
              <w:rPr>
                <w:rFonts w:eastAsia="Arial" w:cs="Arial"/>
                <w:b/>
                <w:bdr w:val="nil"/>
                <w:lang w:val="fr-FR"/>
              </w:rPr>
              <w:t>, kredieten en borgstellingen</w:t>
            </w:r>
            <w:r w:rsidRPr="00CC6550">
              <w:rPr>
                <w:rFonts w:eastAsia="Arial" w:cs="Arial"/>
                <w:b/>
                <w:bdr w:val="nil"/>
                <w:lang w:val="fr-FR"/>
              </w:rPr>
              <w:t xml:space="preserve"> aan leiders</w:t>
            </w:r>
            <w:r w:rsidR="00A5583C" w:rsidRPr="00CC6550">
              <w:rPr>
                <w:rFonts w:eastAsia="Arial" w:cs="Arial"/>
                <w:b/>
                <w:bdr w:val="nil"/>
                <w:lang w:val="fr-FR"/>
              </w:rPr>
              <w:t>, aandeelhouders en verbonden personen</w:t>
            </w:r>
          </w:p>
        </w:tc>
      </w:tr>
    </w:tbl>
    <w:p w:rsidR="006D7274" w:rsidRDefault="006D7274" w:rsidP="00682F2F">
      <w:pPr>
        <w:rPr>
          <w:lang w:val="nl-BE"/>
        </w:rPr>
      </w:pPr>
    </w:p>
    <w:p w:rsidR="00CC6550" w:rsidRPr="0022511B" w:rsidRDefault="00CC6550" w:rsidP="00682F2F">
      <w:pPr>
        <w:rPr>
          <w:lang w:val="nl-BE"/>
        </w:rPr>
      </w:pPr>
    </w:p>
    <w:p w:rsidR="006D7274" w:rsidRDefault="006D7274" w:rsidP="00682F2F">
      <w:pPr>
        <w:pStyle w:val="Sous-titreOndertitel"/>
        <w:rPr>
          <w:lang w:val="nl-BE"/>
        </w:rPr>
      </w:pPr>
      <w:r w:rsidRPr="0022511B">
        <w:rPr>
          <w:lang w:val="nl-BE"/>
        </w:rPr>
        <w:t>Toepassingsveld</w:t>
      </w:r>
    </w:p>
    <w:p w:rsidR="006D7274" w:rsidRPr="00CC6550" w:rsidRDefault="00A5583C" w:rsidP="00CC6550">
      <w:pPr>
        <w:pStyle w:val="IntroductionInleiding"/>
        <w:spacing w:before="120"/>
        <w:jc w:val="both"/>
      </w:pPr>
      <w:r w:rsidRPr="00CC6550">
        <w:t>Belgische k</w:t>
      </w:r>
      <w:r w:rsidR="004D5A36" w:rsidRPr="00CC6550">
        <w:t>redietinstellingen</w:t>
      </w:r>
      <w:r w:rsidR="00545DE4" w:rsidRPr="00CC6550">
        <w:t xml:space="preserve"> en hun bijkantoren</w:t>
      </w:r>
      <w:r w:rsidR="00640214" w:rsidRPr="00CC6550">
        <w:t xml:space="preserve">, </w:t>
      </w:r>
      <w:r w:rsidRPr="00CC6550">
        <w:t xml:space="preserve">Belgische </w:t>
      </w:r>
      <w:r w:rsidR="00C67931" w:rsidRPr="00CC6550">
        <w:t>beursvennootschappen</w:t>
      </w:r>
      <w:r w:rsidR="00545DE4" w:rsidRPr="00CC6550">
        <w:t xml:space="preserve"> en hun bijkantoren</w:t>
      </w:r>
      <w:r w:rsidR="00C67931" w:rsidRPr="00CC6550">
        <w:t xml:space="preserve">, </w:t>
      </w:r>
      <w:r w:rsidR="00640214" w:rsidRPr="00CC6550">
        <w:t>bijkantoren in België van kredietinstellingen van derde landen</w:t>
      </w:r>
      <w:r w:rsidRPr="00CC6550">
        <w:t>.</w:t>
      </w:r>
    </w:p>
    <w:p w:rsidR="00330A97" w:rsidRPr="00CC6550" w:rsidRDefault="00D76923" w:rsidP="00330A97">
      <w:pPr>
        <w:pStyle w:val="IntroductionInleiding"/>
        <w:jc w:val="both"/>
      </w:pPr>
      <w:r w:rsidRPr="00CC6550">
        <w:t xml:space="preserve">Verzekerings- of herverzekeringsondernemingen naar Belgisch recht </w:t>
      </w:r>
      <w:r w:rsidR="00330A97" w:rsidRPr="00CC6550">
        <w:t>(</w:t>
      </w:r>
      <w:r w:rsidRPr="00CC6550">
        <w:t>met uitzondering van de in de artikelen 275 en 276 van de Solvabiliteit II-wet bedoelde kleine verzekeringsondernemingen naar Belgisch recht of de in artikel 294 van diezelfde wet bedoelde lokale verzekeringsondernemingen</w:t>
      </w:r>
      <w:r w:rsidR="00330A97" w:rsidRPr="00CC6550">
        <w:t xml:space="preserve">) </w:t>
      </w:r>
      <w:r w:rsidRPr="00CC6550">
        <w:t>en hun bijkantoren</w:t>
      </w:r>
      <w:r w:rsidR="00330A97" w:rsidRPr="00CC6550">
        <w:t xml:space="preserve">, </w:t>
      </w:r>
      <w:r w:rsidRPr="00CC6550">
        <w:t>bijkantoren in België van verzekerings- of herverzekeringsondernemingen die ressorteren onder het recht van staten die geen lid zijn van de Europese Economische Ruimte,</w:t>
      </w:r>
      <w:r w:rsidR="00330A97" w:rsidRPr="00CC6550">
        <w:t xml:space="preserve"> </w:t>
      </w:r>
      <w:r w:rsidRPr="00CC6550">
        <w:t>verzekerings</w:t>
      </w:r>
      <w:r w:rsidR="00330A97" w:rsidRPr="00CC6550">
        <w:t xml:space="preserve">holdings </w:t>
      </w:r>
      <w:r w:rsidRPr="00CC6550">
        <w:t xml:space="preserve">naar Belgisch recht en gemengde financiële holdings naar Belgisch recht die aan het hoofd staan van een verzekerings- of herverzekeringsgroep in de zin van de artikelen </w:t>
      </w:r>
      <w:r w:rsidR="00330A97" w:rsidRPr="00CC6550">
        <w:t>33</w:t>
      </w:r>
      <w:r w:rsidR="00041F6B" w:rsidRPr="00CC6550">
        <w:t>8</w:t>
      </w:r>
      <w:r w:rsidR="00330A97" w:rsidRPr="00CC6550">
        <w:t xml:space="preserve"> </w:t>
      </w:r>
      <w:r w:rsidRPr="00CC6550">
        <w:t xml:space="preserve">en </w:t>
      </w:r>
      <w:r w:rsidR="00330A97" w:rsidRPr="00CC6550">
        <w:t xml:space="preserve">343 </w:t>
      </w:r>
      <w:r w:rsidRPr="00CC6550">
        <w:t>van de Solvabiliteit II-wet</w:t>
      </w:r>
      <w:r w:rsidR="00FB5899" w:rsidRPr="00CC6550">
        <w:t xml:space="preserve"> en onder toezicht van de Bank staan</w:t>
      </w:r>
      <w:r w:rsidR="00480E25" w:rsidRPr="00CC6550">
        <w:t>.</w:t>
      </w:r>
    </w:p>
    <w:p w:rsidR="00CC6550" w:rsidRDefault="00CC6550" w:rsidP="00682F2F">
      <w:pPr>
        <w:pStyle w:val="Sous-titreOndertitel"/>
        <w:rPr>
          <w:lang w:val="nl-BE"/>
        </w:rPr>
      </w:pPr>
    </w:p>
    <w:p w:rsidR="006D7274" w:rsidRPr="0022511B" w:rsidRDefault="006D7274" w:rsidP="00682F2F">
      <w:pPr>
        <w:pStyle w:val="Sous-titreOndertitel"/>
        <w:rPr>
          <w:lang w:val="nl-BE"/>
        </w:rPr>
      </w:pPr>
      <w:r w:rsidRPr="0022511B">
        <w:rPr>
          <w:lang w:val="nl-BE"/>
        </w:rPr>
        <w:t>Samenvatting/Doelstelling</w:t>
      </w:r>
    </w:p>
    <w:p w:rsidR="004D5A36" w:rsidRDefault="004D5A36" w:rsidP="00CC6550">
      <w:pPr>
        <w:pStyle w:val="IntroductionInleiding"/>
        <w:spacing w:before="120"/>
        <w:jc w:val="both"/>
      </w:pPr>
      <w:r>
        <w:rPr>
          <w:rFonts w:cs="Arial"/>
          <w:szCs w:val="22"/>
        </w:rPr>
        <w:t xml:space="preserve">In deze circulaire wordt toelichting verschaft </w:t>
      </w:r>
      <w:r w:rsidR="00C3632A">
        <w:rPr>
          <w:rFonts w:cs="Arial"/>
          <w:szCs w:val="22"/>
        </w:rPr>
        <w:t xml:space="preserve">aangaande de wettelijke voorschriften </w:t>
      </w:r>
      <w:proofErr w:type="gramStart"/>
      <w:r w:rsidR="00787495">
        <w:rPr>
          <w:rFonts w:cs="Arial"/>
          <w:szCs w:val="22"/>
        </w:rPr>
        <w:t>inzake</w:t>
      </w:r>
      <w:proofErr w:type="gramEnd"/>
      <w:r w:rsidR="00C3632A">
        <w:rPr>
          <w:rFonts w:cs="Arial"/>
          <w:szCs w:val="22"/>
        </w:rPr>
        <w:t xml:space="preserve"> leningen, kredieten en borgstellingen die door kredietinstelling</w:t>
      </w:r>
      <w:r w:rsidR="00787495">
        <w:rPr>
          <w:rFonts w:cs="Arial"/>
          <w:szCs w:val="22"/>
        </w:rPr>
        <w:t>en</w:t>
      </w:r>
      <w:r w:rsidR="00953C79">
        <w:rPr>
          <w:rFonts w:cs="Arial"/>
          <w:szCs w:val="22"/>
        </w:rPr>
        <w:t>, verzekeringsondernemingen</w:t>
      </w:r>
      <w:r w:rsidR="00787495">
        <w:rPr>
          <w:rFonts w:cs="Arial"/>
          <w:szCs w:val="22"/>
        </w:rPr>
        <w:t xml:space="preserve"> en beursvennootschappen</w:t>
      </w:r>
      <w:r w:rsidR="00C3632A">
        <w:rPr>
          <w:rFonts w:cs="Arial"/>
          <w:szCs w:val="22"/>
        </w:rPr>
        <w:t xml:space="preserve"> worden verstrekt aan </w:t>
      </w:r>
      <w:r w:rsidR="00787495">
        <w:rPr>
          <w:rFonts w:cs="Arial"/>
          <w:szCs w:val="22"/>
        </w:rPr>
        <w:t>hun leiders</w:t>
      </w:r>
      <w:r w:rsidR="00A5583C">
        <w:rPr>
          <w:rFonts w:cs="Arial"/>
          <w:szCs w:val="22"/>
        </w:rPr>
        <w:t>, aandeelhouders en verbonden personen</w:t>
      </w:r>
      <w:r>
        <w:rPr>
          <w:rFonts w:cs="Arial"/>
          <w:szCs w:val="22"/>
        </w:rPr>
        <w:t xml:space="preserve">. Er wordt tevens verduidelijkt </w:t>
      </w:r>
      <w:r w:rsidR="00C3632A">
        <w:rPr>
          <w:rFonts w:cs="Arial"/>
          <w:szCs w:val="22"/>
        </w:rPr>
        <w:t xml:space="preserve">op welke wijze de instellingen hun </w:t>
      </w:r>
      <w:r w:rsidR="00787495">
        <w:rPr>
          <w:rFonts w:cs="Arial"/>
          <w:szCs w:val="22"/>
        </w:rPr>
        <w:t xml:space="preserve">wettelijke </w:t>
      </w:r>
      <w:r w:rsidR="00C3632A">
        <w:rPr>
          <w:rFonts w:cs="Arial"/>
          <w:szCs w:val="22"/>
        </w:rPr>
        <w:t>rapporteringsplicht ten aanzien van</w:t>
      </w:r>
      <w:r>
        <w:rPr>
          <w:rFonts w:cs="Arial"/>
          <w:szCs w:val="22"/>
        </w:rPr>
        <w:t xml:space="preserve"> de toezichthouder </w:t>
      </w:r>
      <w:r w:rsidR="00C3632A">
        <w:rPr>
          <w:rFonts w:cs="Arial"/>
          <w:szCs w:val="22"/>
        </w:rPr>
        <w:t>dienen te vervullen.</w:t>
      </w:r>
    </w:p>
    <w:p w:rsidR="006D7274" w:rsidRPr="0022511B" w:rsidRDefault="006D7274" w:rsidP="00AA312C">
      <w:pPr>
        <w:rPr>
          <w:lang w:val="nl-BE"/>
        </w:rPr>
      </w:pPr>
    </w:p>
    <w:p w:rsidR="00CC6550" w:rsidRDefault="00CC6550">
      <w:pPr>
        <w:tabs>
          <w:tab w:val="clear" w:pos="284"/>
        </w:tabs>
        <w:spacing w:line="240" w:lineRule="auto"/>
        <w:rPr>
          <w:lang w:val="nl-BE"/>
        </w:rPr>
      </w:pPr>
      <w:r>
        <w:rPr>
          <w:lang w:val="nl-BE"/>
        </w:rPr>
        <w:br w:type="page"/>
      </w:r>
    </w:p>
    <w:p w:rsidR="006D7274" w:rsidRPr="0022511B" w:rsidRDefault="006D7274" w:rsidP="00C3632A">
      <w:pPr>
        <w:rPr>
          <w:lang w:val="nl-BE"/>
        </w:rPr>
      </w:pPr>
      <w:r w:rsidRPr="0022511B">
        <w:rPr>
          <w:lang w:val="nl-BE"/>
        </w:rPr>
        <w:lastRenderedPageBreak/>
        <w:t xml:space="preserve">Geachte mevrouw </w:t>
      </w:r>
    </w:p>
    <w:p w:rsidR="006D7274" w:rsidRPr="0022511B" w:rsidRDefault="006D7274" w:rsidP="00C3632A">
      <w:pPr>
        <w:rPr>
          <w:lang w:val="nl-BE"/>
        </w:rPr>
      </w:pPr>
      <w:r w:rsidRPr="0022511B">
        <w:rPr>
          <w:lang w:val="nl-BE"/>
        </w:rPr>
        <w:t>Geachte heer</w:t>
      </w:r>
    </w:p>
    <w:p w:rsidR="006D7274" w:rsidRPr="0022511B" w:rsidRDefault="006D7274" w:rsidP="00C3632A">
      <w:pPr>
        <w:rPr>
          <w:lang w:val="nl-BE"/>
        </w:rPr>
      </w:pPr>
    </w:p>
    <w:p w:rsidR="00601A91" w:rsidRPr="0022511B" w:rsidRDefault="004D5A36" w:rsidP="00C3632A">
      <w:pPr>
        <w:jc w:val="both"/>
        <w:rPr>
          <w:lang w:val="nl-BE"/>
        </w:rPr>
      </w:pPr>
      <w:r w:rsidRPr="0022511B">
        <w:rPr>
          <w:lang w:val="nl-BE"/>
        </w:rPr>
        <w:t>Artikel 72 van de Bankwet</w:t>
      </w:r>
      <w:r>
        <w:rPr>
          <w:rStyle w:val="FootnoteReference"/>
        </w:rPr>
        <w:footnoteReference w:id="2"/>
      </w:r>
      <w:r w:rsidRPr="0022511B">
        <w:rPr>
          <w:lang w:val="nl-BE"/>
        </w:rPr>
        <w:t xml:space="preserve"> </w:t>
      </w:r>
      <w:r w:rsidR="007E551B">
        <w:rPr>
          <w:lang w:val="nl-BE"/>
        </w:rPr>
        <w:t>en</w:t>
      </w:r>
      <w:r w:rsidR="009C4FA5">
        <w:rPr>
          <w:lang w:val="nl-BE"/>
        </w:rPr>
        <w:t xml:space="preserve"> </w:t>
      </w:r>
      <w:r w:rsidR="007E551B">
        <w:rPr>
          <w:lang w:val="nl-BE"/>
        </w:rPr>
        <w:t xml:space="preserve">artikel </w:t>
      </w:r>
      <w:r w:rsidR="009C4FA5">
        <w:rPr>
          <w:lang w:val="nl-BE"/>
        </w:rPr>
        <w:t xml:space="preserve">93 </w:t>
      </w:r>
      <w:r w:rsidR="007E551B">
        <w:rPr>
          <w:lang w:val="nl-BE"/>
        </w:rPr>
        <w:t xml:space="preserve">van de </w:t>
      </w:r>
      <w:r w:rsidR="006A0A4D">
        <w:rPr>
          <w:lang w:val="nl-BE"/>
        </w:rPr>
        <w:t>Solv</w:t>
      </w:r>
      <w:r w:rsidR="00C60283">
        <w:rPr>
          <w:lang w:val="nl-BE"/>
        </w:rPr>
        <w:t>abiliteit</w:t>
      </w:r>
      <w:r w:rsidR="006A0A4D">
        <w:rPr>
          <w:lang w:val="nl-BE"/>
        </w:rPr>
        <w:t xml:space="preserve"> II</w:t>
      </w:r>
      <w:r w:rsidR="00D76923">
        <w:rPr>
          <w:lang w:val="nl-BE"/>
        </w:rPr>
        <w:t>-</w:t>
      </w:r>
      <w:r w:rsidR="00113486">
        <w:rPr>
          <w:lang w:val="nl-BE"/>
        </w:rPr>
        <w:t>wet</w:t>
      </w:r>
      <w:r w:rsidR="009C4FA5">
        <w:rPr>
          <w:rStyle w:val="FootnoteReference"/>
          <w:lang w:val="nl-BE"/>
        </w:rPr>
        <w:footnoteReference w:id="3"/>
      </w:r>
      <w:r w:rsidR="009C4FA5">
        <w:rPr>
          <w:lang w:val="nl-BE"/>
        </w:rPr>
        <w:t xml:space="preserve"> </w:t>
      </w:r>
      <w:r w:rsidRPr="0022511B">
        <w:rPr>
          <w:lang w:val="nl-BE"/>
        </w:rPr>
        <w:t>bevat</w:t>
      </w:r>
      <w:r w:rsidR="009C4FA5">
        <w:rPr>
          <w:lang w:val="nl-BE"/>
        </w:rPr>
        <w:t>ten</w:t>
      </w:r>
      <w:r w:rsidRPr="0022511B">
        <w:rPr>
          <w:lang w:val="nl-BE"/>
        </w:rPr>
        <w:t xml:space="preserve"> een regeling aangaande leningen, kredieten en borgstellingen </w:t>
      </w:r>
      <w:r w:rsidR="00D84F45" w:rsidRPr="0022511B">
        <w:rPr>
          <w:lang w:val="nl-BE"/>
        </w:rPr>
        <w:t>die door een</w:t>
      </w:r>
      <w:r w:rsidR="00601A91" w:rsidRPr="0022511B">
        <w:rPr>
          <w:lang w:val="nl-BE"/>
        </w:rPr>
        <w:t xml:space="preserve"> kredi</w:t>
      </w:r>
      <w:r w:rsidR="002B4AB2" w:rsidRPr="0022511B">
        <w:rPr>
          <w:lang w:val="nl-BE"/>
        </w:rPr>
        <w:t>etinstelling</w:t>
      </w:r>
      <w:r w:rsidR="009C4FA5">
        <w:rPr>
          <w:lang w:val="nl-BE"/>
        </w:rPr>
        <w:t xml:space="preserve"> </w:t>
      </w:r>
      <w:r w:rsidR="007E551B">
        <w:rPr>
          <w:lang w:val="nl-BE"/>
        </w:rPr>
        <w:t>of een verzekeringsonderneming</w:t>
      </w:r>
      <w:r w:rsidR="0014795B">
        <w:rPr>
          <w:rStyle w:val="FootnoteReference"/>
          <w:lang w:val="nl-BE"/>
        </w:rPr>
        <w:footnoteReference w:id="4"/>
      </w:r>
      <w:r w:rsidR="007E551B">
        <w:rPr>
          <w:lang w:val="nl-BE"/>
        </w:rPr>
        <w:t xml:space="preserve"> </w:t>
      </w:r>
      <w:r w:rsidR="002B4AB2" w:rsidRPr="0022511B">
        <w:rPr>
          <w:lang w:val="nl-BE"/>
        </w:rPr>
        <w:t>worden ver</w:t>
      </w:r>
      <w:r w:rsidR="00D84F45" w:rsidRPr="0022511B">
        <w:rPr>
          <w:lang w:val="nl-BE"/>
        </w:rPr>
        <w:t>s</w:t>
      </w:r>
      <w:r w:rsidR="002B4AB2" w:rsidRPr="0022511B">
        <w:rPr>
          <w:lang w:val="nl-BE"/>
        </w:rPr>
        <w:t>trekt</w:t>
      </w:r>
      <w:r w:rsidR="00601A91" w:rsidRPr="0022511B">
        <w:rPr>
          <w:lang w:val="nl-BE"/>
        </w:rPr>
        <w:t>:</w:t>
      </w:r>
    </w:p>
    <w:p w:rsidR="00601A91" w:rsidRDefault="00C07EB1" w:rsidP="00C3632A">
      <w:pPr>
        <w:pStyle w:val="ListParagraph"/>
        <w:numPr>
          <w:ilvl w:val="0"/>
          <w:numId w:val="31"/>
        </w:numPr>
        <w:tabs>
          <w:tab w:val="clear" w:pos="284"/>
        </w:tabs>
        <w:spacing w:before="120"/>
        <w:ind w:left="714" w:hanging="357"/>
        <w:contextualSpacing w:val="0"/>
        <w:jc w:val="both"/>
        <w:rPr>
          <w:lang w:val="nl-BE"/>
        </w:rPr>
      </w:pPr>
      <w:r>
        <w:rPr>
          <w:lang w:val="nl-BE"/>
        </w:rPr>
        <w:t>aan de leden van hun</w:t>
      </w:r>
      <w:r w:rsidR="00601A91" w:rsidRPr="002B4AB2">
        <w:rPr>
          <w:lang w:val="nl-BE"/>
        </w:rPr>
        <w:t xml:space="preserve"> wettelijk bestuursorgaan </w:t>
      </w:r>
      <w:r w:rsidR="00BD79C8">
        <w:rPr>
          <w:lang w:val="nl-BE"/>
        </w:rPr>
        <w:t>en de leden van het directiecomité of, bij ontstentenis van een directiecomité,</w:t>
      </w:r>
      <w:r w:rsidR="00C94EC8">
        <w:rPr>
          <w:lang w:val="nl-BE"/>
        </w:rPr>
        <w:t xml:space="preserve"> </w:t>
      </w:r>
      <w:r w:rsidR="00AF6805">
        <w:rPr>
          <w:lang w:val="nl-BE"/>
        </w:rPr>
        <w:t xml:space="preserve">aan de </w:t>
      </w:r>
      <w:r>
        <w:rPr>
          <w:lang w:val="nl-BE"/>
        </w:rPr>
        <w:t>personen die deelnemen aan hun</w:t>
      </w:r>
      <w:r w:rsidR="00601A91" w:rsidRPr="002B4AB2">
        <w:rPr>
          <w:lang w:val="nl-BE"/>
        </w:rPr>
        <w:t xml:space="preserve"> effectieve leiding</w:t>
      </w:r>
      <w:r w:rsidR="00545DE4">
        <w:rPr>
          <w:lang w:val="nl-BE"/>
        </w:rPr>
        <w:t>, evenals aan de effectieve leiders van hun bijkantoren</w:t>
      </w:r>
      <w:r w:rsidR="00601A91" w:rsidRPr="002B4AB2">
        <w:rPr>
          <w:lang w:val="nl-BE"/>
        </w:rPr>
        <w:t>;</w:t>
      </w:r>
    </w:p>
    <w:p w:rsidR="002B4AB2" w:rsidRDefault="00601A91" w:rsidP="00C3632A">
      <w:pPr>
        <w:pStyle w:val="ListParagraph"/>
        <w:numPr>
          <w:ilvl w:val="0"/>
          <w:numId w:val="31"/>
        </w:numPr>
        <w:tabs>
          <w:tab w:val="clear" w:pos="284"/>
        </w:tabs>
        <w:spacing w:before="120"/>
        <w:ind w:left="714" w:hanging="357"/>
        <w:contextualSpacing w:val="0"/>
        <w:jc w:val="both"/>
        <w:rPr>
          <w:lang w:val="nl-BE"/>
        </w:rPr>
      </w:pPr>
      <w:r w:rsidRPr="002B4AB2">
        <w:rPr>
          <w:lang w:val="nl-BE"/>
        </w:rPr>
        <w:t>aan de personen bedoeld in artikel 9</w:t>
      </w:r>
      <w:r w:rsidR="00545DE4">
        <w:rPr>
          <w:lang w:val="nl-BE"/>
        </w:rPr>
        <w:t xml:space="preserve">, eerste </w:t>
      </w:r>
      <w:r w:rsidR="00D76923">
        <w:rPr>
          <w:lang w:val="nl-BE"/>
        </w:rPr>
        <w:t>lid</w:t>
      </w:r>
      <w:r w:rsidR="00545DE4">
        <w:rPr>
          <w:lang w:val="nl-BE"/>
        </w:rPr>
        <w:t>,</w:t>
      </w:r>
      <w:r w:rsidR="00C3632A">
        <w:rPr>
          <w:lang w:val="nl-BE"/>
        </w:rPr>
        <w:t xml:space="preserve"> van de Bankwet</w:t>
      </w:r>
      <w:r w:rsidR="00113486">
        <w:rPr>
          <w:lang w:val="nl-BE"/>
        </w:rPr>
        <w:t xml:space="preserve"> en artikel 23, eerste </w:t>
      </w:r>
      <w:r w:rsidR="00D76923">
        <w:rPr>
          <w:lang w:val="nl-BE"/>
        </w:rPr>
        <w:t>lid</w:t>
      </w:r>
      <w:r w:rsidR="00113486">
        <w:rPr>
          <w:lang w:val="nl-BE"/>
        </w:rPr>
        <w:t xml:space="preserve">, van de </w:t>
      </w:r>
      <w:r w:rsidR="006A0A4D">
        <w:rPr>
          <w:lang w:val="nl-BE"/>
        </w:rPr>
        <w:t>Solv</w:t>
      </w:r>
      <w:r w:rsidR="00C60283">
        <w:rPr>
          <w:lang w:val="nl-BE"/>
        </w:rPr>
        <w:t>abiliteit</w:t>
      </w:r>
      <w:r w:rsidR="006A0A4D">
        <w:rPr>
          <w:lang w:val="nl-BE"/>
        </w:rPr>
        <w:t xml:space="preserve"> II</w:t>
      </w:r>
      <w:r w:rsidR="00D76923">
        <w:rPr>
          <w:lang w:val="nl-BE"/>
        </w:rPr>
        <w:t>-</w:t>
      </w:r>
      <w:r w:rsidR="006A0A4D">
        <w:rPr>
          <w:lang w:val="nl-BE"/>
        </w:rPr>
        <w:t>wet</w:t>
      </w:r>
      <w:r w:rsidRPr="002B4AB2">
        <w:rPr>
          <w:lang w:val="nl-BE"/>
        </w:rPr>
        <w:t xml:space="preserve">, d.w.z. de </w:t>
      </w:r>
      <w:r w:rsidR="00EE4966">
        <w:rPr>
          <w:lang w:val="nl-BE"/>
        </w:rPr>
        <w:t>natuurlijke of rechtspersonen die een gekwalificeerde deelneming bezitten</w:t>
      </w:r>
      <w:r w:rsidRPr="002B4AB2">
        <w:rPr>
          <w:lang w:val="nl-BE"/>
        </w:rPr>
        <w:t xml:space="preserve">, de </w:t>
      </w:r>
      <w:r w:rsidR="00AF6805">
        <w:rPr>
          <w:lang w:val="nl-BE"/>
        </w:rPr>
        <w:t>leden</w:t>
      </w:r>
      <w:r w:rsidRPr="002B4AB2">
        <w:rPr>
          <w:lang w:val="nl-BE"/>
        </w:rPr>
        <w:t xml:space="preserve"> van hun verschillende organen en de personen die deelnemen aan hun effectieve leiding;</w:t>
      </w:r>
    </w:p>
    <w:p w:rsidR="002B4AB2" w:rsidRDefault="00601A91" w:rsidP="00C3632A">
      <w:pPr>
        <w:pStyle w:val="ListParagraph"/>
        <w:numPr>
          <w:ilvl w:val="0"/>
          <w:numId w:val="31"/>
        </w:numPr>
        <w:tabs>
          <w:tab w:val="clear" w:pos="284"/>
        </w:tabs>
        <w:spacing w:before="120"/>
        <w:ind w:left="714" w:hanging="357"/>
        <w:contextualSpacing w:val="0"/>
        <w:jc w:val="both"/>
        <w:rPr>
          <w:lang w:val="nl-BE"/>
        </w:rPr>
      </w:pPr>
      <w:r w:rsidRPr="002B4AB2">
        <w:rPr>
          <w:lang w:val="nl-BE"/>
        </w:rPr>
        <w:t xml:space="preserve">aan de ondernemingen of instellingen waarin de personen van de voornoemde </w:t>
      </w:r>
      <w:r w:rsidR="00AF6805">
        <w:rPr>
          <w:lang w:val="nl-BE"/>
        </w:rPr>
        <w:t>eerste</w:t>
      </w:r>
      <w:r w:rsidR="00AF6805" w:rsidRPr="002B4AB2">
        <w:rPr>
          <w:lang w:val="nl-BE"/>
        </w:rPr>
        <w:t xml:space="preserve"> </w:t>
      </w:r>
      <w:r w:rsidRPr="002B4AB2">
        <w:rPr>
          <w:lang w:val="nl-BE"/>
        </w:rPr>
        <w:t xml:space="preserve">categorie </w:t>
      </w:r>
      <w:r w:rsidR="00C3632A" w:rsidRPr="00C3632A">
        <w:rPr>
          <w:lang w:val="nl-BE"/>
        </w:rPr>
        <w:t xml:space="preserve">een gekwalificeerde deelneming bezitten of een functie zoals bedoeld in 1° uitoefenen, met uitzondering van de ondernemingen of instellingen waarover de kredietinstelling </w:t>
      </w:r>
      <w:r w:rsidR="007E551B">
        <w:rPr>
          <w:lang w:val="nl-BE"/>
        </w:rPr>
        <w:t>of de verzekeringsonderneming</w:t>
      </w:r>
      <w:r w:rsidR="009C4FA5">
        <w:rPr>
          <w:lang w:val="nl-BE"/>
        </w:rPr>
        <w:t xml:space="preserve"> </w:t>
      </w:r>
      <w:r w:rsidR="00C3632A" w:rsidRPr="00C3632A">
        <w:rPr>
          <w:lang w:val="nl-BE"/>
        </w:rPr>
        <w:t>of haar moederonderneming controle uitoefent</w:t>
      </w:r>
      <w:r w:rsidRPr="002B4AB2">
        <w:rPr>
          <w:lang w:val="nl-BE"/>
        </w:rPr>
        <w:t>;</w:t>
      </w:r>
    </w:p>
    <w:p w:rsidR="00601A91" w:rsidRPr="002B4AB2" w:rsidRDefault="00601A91" w:rsidP="00D7584A">
      <w:pPr>
        <w:pStyle w:val="ListParagraph"/>
        <w:numPr>
          <w:ilvl w:val="0"/>
          <w:numId w:val="31"/>
        </w:numPr>
        <w:tabs>
          <w:tab w:val="clear" w:pos="284"/>
        </w:tabs>
        <w:spacing w:before="120"/>
        <w:contextualSpacing w:val="0"/>
        <w:jc w:val="both"/>
        <w:rPr>
          <w:lang w:val="nl-BE"/>
        </w:rPr>
      </w:pPr>
      <w:r w:rsidRPr="002B4AB2">
        <w:rPr>
          <w:lang w:val="nl-BE"/>
        </w:rPr>
        <w:t xml:space="preserve">personen die verbonden zijn met </w:t>
      </w:r>
      <w:r w:rsidR="00C3632A">
        <w:rPr>
          <w:lang w:val="nl-BE"/>
        </w:rPr>
        <w:t>in 1° bedoelde personen</w:t>
      </w:r>
      <w:r w:rsidR="00643E09">
        <w:rPr>
          <w:lang w:val="nl-BE"/>
        </w:rPr>
        <w:t xml:space="preserve">, d.w.z. </w:t>
      </w:r>
      <w:r w:rsidR="00D7584A" w:rsidRPr="00D7584A">
        <w:rPr>
          <w:lang w:val="nl-BE"/>
        </w:rPr>
        <w:t>echtgenoten, partners die volgens hun nationaal recht als gelijkwaardig met een echtgenoot of echtgenote worden aangemerkt en blo</w:t>
      </w:r>
      <w:r w:rsidR="00D7584A">
        <w:rPr>
          <w:lang w:val="nl-BE"/>
        </w:rPr>
        <w:t>edverwanten in de eerste graad</w:t>
      </w:r>
      <w:r w:rsidR="00D7584A">
        <w:rPr>
          <w:rStyle w:val="FootnoteReference"/>
          <w:lang w:val="nl-BE"/>
        </w:rPr>
        <w:footnoteReference w:id="5"/>
      </w:r>
      <w:r w:rsidRPr="002B4AB2">
        <w:rPr>
          <w:lang w:val="nl-BE"/>
        </w:rPr>
        <w:t>.</w:t>
      </w:r>
    </w:p>
    <w:p w:rsidR="004D5A36" w:rsidRPr="00AD2641" w:rsidRDefault="004D5A36" w:rsidP="00AA312C">
      <w:pPr>
        <w:rPr>
          <w:lang w:val="nl-BE"/>
        </w:rPr>
      </w:pPr>
    </w:p>
    <w:p w:rsidR="006D7274" w:rsidRPr="0022511B" w:rsidRDefault="004D5A36" w:rsidP="004D5A36">
      <w:pPr>
        <w:jc w:val="both"/>
        <w:rPr>
          <w:lang w:val="nl-BE"/>
        </w:rPr>
      </w:pPr>
      <w:proofErr w:type="gramStart"/>
      <w:r w:rsidRPr="0022511B">
        <w:rPr>
          <w:lang w:val="nl-BE"/>
        </w:rPr>
        <w:t>Overeenkomstig</w:t>
      </w:r>
      <w:proofErr w:type="gramEnd"/>
      <w:r w:rsidRPr="0022511B">
        <w:rPr>
          <w:lang w:val="nl-BE"/>
        </w:rPr>
        <w:t xml:space="preserve"> </w:t>
      </w:r>
      <w:r w:rsidR="002B4AB2" w:rsidRPr="0022511B">
        <w:rPr>
          <w:lang w:val="nl-BE"/>
        </w:rPr>
        <w:t>paragraaf</w:t>
      </w:r>
      <w:r w:rsidRPr="0022511B">
        <w:rPr>
          <w:lang w:val="nl-BE"/>
        </w:rPr>
        <w:t xml:space="preserve"> </w:t>
      </w:r>
      <w:r w:rsidR="00D76923">
        <w:rPr>
          <w:lang w:val="nl-BE"/>
        </w:rPr>
        <w:t xml:space="preserve">1 </w:t>
      </w:r>
      <w:r w:rsidRPr="0022511B">
        <w:rPr>
          <w:lang w:val="nl-BE"/>
        </w:rPr>
        <w:t xml:space="preserve">van </w:t>
      </w:r>
      <w:r w:rsidR="00424B04">
        <w:rPr>
          <w:lang w:val="nl-BE"/>
        </w:rPr>
        <w:t xml:space="preserve">de </w:t>
      </w:r>
      <w:r w:rsidRPr="0022511B">
        <w:rPr>
          <w:lang w:val="nl-BE"/>
        </w:rPr>
        <w:t>voornoemd</w:t>
      </w:r>
      <w:r w:rsidR="00424B04">
        <w:rPr>
          <w:lang w:val="nl-BE"/>
        </w:rPr>
        <w:t>e</w:t>
      </w:r>
      <w:r w:rsidRPr="0022511B">
        <w:rPr>
          <w:lang w:val="nl-BE"/>
        </w:rPr>
        <w:t xml:space="preserve"> artikel</w:t>
      </w:r>
      <w:r w:rsidR="00424B04">
        <w:rPr>
          <w:lang w:val="nl-BE"/>
        </w:rPr>
        <w:t>en</w:t>
      </w:r>
      <w:r w:rsidRPr="0022511B">
        <w:rPr>
          <w:lang w:val="nl-BE"/>
        </w:rPr>
        <w:t xml:space="preserve"> </w:t>
      </w:r>
      <w:r w:rsidR="005F18B0">
        <w:rPr>
          <w:lang w:val="nl-BE"/>
        </w:rPr>
        <w:t xml:space="preserve">72 </w:t>
      </w:r>
      <w:r w:rsidR="009C4FA5">
        <w:rPr>
          <w:lang w:val="nl-BE"/>
        </w:rPr>
        <w:t>e</w:t>
      </w:r>
      <w:r w:rsidR="00D76923">
        <w:rPr>
          <w:lang w:val="nl-BE"/>
        </w:rPr>
        <w:t>n</w:t>
      </w:r>
      <w:r w:rsidR="009C4FA5">
        <w:rPr>
          <w:lang w:val="nl-BE"/>
        </w:rPr>
        <w:t xml:space="preserve"> 93 </w:t>
      </w:r>
      <w:r w:rsidRPr="0022511B">
        <w:rPr>
          <w:lang w:val="nl-BE"/>
        </w:rPr>
        <w:t>mogen kredietinstellingen</w:t>
      </w:r>
      <w:r w:rsidR="009C4FA5">
        <w:rPr>
          <w:lang w:val="nl-BE"/>
        </w:rPr>
        <w:t xml:space="preserve"> </w:t>
      </w:r>
      <w:r w:rsidR="007E551B">
        <w:rPr>
          <w:lang w:val="nl-BE"/>
        </w:rPr>
        <w:t>en verzekeringsondernemingen</w:t>
      </w:r>
      <w:r w:rsidRPr="0022511B">
        <w:rPr>
          <w:lang w:val="nl-BE"/>
        </w:rPr>
        <w:t xml:space="preserve"> slechts onder de voorwaarden, ten belope van de bedragen en met de </w:t>
      </w:r>
      <w:r w:rsidR="00867041">
        <w:rPr>
          <w:lang w:val="nl-BE"/>
        </w:rPr>
        <w:t>voorwaarden</w:t>
      </w:r>
      <w:r w:rsidRPr="0022511B">
        <w:rPr>
          <w:lang w:val="nl-BE"/>
        </w:rPr>
        <w:t xml:space="preserve"> die voor hun cliënteel gelden, </w:t>
      </w:r>
      <w:r w:rsidRPr="005F18B0">
        <w:rPr>
          <w:lang w:val="nl-BE"/>
        </w:rPr>
        <w:t xml:space="preserve">rechtstreeks of onrechtstreeks leningen, kredieten of borgstellingen verlenen aan </w:t>
      </w:r>
      <w:r w:rsidR="00601A91" w:rsidRPr="005F18B0">
        <w:rPr>
          <w:lang w:val="nl-BE"/>
        </w:rPr>
        <w:t>de hierboven genoemde personen, ondernemingen of instellingen</w:t>
      </w:r>
      <w:r w:rsidRPr="00AD2641">
        <w:rPr>
          <w:lang w:val="nl-BE"/>
        </w:rPr>
        <w:t xml:space="preserve">. </w:t>
      </w:r>
      <w:r w:rsidR="00AF6805" w:rsidRPr="005F18B0">
        <w:rPr>
          <w:lang w:val="nl-BE"/>
        </w:rPr>
        <w:t xml:space="preserve">Kredietinstellingen </w:t>
      </w:r>
      <w:r w:rsidR="007E551B">
        <w:rPr>
          <w:lang w:val="nl-BE"/>
        </w:rPr>
        <w:t xml:space="preserve">en verzekeringsondernemingen </w:t>
      </w:r>
      <w:r w:rsidR="00AF6805" w:rsidRPr="005F18B0">
        <w:rPr>
          <w:lang w:val="nl-BE"/>
        </w:rPr>
        <w:t xml:space="preserve">mogen geen andere onderneming binnen de groep aanwenden om verrichtingen af te sluiten </w:t>
      </w:r>
      <w:r w:rsidR="002E0240" w:rsidRPr="005F18B0">
        <w:rPr>
          <w:lang w:val="nl-BE"/>
        </w:rPr>
        <w:t xml:space="preserve">zonder naleving van de voorschriften </w:t>
      </w:r>
      <w:r w:rsidR="00D76923">
        <w:rPr>
          <w:lang w:val="nl-BE"/>
        </w:rPr>
        <w:t>van</w:t>
      </w:r>
      <w:r w:rsidR="002E0240" w:rsidRPr="005F18B0">
        <w:rPr>
          <w:lang w:val="nl-BE"/>
        </w:rPr>
        <w:t xml:space="preserve"> artikel 72 van de Bankwet</w:t>
      </w:r>
      <w:r w:rsidR="009D5760">
        <w:rPr>
          <w:lang w:val="nl-BE"/>
        </w:rPr>
        <w:t xml:space="preserve"> en artikel 93 van de </w:t>
      </w:r>
      <w:r w:rsidR="006A0A4D">
        <w:rPr>
          <w:lang w:val="nl-BE"/>
        </w:rPr>
        <w:t>Solv</w:t>
      </w:r>
      <w:r w:rsidR="00C60283">
        <w:rPr>
          <w:lang w:val="nl-BE"/>
        </w:rPr>
        <w:t>abiliteit</w:t>
      </w:r>
      <w:r w:rsidR="006A0A4D">
        <w:rPr>
          <w:lang w:val="nl-BE"/>
        </w:rPr>
        <w:t xml:space="preserve"> II</w:t>
      </w:r>
      <w:r w:rsidR="00D76923">
        <w:rPr>
          <w:lang w:val="nl-BE"/>
        </w:rPr>
        <w:t>-</w:t>
      </w:r>
      <w:proofErr w:type="spellStart"/>
      <w:r w:rsidR="006A0A4D">
        <w:rPr>
          <w:lang w:val="nl-BE"/>
        </w:rPr>
        <w:t>wet</w:t>
      </w:r>
      <w:r w:rsidR="00AF6805" w:rsidRPr="005F18B0">
        <w:rPr>
          <w:lang w:val="nl-BE"/>
        </w:rPr>
        <w:t>.</w:t>
      </w:r>
      <w:r w:rsidR="00041F6B">
        <w:rPr>
          <w:lang w:val="nl-BE"/>
        </w:rPr>
        <w:t>De</w:t>
      </w:r>
      <w:proofErr w:type="spellEnd"/>
      <w:r w:rsidR="00041F6B">
        <w:rPr>
          <w:lang w:val="nl-BE"/>
        </w:rPr>
        <w:t xml:space="preserve"> voorschriften mogen </w:t>
      </w:r>
      <w:proofErr w:type="gramStart"/>
      <w:r w:rsidR="00041F6B">
        <w:rPr>
          <w:lang w:val="nl-BE"/>
        </w:rPr>
        <w:t>met name</w:t>
      </w:r>
      <w:proofErr w:type="gramEnd"/>
      <w:r w:rsidR="00041F6B">
        <w:rPr>
          <w:lang w:val="nl-BE"/>
        </w:rPr>
        <w:t xml:space="preserve"> niet omzeild worden door de verrichting te laten afsluiten door een andere entiteit binnen de groep die als zodanig niet </w:t>
      </w:r>
      <w:r w:rsidR="0008299D">
        <w:rPr>
          <w:lang w:val="nl-BE"/>
        </w:rPr>
        <w:t>onder het toepassingsveld valt</w:t>
      </w:r>
      <w:r w:rsidR="00041F6B">
        <w:rPr>
          <w:lang w:val="nl-BE"/>
        </w:rPr>
        <w:t>.</w:t>
      </w:r>
    </w:p>
    <w:p w:rsidR="0054148D" w:rsidRDefault="0054148D" w:rsidP="001F711D">
      <w:pPr>
        <w:tabs>
          <w:tab w:val="clear" w:pos="284"/>
        </w:tabs>
        <w:spacing w:line="240" w:lineRule="auto"/>
        <w:rPr>
          <w:lang w:val="nl-BE"/>
        </w:rPr>
      </w:pPr>
    </w:p>
    <w:p w:rsidR="00BE39FF" w:rsidRDefault="00BE39FF" w:rsidP="002B4AB2">
      <w:pPr>
        <w:tabs>
          <w:tab w:val="clear" w:pos="284"/>
        </w:tabs>
        <w:jc w:val="both"/>
        <w:rPr>
          <w:lang w:val="nl-BE"/>
        </w:rPr>
      </w:pPr>
      <w:r>
        <w:rPr>
          <w:lang w:val="nl-BE"/>
        </w:rPr>
        <w:t xml:space="preserve">Onder “voorwaarden die voor hun </w:t>
      </w:r>
      <w:proofErr w:type="gramStart"/>
      <w:r>
        <w:rPr>
          <w:lang w:val="nl-BE"/>
        </w:rPr>
        <w:t>cliënteel</w:t>
      </w:r>
      <w:proofErr w:type="gramEnd"/>
      <w:r>
        <w:rPr>
          <w:lang w:val="nl-BE"/>
        </w:rPr>
        <w:t xml:space="preserve"> gelden” moeten de voorwaarden worden verstaan </w:t>
      </w:r>
      <w:r w:rsidR="00D76923">
        <w:rPr>
          <w:lang w:val="nl-BE"/>
        </w:rPr>
        <w:t xml:space="preserve">die gelden </w:t>
      </w:r>
      <w:r>
        <w:rPr>
          <w:lang w:val="nl-BE"/>
        </w:rPr>
        <w:t>voor cliënten die zich ten aanzien van de kredietinstelling</w:t>
      </w:r>
      <w:r w:rsidR="007E551B">
        <w:rPr>
          <w:lang w:val="nl-BE"/>
        </w:rPr>
        <w:t xml:space="preserve"> of </w:t>
      </w:r>
      <w:r w:rsidR="00D76923">
        <w:rPr>
          <w:lang w:val="nl-BE"/>
        </w:rPr>
        <w:t>de</w:t>
      </w:r>
      <w:r w:rsidR="007E551B">
        <w:rPr>
          <w:lang w:val="nl-BE"/>
        </w:rPr>
        <w:t xml:space="preserve"> verzekeringson</w:t>
      </w:r>
      <w:r w:rsidR="0050062C">
        <w:rPr>
          <w:lang w:val="nl-BE"/>
        </w:rPr>
        <w:t>d</w:t>
      </w:r>
      <w:r w:rsidR="007E551B">
        <w:rPr>
          <w:lang w:val="nl-BE"/>
        </w:rPr>
        <w:t>erneming</w:t>
      </w:r>
      <w:r>
        <w:rPr>
          <w:lang w:val="nl-BE"/>
        </w:rPr>
        <w:t xml:space="preserve"> in een soortgelijke positie bevinden. Zo zal een bestuurder of zaakvoerder, indien hij voldoet aan de door de kredietinstelling </w:t>
      </w:r>
      <w:r w:rsidR="007E551B">
        <w:rPr>
          <w:lang w:val="nl-BE"/>
        </w:rPr>
        <w:t xml:space="preserve">of verzekeringsonderneming </w:t>
      </w:r>
      <w:r>
        <w:rPr>
          <w:lang w:val="nl-BE"/>
        </w:rPr>
        <w:t>opgelegde voorwaarden om als trouw</w:t>
      </w:r>
      <w:r w:rsidR="00D76923">
        <w:rPr>
          <w:lang w:val="nl-BE"/>
        </w:rPr>
        <w:t>e</w:t>
      </w:r>
      <w:r>
        <w:rPr>
          <w:lang w:val="nl-BE"/>
        </w:rPr>
        <w:t xml:space="preserve"> cliënt te worden beschouwd, aanspraak kunnen maken op de gunstrentevoet die eventueel aan dergelijke cliënten wordt toegekend. Hij zal </w:t>
      </w:r>
      <w:proofErr w:type="gramStart"/>
      <w:r>
        <w:rPr>
          <w:lang w:val="nl-BE"/>
        </w:rPr>
        <w:t>daarentegen</w:t>
      </w:r>
      <w:proofErr w:type="gramEnd"/>
      <w:r>
        <w:rPr>
          <w:lang w:val="nl-BE"/>
        </w:rPr>
        <w:t xml:space="preserve"> geen aanspraak kunnen maken op de gunstrentevoet voor het personeel.</w:t>
      </w:r>
    </w:p>
    <w:p w:rsidR="00601A91" w:rsidRDefault="00601A91" w:rsidP="002B4AB2">
      <w:pPr>
        <w:tabs>
          <w:tab w:val="clear" w:pos="284"/>
        </w:tabs>
        <w:jc w:val="both"/>
        <w:rPr>
          <w:lang w:val="nl-BE"/>
        </w:rPr>
      </w:pPr>
    </w:p>
    <w:p w:rsidR="00601A91" w:rsidRPr="00601A91" w:rsidRDefault="002B4AB2" w:rsidP="002B4AB2">
      <w:pPr>
        <w:tabs>
          <w:tab w:val="clear" w:pos="284"/>
        </w:tabs>
        <w:jc w:val="both"/>
        <w:rPr>
          <w:lang w:val="nl-BE"/>
        </w:rPr>
      </w:pPr>
      <w:r>
        <w:rPr>
          <w:lang w:val="nl-BE"/>
        </w:rPr>
        <w:t>W</w:t>
      </w:r>
      <w:r w:rsidR="00601A91" w:rsidRPr="00601A91">
        <w:rPr>
          <w:lang w:val="nl-BE"/>
        </w:rPr>
        <w:t>anneer deze verrichtingen niet tegen de normale marktvoorwaarden worden gesloten,</w:t>
      </w:r>
      <w:r>
        <w:rPr>
          <w:lang w:val="nl-BE"/>
        </w:rPr>
        <w:t xml:space="preserve"> kan</w:t>
      </w:r>
      <w:r w:rsidR="00601A91" w:rsidRPr="00601A91">
        <w:rPr>
          <w:lang w:val="nl-BE"/>
        </w:rPr>
        <w:t xml:space="preserve"> de toezichthouder </w:t>
      </w:r>
      <w:proofErr w:type="gramStart"/>
      <w:r>
        <w:rPr>
          <w:lang w:val="nl-BE"/>
        </w:rPr>
        <w:t>luidens</w:t>
      </w:r>
      <w:proofErr w:type="gramEnd"/>
      <w:r>
        <w:rPr>
          <w:lang w:val="nl-BE"/>
        </w:rPr>
        <w:t xml:space="preserve"> de wet </w:t>
      </w:r>
      <w:r w:rsidR="00601A91" w:rsidRPr="00601A91">
        <w:rPr>
          <w:lang w:val="nl-BE"/>
        </w:rPr>
        <w:t>eisen dat de overeengekomen voorwaarden worden aangepast op de datum waarop deze verrichtingen uitwerking hadden. Zo</w:t>
      </w:r>
      <w:r w:rsidR="007638E0">
        <w:rPr>
          <w:lang w:val="nl-BE"/>
        </w:rPr>
        <w:t xml:space="preserve"> </w:t>
      </w:r>
      <w:r w:rsidR="00601A91" w:rsidRPr="00601A91">
        <w:rPr>
          <w:lang w:val="nl-BE"/>
        </w:rPr>
        <w:t>niet zijn de leden van het wettelijk bestuursorgaan die de beslissing hebben genomen, tegenover de instelling hoofdelijk aansprakelijk voor het verschil.</w:t>
      </w:r>
    </w:p>
    <w:p w:rsidR="00BE39FF" w:rsidRDefault="00BE39FF" w:rsidP="002B4AB2">
      <w:pPr>
        <w:tabs>
          <w:tab w:val="clear" w:pos="284"/>
        </w:tabs>
        <w:jc w:val="both"/>
        <w:rPr>
          <w:lang w:val="nl-BE"/>
        </w:rPr>
      </w:pPr>
    </w:p>
    <w:p w:rsidR="00BE39FF" w:rsidRDefault="00545DE4" w:rsidP="002B4AB2">
      <w:pPr>
        <w:tabs>
          <w:tab w:val="clear" w:pos="284"/>
        </w:tabs>
        <w:jc w:val="both"/>
        <w:rPr>
          <w:lang w:val="nl-BE"/>
        </w:rPr>
      </w:pPr>
      <w:r>
        <w:rPr>
          <w:lang w:val="nl-BE"/>
        </w:rPr>
        <w:t>De</w:t>
      </w:r>
      <w:r w:rsidR="00BE39FF">
        <w:rPr>
          <w:lang w:val="nl-BE"/>
        </w:rPr>
        <w:t xml:space="preserve"> </w:t>
      </w:r>
      <w:r w:rsidR="00C3632A">
        <w:rPr>
          <w:lang w:val="nl-BE"/>
        </w:rPr>
        <w:t>toezichthouder</w:t>
      </w:r>
      <w:r w:rsidR="00BE39FF">
        <w:rPr>
          <w:lang w:val="nl-BE"/>
        </w:rPr>
        <w:t xml:space="preserve"> </w:t>
      </w:r>
      <w:r>
        <w:rPr>
          <w:lang w:val="nl-BE"/>
        </w:rPr>
        <w:t xml:space="preserve">beveelt </w:t>
      </w:r>
      <w:r w:rsidR="00BD79C8">
        <w:rPr>
          <w:lang w:val="nl-BE"/>
        </w:rPr>
        <w:t xml:space="preserve">aan </w:t>
      </w:r>
      <w:r w:rsidR="00BE39FF">
        <w:rPr>
          <w:lang w:val="nl-BE"/>
        </w:rPr>
        <w:t xml:space="preserve">dat de kredietinstellingen </w:t>
      </w:r>
      <w:r w:rsidR="007E551B">
        <w:rPr>
          <w:lang w:val="nl-BE"/>
        </w:rPr>
        <w:t xml:space="preserve">en verzekeringsondernemingen </w:t>
      </w:r>
      <w:r w:rsidR="00BE39FF">
        <w:rPr>
          <w:lang w:val="nl-BE"/>
        </w:rPr>
        <w:t xml:space="preserve">een gedragscode opstellen waarbij de aard van de kredieten die mogen worden toegestaan aan </w:t>
      </w:r>
      <w:r>
        <w:rPr>
          <w:lang w:val="nl-BE"/>
        </w:rPr>
        <w:t>de in artikel</w:t>
      </w:r>
      <w:r w:rsidR="00CC6550">
        <w:rPr>
          <w:lang w:val="nl-BE"/>
        </w:rPr>
        <w:t> </w:t>
      </w:r>
      <w:r>
        <w:rPr>
          <w:lang w:val="nl-BE"/>
        </w:rPr>
        <w:t>72, §</w:t>
      </w:r>
      <w:r w:rsidR="00D76923">
        <w:rPr>
          <w:lang w:val="nl-BE"/>
        </w:rPr>
        <w:t xml:space="preserve"> </w:t>
      </w:r>
      <w:r>
        <w:rPr>
          <w:lang w:val="nl-BE"/>
        </w:rPr>
        <w:t>1</w:t>
      </w:r>
      <w:r w:rsidR="00BE39FF">
        <w:rPr>
          <w:lang w:val="nl-BE"/>
        </w:rPr>
        <w:t xml:space="preserve">, </w:t>
      </w:r>
      <w:r>
        <w:rPr>
          <w:lang w:val="nl-BE"/>
        </w:rPr>
        <w:t>eerste lid, 1°</w:t>
      </w:r>
      <w:r w:rsidR="00D76923">
        <w:rPr>
          <w:lang w:val="nl-BE"/>
        </w:rPr>
        <w:t xml:space="preserve"> tot </w:t>
      </w:r>
      <w:r>
        <w:rPr>
          <w:lang w:val="nl-BE"/>
        </w:rPr>
        <w:t xml:space="preserve">4°, van de Bankwet </w:t>
      </w:r>
      <w:r w:rsidR="007E551B">
        <w:rPr>
          <w:lang w:val="nl-BE"/>
        </w:rPr>
        <w:t>en artikel 93, §</w:t>
      </w:r>
      <w:r w:rsidR="00D76923">
        <w:rPr>
          <w:lang w:val="nl-BE"/>
        </w:rPr>
        <w:t xml:space="preserve"> </w:t>
      </w:r>
      <w:r w:rsidR="007E551B">
        <w:rPr>
          <w:lang w:val="nl-BE"/>
        </w:rPr>
        <w:t>1, eerste lid, 1°</w:t>
      </w:r>
      <w:r w:rsidR="00D76923">
        <w:rPr>
          <w:lang w:val="nl-BE"/>
        </w:rPr>
        <w:t xml:space="preserve"> tot </w:t>
      </w:r>
      <w:r w:rsidR="007E551B">
        <w:rPr>
          <w:lang w:val="nl-BE"/>
        </w:rPr>
        <w:t>4°</w:t>
      </w:r>
      <w:r w:rsidR="00424B04">
        <w:rPr>
          <w:lang w:val="nl-BE"/>
        </w:rPr>
        <w:t xml:space="preserve"> van de </w:t>
      </w:r>
      <w:r w:rsidR="00424B04">
        <w:rPr>
          <w:lang w:val="nl-BE"/>
        </w:rPr>
        <w:lastRenderedPageBreak/>
        <w:t xml:space="preserve">Solvabiliteit II-wet </w:t>
      </w:r>
      <w:r>
        <w:rPr>
          <w:lang w:val="nl-BE"/>
        </w:rPr>
        <w:t xml:space="preserve">bedoelde personen, ondernemingen of instellingen, </w:t>
      </w:r>
      <w:r w:rsidR="00BE39FF">
        <w:rPr>
          <w:lang w:val="nl-BE"/>
        </w:rPr>
        <w:t xml:space="preserve">nauwkeurig wordt weergegeven. </w:t>
      </w:r>
      <w:r w:rsidR="00BD79C8">
        <w:rPr>
          <w:lang w:val="nl-BE"/>
        </w:rPr>
        <w:t>Bovendien moeten de p</w:t>
      </w:r>
      <w:r w:rsidR="00BE39FF">
        <w:rPr>
          <w:lang w:val="nl-BE"/>
        </w:rPr>
        <w:t xml:space="preserve">rocedures </w:t>
      </w:r>
      <w:proofErr w:type="gramStart"/>
      <w:r w:rsidR="00BE39FF">
        <w:rPr>
          <w:lang w:val="nl-BE"/>
        </w:rPr>
        <w:t>inzake</w:t>
      </w:r>
      <w:proofErr w:type="gramEnd"/>
      <w:r w:rsidR="00BE39FF">
        <w:rPr>
          <w:lang w:val="nl-BE"/>
        </w:rPr>
        <w:t xml:space="preserve"> besluitvorming en controle schriftelijk worden vastgelegd om de beoordelingsautonomie te waarborgen en belangenconflicten te vermijden. Deze procedures moeten ter beschikking gesteld worden van</w:t>
      </w:r>
      <w:r w:rsidR="00AF6805">
        <w:rPr>
          <w:lang w:val="nl-BE"/>
        </w:rPr>
        <w:t xml:space="preserve"> de toezichthouder en</w:t>
      </w:r>
      <w:r w:rsidR="00BE39FF">
        <w:rPr>
          <w:lang w:val="nl-BE"/>
        </w:rPr>
        <w:t xml:space="preserve"> de revisoren. </w:t>
      </w:r>
    </w:p>
    <w:p w:rsidR="00175376" w:rsidRDefault="00175376" w:rsidP="002B4AB2">
      <w:pPr>
        <w:tabs>
          <w:tab w:val="clear" w:pos="284"/>
        </w:tabs>
        <w:jc w:val="both"/>
        <w:rPr>
          <w:rFonts w:cs="Arial"/>
          <w:lang w:val="nl-BE"/>
        </w:rPr>
      </w:pPr>
    </w:p>
    <w:p w:rsidR="0022511B" w:rsidRDefault="006A522B" w:rsidP="002B4AB2">
      <w:pPr>
        <w:tabs>
          <w:tab w:val="clear" w:pos="284"/>
        </w:tabs>
        <w:jc w:val="both"/>
        <w:rPr>
          <w:rFonts w:cs="Arial"/>
          <w:lang w:val="nl-BE"/>
        </w:rPr>
      </w:pPr>
      <w:r>
        <w:rPr>
          <w:rFonts w:cs="Arial"/>
          <w:lang w:val="nl-BE"/>
        </w:rPr>
        <w:t xml:space="preserve">Kredietinstellingen </w:t>
      </w:r>
      <w:r w:rsidR="007E551B">
        <w:rPr>
          <w:rFonts w:cs="Arial"/>
          <w:lang w:val="nl-BE"/>
        </w:rPr>
        <w:t xml:space="preserve">en verzekeringsondernemingen </w:t>
      </w:r>
      <w:r>
        <w:rPr>
          <w:rFonts w:cs="Arial"/>
          <w:lang w:val="nl-BE"/>
        </w:rPr>
        <w:t xml:space="preserve">zijn </w:t>
      </w:r>
      <w:r w:rsidR="005001AC">
        <w:rPr>
          <w:rFonts w:cs="Arial"/>
          <w:lang w:val="nl-BE"/>
        </w:rPr>
        <w:t>er wettelijk</w:t>
      </w:r>
      <w:r>
        <w:rPr>
          <w:rFonts w:cs="Arial"/>
          <w:lang w:val="nl-BE"/>
        </w:rPr>
        <w:t xml:space="preserve"> </w:t>
      </w:r>
      <w:r w:rsidR="005001AC">
        <w:rPr>
          <w:rFonts w:cs="Arial"/>
          <w:lang w:val="nl-BE"/>
        </w:rPr>
        <w:t xml:space="preserve">toe </w:t>
      </w:r>
      <w:r>
        <w:rPr>
          <w:rFonts w:cs="Arial"/>
          <w:lang w:val="nl-BE"/>
        </w:rPr>
        <w:t xml:space="preserve">gehouden </w:t>
      </w:r>
      <w:r w:rsidR="005001AC">
        <w:rPr>
          <w:rFonts w:cs="Arial"/>
          <w:lang w:val="nl-BE"/>
        </w:rPr>
        <w:t xml:space="preserve">de verstrekte leningen, kredieten en borgstellingen ter kennis te brengen </w:t>
      </w:r>
      <w:r>
        <w:rPr>
          <w:rFonts w:cs="Arial"/>
          <w:lang w:val="nl-BE"/>
        </w:rPr>
        <w:t xml:space="preserve">van hun wettelijk bestuursorgaan en de toezichthouder. </w:t>
      </w:r>
      <w:r w:rsidR="005001AC">
        <w:rPr>
          <w:rFonts w:cs="Arial"/>
          <w:lang w:val="nl-BE"/>
        </w:rPr>
        <w:t>Deze rapporteringen dienen</w:t>
      </w:r>
      <w:r w:rsidRPr="006A522B">
        <w:rPr>
          <w:rFonts w:cs="Arial"/>
          <w:lang w:val="nl-BE"/>
        </w:rPr>
        <w:t xml:space="preserve"> </w:t>
      </w:r>
      <w:proofErr w:type="gramStart"/>
      <w:r w:rsidRPr="005F18B0">
        <w:rPr>
          <w:rFonts w:cs="Arial"/>
          <w:lang w:val="nl-BE"/>
        </w:rPr>
        <w:t>evenwel</w:t>
      </w:r>
      <w:proofErr w:type="gramEnd"/>
      <w:r w:rsidRPr="005F18B0">
        <w:rPr>
          <w:rFonts w:cs="Arial"/>
          <w:lang w:val="nl-BE"/>
        </w:rPr>
        <w:t xml:space="preserve"> niet plaats te vinden wanneer het geheel van leningen, kredieten of borgstellingen aan een</w:t>
      </w:r>
      <w:r w:rsidRPr="006A522B">
        <w:rPr>
          <w:rFonts w:cs="Arial"/>
          <w:lang w:val="nl-BE"/>
        </w:rPr>
        <w:t xml:space="preserve"> bepaalde persoon, onderneming of instelling het bedrag van 100.000 </w:t>
      </w:r>
      <w:r w:rsidR="00A5583C">
        <w:rPr>
          <w:rFonts w:cs="Arial"/>
          <w:lang w:val="nl-BE"/>
        </w:rPr>
        <w:t>EUR</w:t>
      </w:r>
      <w:r w:rsidR="00A5583C" w:rsidRPr="006A522B">
        <w:rPr>
          <w:rFonts w:cs="Arial"/>
          <w:lang w:val="nl-BE"/>
        </w:rPr>
        <w:t xml:space="preserve"> </w:t>
      </w:r>
      <w:r w:rsidRPr="006A522B">
        <w:rPr>
          <w:rFonts w:cs="Arial"/>
          <w:lang w:val="nl-BE"/>
        </w:rPr>
        <w:t xml:space="preserve">niet overschrijdt. </w:t>
      </w:r>
      <w:r w:rsidR="002E0240">
        <w:rPr>
          <w:rFonts w:cs="Arial"/>
          <w:lang w:val="nl-BE"/>
        </w:rPr>
        <w:t xml:space="preserve">Per persoon, onderneming of instelling geldt een globaal plafond van 100.000 </w:t>
      </w:r>
      <w:r w:rsidR="00A5583C">
        <w:rPr>
          <w:rFonts w:cs="Arial"/>
          <w:lang w:val="nl-BE"/>
        </w:rPr>
        <w:t>EUR</w:t>
      </w:r>
      <w:r w:rsidR="002E0240">
        <w:rPr>
          <w:rFonts w:cs="Arial"/>
          <w:lang w:val="nl-BE"/>
        </w:rPr>
        <w:t xml:space="preserve">. </w:t>
      </w:r>
      <w:r w:rsidR="00AF6805">
        <w:rPr>
          <w:rFonts w:cs="Arial"/>
          <w:lang w:val="nl-BE"/>
        </w:rPr>
        <w:t xml:space="preserve">Er </w:t>
      </w:r>
      <w:proofErr w:type="spellStart"/>
      <w:r w:rsidR="00AF6805">
        <w:rPr>
          <w:rFonts w:cs="Arial"/>
          <w:lang w:val="nl-BE"/>
        </w:rPr>
        <w:t>weze</w:t>
      </w:r>
      <w:proofErr w:type="spellEnd"/>
      <w:r w:rsidR="00AF6805">
        <w:rPr>
          <w:rFonts w:cs="Arial"/>
          <w:lang w:val="nl-BE"/>
        </w:rPr>
        <w:t xml:space="preserve"> opgemerkt dat de verrichtingen</w:t>
      </w:r>
      <w:r w:rsidR="00EE4966">
        <w:rPr>
          <w:rFonts w:cs="Arial"/>
          <w:lang w:val="nl-BE"/>
        </w:rPr>
        <w:t>, ongeacht hun bedrag,</w:t>
      </w:r>
      <w:r w:rsidR="00AF6805">
        <w:rPr>
          <w:rFonts w:cs="Arial"/>
          <w:lang w:val="nl-BE"/>
        </w:rPr>
        <w:t xml:space="preserve"> steeds tegen de normale marktvoorwaarden dienen te gebeuren.</w:t>
      </w:r>
    </w:p>
    <w:p w:rsidR="0022511B" w:rsidRDefault="0022511B" w:rsidP="002B4AB2">
      <w:pPr>
        <w:tabs>
          <w:tab w:val="clear" w:pos="284"/>
        </w:tabs>
        <w:jc w:val="both"/>
        <w:rPr>
          <w:rFonts w:cs="Arial"/>
          <w:lang w:val="nl-BE"/>
        </w:rPr>
      </w:pPr>
    </w:p>
    <w:p w:rsidR="0022511B" w:rsidRPr="00452DF4" w:rsidRDefault="0022511B" w:rsidP="002B4AB2">
      <w:pPr>
        <w:tabs>
          <w:tab w:val="clear" w:pos="284"/>
        </w:tabs>
        <w:jc w:val="both"/>
        <w:rPr>
          <w:rFonts w:cs="Arial"/>
          <w:u w:val="single"/>
          <w:lang w:val="nl-BE"/>
        </w:rPr>
      </w:pPr>
      <w:r w:rsidRPr="00452DF4">
        <w:rPr>
          <w:rFonts w:cs="Arial"/>
          <w:u w:val="single"/>
          <w:lang w:val="nl-BE"/>
        </w:rPr>
        <w:t>Kennisgeving aan de toezichthouder</w:t>
      </w:r>
    </w:p>
    <w:p w:rsidR="0022511B" w:rsidRDefault="0022511B" w:rsidP="002B4AB2">
      <w:pPr>
        <w:tabs>
          <w:tab w:val="clear" w:pos="284"/>
        </w:tabs>
        <w:jc w:val="both"/>
        <w:rPr>
          <w:rFonts w:cs="Arial"/>
          <w:lang w:val="nl-BE"/>
        </w:rPr>
      </w:pPr>
    </w:p>
    <w:p w:rsidR="0022511B" w:rsidRPr="00CB0B88" w:rsidRDefault="006A522B" w:rsidP="00CB0B88">
      <w:pPr>
        <w:jc w:val="both"/>
        <w:rPr>
          <w:bdr w:val="none" w:sz="0" w:space="0" w:color="auto" w:frame="1"/>
          <w:lang w:val="nl-BE"/>
        </w:rPr>
      </w:pPr>
      <w:r>
        <w:rPr>
          <w:rFonts w:cs="Arial"/>
          <w:lang w:val="nl-BE"/>
        </w:rPr>
        <w:t xml:space="preserve">Wat de kennisgeving aan de toezichthouder betreft, maken de kredietinstellingen </w:t>
      </w:r>
      <w:r w:rsidR="007E551B">
        <w:rPr>
          <w:rFonts w:cs="Arial"/>
          <w:lang w:val="nl-BE"/>
        </w:rPr>
        <w:t xml:space="preserve">en verzekeringsondernemingen </w:t>
      </w:r>
      <w:r>
        <w:rPr>
          <w:rFonts w:cs="Arial"/>
          <w:lang w:val="nl-BE"/>
        </w:rPr>
        <w:t xml:space="preserve">gebruik van </w:t>
      </w:r>
      <w:r w:rsidR="00BE39FF" w:rsidRPr="00643E09">
        <w:rPr>
          <w:rFonts w:cs="Arial"/>
          <w:lang w:val="nl-BE"/>
        </w:rPr>
        <w:t xml:space="preserve">de tabellen in bijlage. </w:t>
      </w:r>
      <w:r w:rsidR="0055306B">
        <w:rPr>
          <w:bdr w:val="none" w:sz="0" w:space="0" w:color="auto" w:frame="1"/>
          <w:lang w:val="nl-BE"/>
        </w:rPr>
        <w:t>Deze tabellen moet jaarlijks worden ingevuld op basis van de situatie op 31 december</w:t>
      </w:r>
      <w:r w:rsidR="00041F6B">
        <w:rPr>
          <w:bdr w:val="none" w:sz="0" w:space="0" w:color="auto" w:frame="1"/>
          <w:lang w:val="nl-BE"/>
        </w:rPr>
        <w:t>. De kredietinstellingen</w:t>
      </w:r>
      <w:r w:rsidR="0055306B">
        <w:rPr>
          <w:bdr w:val="none" w:sz="0" w:space="0" w:color="auto" w:frame="1"/>
          <w:lang w:val="nl-BE"/>
        </w:rPr>
        <w:t xml:space="preserve"> moeten </w:t>
      </w:r>
      <w:r w:rsidR="00041F6B">
        <w:rPr>
          <w:bdr w:val="none" w:sz="0" w:space="0" w:color="auto" w:frame="1"/>
          <w:lang w:val="nl-BE"/>
        </w:rPr>
        <w:t xml:space="preserve">deze </w:t>
      </w:r>
      <w:r w:rsidR="0055306B">
        <w:rPr>
          <w:bdr w:val="none" w:sz="0" w:space="0" w:color="auto" w:frame="1"/>
          <w:lang w:val="nl-BE"/>
        </w:rPr>
        <w:t xml:space="preserve">bij de toezichthouder </w:t>
      </w:r>
      <w:r w:rsidR="00041F6B">
        <w:rPr>
          <w:bdr w:val="none" w:sz="0" w:space="0" w:color="auto" w:frame="1"/>
          <w:lang w:val="nl-BE"/>
        </w:rPr>
        <w:t>indienen</w:t>
      </w:r>
      <w:r w:rsidR="0055306B">
        <w:rPr>
          <w:bdr w:val="none" w:sz="0" w:space="0" w:color="auto" w:frame="1"/>
          <w:lang w:val="nl-BE"/>
        </w:rPr>
        <w:t xml:space="preserve"> vóór het einde van de maand februari van het volgende jaar</w:t>
      </w:r>
      <w:r w:rsidR="00041F6B">
        <w:rPr>
          <w:bdr w:val="none" w:sz="0" w:space="0" w:color="auto" w:frame="1"/>
          <w:lang w:val="nl-BE"/>
        </w:rPr>
        <w:t>. De verzekeringsondernemingen moeten de tabellen</w:t>
      </w:r>
      <w:r w:rsidR="0055306B">
        <w:rPr>
          <w:bdr w:val="none" w:sz="0" w:space="0" w:color="auto" w:frame="1"/>
          <w:lang w:val="nl-BE"/>
        </w:rPr>
        <w:t xml:space="preserve"> samen met de geactualiseerde versie van het </w:t>
      </w:r>
      <w:proofErr w:type="spellStart"/>
      <w:r w:rsidR="0055306B">
        <w:rPr>
          <w:bdr w:val="none" w:sz="0" w:space="0" w:color="auto" w:frame="1"/>
          <w:lang w:val="nl-BE"/>
        </w:rPr>
        <w:t>governancememorandum</w:t>
      </w:r>
      <w:proofErr w:type="spellEnd"/>
      <w:r w:rsidR="0055306B">
        <w:rPr>
          <w:bdr w:val="none" w:sz="0" w:space="0" w:color="auto" w:frame="1"/>
          <w:lang w:val="nl-BE"/>
        </w:rPr>
        <w:t xml:space="preserve"> </w:t>
      </w:r>
      <w:r w:rsidR="00041F6B">
        <w:rPr>
          <w:bdr w:val="none" w:sz="0" w:space="0" w:color="auto" w:frame="1"/>
          <w:lang w:val="nl-BE"/>
        </w:rPr>
        <w:t xml:space="preserve">indienen </w:t>
      </w:r>
      <w:r w:rsidR="0014795B">
        <w:rPr>
          <w:bdr w:val="none" w:sz="0" w:space="0" w:color="auto" w:frame="1"/>
          <w:lang w:val="nl-BE"/>
        </w:rPr>
        <w:t>en daarbij de termijnen zoals voorzien in de circulaire 2016/40 respecteren</w:t>
      </w:r>
      <w:r w:rsidR="0055306B">
        <w:rPr>
          <w:bdr w:val="none" w:sz="0" w:space="0" w:color="auto" w:frame="1"/>
          <w:lang w:val="nl-BE"/>
        </w:rPr>
        <w:t xml:space="preserve">. </w:t>
      </w:r>
      <w:r w:rsidR="00EE4966">
        <w:rPr>
          <w:lang w:val="nl-BE"/>
        </w:rPr>
        <w:t xml:space="preserve">De rapportering dient </w:t>
      </w:r>
      <w:r w:rsidR="00D76923">
        <w:rPr>
          <w:lang w:val="nl-BE"/>
        </w:rPr>
        <w:t>betrekking te hebben op</w:t>
      </w:r>
      <w:r w:rsidR="007B3970">
        <w:rPr>
          <w:lang w:val="nl-BE"/>
        </w:rPr>
        <w:t xml:space="preserve"> alle leningen, kredieten en borgstellingen </w:t>
      </w:r>
      <w:r w:rsidR="005F18B0">
        <w:rPr>
          <w:lang w:val="nl-BE"/>
        </w:rPr>
        <w:t xml:space="preserve">die </w:t>
      </w:r>
      <w:r w:rsidR="00545DE4">
        <w:rPr>
          <w:lang w:val="nl-BE"/>
        </w:rPr>
        <w:t>openstonden</w:t>
      </w:r>
      <w:r w:rsidR="005F18B0">
        <w:rPr>
          <w:lang w:val="nl-BE"/>
        </w:rPr>
        <w:t xml:space="preserve"> </w:t>
      </w:r>
      <w:r w:rsidR="007B3970">
        <w:rPr>
          <w:lang w:val="nl-BE"/>
        </w:rPr>
        <w:t xml:space="preserve">gedurende het </w:t>
      </w:r>
      <w:r w:rsidR="005F18B0">
        <w:rPr>
          <w:lang w:val="nl-BE"/>
        </w:rPr>
        <w:t>voorbije kalender</w:t>
      </w:r>
      <w:r w:rsidR="007B3970">
        <w:rPr>
          <w:lang w:val="nl-BE"/>
        </w:rPr>
        <w:t>jaar</w:t>
      </w:r>
      <w:r w:rsidR="00424B04">
        <w:rPr>
          <w:lang w:val="nl-BE"/>
        </w:rPr>
        <w:t>,</w:t>
      </w:r>
      <w:r w:rsidR="007B3970">
        <w:rPr>
          <w:lang w:val="nl-BE"/>
        </w:rPr>
        <w:t xml:space="preserve"> </w:t>
      </w:r>
      <w:r w:rsidR="00424B04">
        <w:rPr>
          <w:lang w:val="nl-BE"/>
        </w:rPr>
        <w:t xml:space="preserve">en dient verricht te worden </w:t>
      </w:r>
      <w:r w:rsidR="007B3970">
        <w:rPr>
          <w:lang w:val="nl-BE"/>
        </w:rPr>
        <w:t xml:space="preserve">zodra de </w:t>
      </w:r>
      <w:r w:rsidR="00545DE4">
        <w:rPr>
          <w:lang w:val="nl-BE"/>
        </w:rPr>
        <w:t xml:space="preserve">globale </w:t>
      </w:r>
      <w:r w:rsidR="007B3970">
        <w:rPr>
          <w:lang w:val="nl-BE"/>
        </w:rPr>
        <w:t xml:space="preserve">drempel van 100.000 EUR overschreden </w:t>
      </w:r>
      <w:r w:rsidR="00424B04">
        <w:rPr>
          <w:lang w:val="nl-BE"/>
        </w:rPr>
        <w:t>wordt</w:t>
      </w:r>
      <w:r w:rsidR="007B3970">
        <w:rPr>
          <w:lang w:val="nl-BE"/>
        </w:rPr>
        <w:t xml:space="preserve">. </w:t>
      </w:r>
      <w:r w:rsidR="00B13C7C">
        <w:rPr>
          <w:lang w:val="nl-BE"/>
        </w:rPr>
        <w:t xml:space="preserve">Verrichtingen met een looptijd van minder dan een jaar die niet meer openstaan op 31 december dienen </w:t>
      </w:r>
      <w:proofErr w:type="gramStart"/>
      <w:r w:rsidR="007B3970">
        <w:rPr>
          <w:lang w:val="nl-BE"/>
        </w:rPr>
        <w:t>derhalve</w:t>
      </w:r>
      <w:proofErr w:type="gramEnd"/>
      <w:r w:rsidR="007B3970">
        <w:rPr>
          <w:lang w:val="nl-BE"/>
        </w:rPr>
        <w:t xml:space="preserve"> </w:t>
      </w:r>
      <w:r w:rsidR="00B13C7C">
        <w:rPr>
          <w:lang w:val="nl-BE"/>
        </w:rPr>
        <w:t>eveneens in de tabellen te worden vermeld.</w:t>
      </w:r>
    </w:p>
    <w:p w:rsidR="005E42EF" w:rsidRPr="00643E09" w:rsidRDefault="005E42EF" w:rsidP="002B4AB2">
      <w:pPr>
        <w:tabs>
          <w:tab w:val="clear" w:pos="284"/>
        </w:tabs>
        <w:jc w:val="both"/>
        <w:rPr>
          <w:rFonts w:cs="Arial"/>
          <w:lang w:val="nl-BE"/>
        </w:rPr>
      </w:pPr>
    </w:p>
    <w:p w:rsidR="00BE39FF" w:rsidRPr="005E42EF" w:rsidRDefault="00452DF4" w:rsidP="002B4AB2">
      <w:pPr>
        <w:tabs>
          <w:tab w:val="clear" w:pos="284"/>
        </w:tabs>
        <w:jc w:val="both"/>
        <w:rPr>
          <w:i/>
          <w:lang w:val="nl-BE"/>
        </w:rPr>
      </w:pPr>
      <w:r w:rsidRPr="005E42EF">
        <w:rPr>
          <w:i/>
          <w:lang w:val="nl-BE"/>
        </w:rPr>
        <w:t>R</w:t>
      </w:r>
      <w:r w:rsidR="005E42EF" w:rsidRPr="005E42EF">
        <w:rPr>
          <w:i/>
          <w:lang w:val="nl-BE"/>
        </w:rPr>
        <w:t>icht</w:t>
      </w:r>
      <w:r w:rsidR="0050062C">
        <w:rPr>
          <w:i/>
          <w:lang w:val="nl-BE"/>
        </w:rPr>
        <w:t>snoeren</w:t>
      </w:r>
      <w:r w:rsidR="005E42EF" w:rsidRPr="005E42EF">
        <w:rPr>
          <w:i/>
          <w:lang w:val="nl-BE"/>
        </w:rPr>
        <w:t xml:space="preserve"> </w:t>
      </w:r>
      <w:r w:rsidR="0050062C">
        <w:rPr>
          <w:i/>
          <w:lang w:val="nl-BE"/>
        </w:rPr>
        <w:t>voor</w:t>
      </w:r>
      <w:r w:rsidR="005E42EF" w:rsidRPr="005E42EF">
        <w:rPr>
          <w:i/>
          <w:lang w:val="nl-BE"/>
        </w:rPr>
        <w:t xml:space="preserve"> het invullen van de tabellen</w:t>
      </w:r>
    </w:p>
    <w:p w:rsidR="00395199" w:rsidRPr="00911996" w:rsidRDefault="001E2E31" w:rsidP="00452DF4">
      <w:pPr>
        <w:pStyle w:val="ListParagraph"/>
        <w:numPr>
          <w:ilvl w:val="0"/>
          <w:numId w:val="33"/>
        </w:numPr>
        <w:tabs>
          <w:tab w:val="clear" w:pos="284"/>
        </w:tabs>
        <w:spacing w:before="120"/>
        <w:ind w:left="714" w:hanging="357"/>
        <w:contextualSpacing w:val="0"/>
        <w:jc w:val="both"/>
        <w:rPr>
          <w:lang w:val="nl-BE"/>
        </w:rPr>
      </w:pPr>
      <w:r w:rsidRPr="00911996">
        <w:rPr>
          <w:lang w:val="nl-BE"/>
        </w:rPr>
        <w:t xml:space="preserve">In de eerste kolom </w:t>
      </w:r>
      <w:r w:rsidR="00C637F0" w:rsidRPr="00911996">
        <w:rPr>
          <w:lang w:val="nl-BE"/>
        </w:rPr>
        <w:t xml:space="preserve">(1) </w:t>
      </w:r>
      <w:r w:rsidRPr="00911996">
        <w:rPr>
          <w:lang w:val="nl-BE"/>
        </w:rPr>
        <w:t xml:space="preserve">dient de rechtstreekse begunstigde van de lening, het krediet of de borgstelling te worden </w:t>
      </w:r>
      <w:r w:rsidR="00BE2631" w:rsidRPr="00911996">
        <w:rPr>
          <w:lang w:val="nl-BE"/>
        </w:rPr>
        <w:t>opgenomen</w:t>
      </w:r>
      <w:r w:rsidR="00C637F0" w:rsidRPr="00911996">
        <w:rPr>
          <w:lang w:val="nl-BE"/>
        </w:rPr>
        <w:t xml:space="preserve">. </w:t>
      </w:r>
      <w:r w:rsidRPr="00911996">
        <w:rPr>
          <w:lang w:val="nl-BE"/>
        </w:rPr>
        <w:t xml:space="preserve">De naam van de onrechtstreeks betrokken </w:t>
      </w:r>
      <w:r w:rsidR="00E84305" w:rsidRPr="00911996">
        <w:rPr>
          <w:lang w:val="nl-BE"/>
        </w:rPr>
        <w:t>leider</w:t>
      </w:r>
      <w:r w:rsidRPr="00911996">
        <w:rPr>
          <w:lang w:val="nl-BE"/>
        </w:rPr>
        <w:t xml:space="preserve"> </w:t>
      </w:r>
      <w:r w:rsidR="00C637F0" w:rsidRPr="00911996">
        <w:rPr>
          <w:lang w:val="nl-BE"/>
        </w:rPr>
        <w:t>(</w:t>
      </w:r>
      <w:r w:rsidR="00E84305" w:rsidRPr="00911996">
        <w:rPr>
          <w:lang w:val="nl-BE"/>
        </w:rPr>
        <w:t xml:space="preserve">zoals </w:t>
      </w:r>
      <w:r w:rsidRPr="00911996">
        <w:rPr>
          <w:lang w:val="nl-BE"/>
        </w:rPr>
        <w:t xml:space="preserve">bedoeld in artikel </w:t>
      </w:r>
      <w:r w:rsidR="00C637F0" w:rsidRPr="00911996">
        <w:rPr>
          <w:lang w:val="nl-BE"/>
        </w:rPr>
        <w:t>72</w:t>
      </w:r>
      <w:r w:rsidR="005E42EF" w:rsidRPr="00911996">
        <w:rPr>
          <w:lang w:val="nl-BE"/>
        </w:rPr>
        <w:t>, §</w:t>
      </w:r>
      <w:r w:rsidR="00BE2631" w:rsidRPr="00911996">
        <w:rPr>
          <w:lang w:val="nl-BE"/>
        </w:rPr>
        <w:t xml:space="preserve"> </w:t>
      </w:r>
      <w:r w:rsidR="005E42EF" w:rsidRPr="00911996">
        <w:rPr>
          <w:lang w:val="nl-BE"/>
        </w:rPr>
        <w:t>1, 1°</w:t>
      </w:r>
      <w:r w:rsidR="007E551B" w:rsidRPr="00911996">
        <w:rPr>
          <w:lang w:val="nl-BE"/>
        </w:rPr>
        <w:t xml:space="preserve"> </w:t>
      </w:r>
      <w:r w:rsidRPr="00911996">
        <w:rPr>
          <w:lang w:val="nl-BE"/>
        </w:rPr>
        <w:t xml:space="preserve">van de </w:t>
      </w:r>
      <w:r w:rsidR="003D7E24" w:rsidRPr="00911996">
        <w:rPr>
          <w:lang w:val="nl-BE"/>
        </w:rPr>
        <w:t>B</w:t>
      </w:r>
      <w:r w:rsidRPr="00911996">
        <w:rPr>
          <w:lang w:val="nl-BE"/>
        </w:rPr>
        <w:t xml:space="preserve">ankwet en in artikel </w:t>
      </w:r>
      <w:r w:rsidR="007E551B" w:rsidRPr="00911996">
        <w:rPr>
          <w:lang w:val="nl-BE"/>
        </w:rPr>
        <w:t xml:space="preserve">93, §1, </w:t>
      </w:r>
      <w:r w:rsidR="00C55918" w:rsidRPr="00911996">
        <w:rPr>
          <w:lang w:val="nl-BE"/>
        </w:rPr>
        <w:t xml:space="preserve">eerste lid, </w:t>
      </w:r>
      <w:r w:rsidR="007E551B" w:rsidRPr="00911996">
        <w:rPr>
          <w:lang w:val="nl-BE"/>
        </w:rPr>
        <w:t xml:space="preserve">1° </w:t>
      </w:r>
      <w:r w:rsidRPr="00911996">
        <w:rPr>
          <w:lang w:val="nl-BE"/>
        </w:rPr>
        <w:t>van de Solvabiliteit II-wet</w:t>
      </w:r>
      <w:r w:rsidR="00C637F0" w:rsidRPr="00911996">
        <w:rPr>
          <w:lang w:val="nl-BE"/>
        </w:rPr>
        <w:t xml:space="preserve">) </w:t>
      </w:r>
      <w:r w:rsidRPr="00911996">
        <w:rPr>
          <w:lang w:val="nl-BE"/>
        </w:rPr>
        <w:t xml:space="preserve">dient eveneens vermeld te worden </w:t>
      </w:r>
      <w:r w:rsidR="00C637F0" w:rsidRPr="00911996">
        <w:rPr>
          <w:lang w:val="nl-BE"/>
        </w:rPr>
        <w:t>(</w:t>
      </w:r>
      <w:r w:rsidR="00B31A69">
        <w:rPr>
          <w:lang w:val="nl-BE"/>
        </w:rPr>
        <w:t xml:space="preserve">in </w:t>
      </w:r>
      <w:r w:rsidRPr="00911996">
        <w:rPr>
          <w:lang w:val="nl-BE"/>
        </w:rPr>
        <w:t xml:space="preserve">kolom </w:t>
      </w:r>
      <w:r w:rsidR="00C637F0" w:rsidRPr="00911996">
        <w:rPr>
          <w:lang w:val="nl-BE"/>
        </w:rPr>
        <w:t>1)</w:t>
      </w:r>
      <w:r w:rsidR="00BE2631" w:rsidRPr="00911996">
        <w:rPr>
          <w:lang w:val="nl-BE"/>
        </w:rPr>
        <w:t xml:space="preserve"> wanneer de lening, het krediet of de borgstelling werd verleend aan een onderneming of instelling waarin de </w:t>
      </w:r>
      <w:r w:rsidR="00B31A69">
        <w:rPr>
          <w:lang w:val="nl-BE"/>
        </w:rPr>
        <w:t xml:space="preserve">desbetreffende </w:t>
      </w:r>
      <w:r w:rsidR="00E84305" w:rsidRPr="00911996">
        <w:rPr>
          <w:lang w:val="nl-BE"/>
        </w:rPr>
        <w:t>leider</w:t>
      </w:r>
      <w:r w:rsidR="00BE2631" w:rsidRPr="00911996">
        <w:rPr>
          <w:lang w:val="nl-BE"/>
        </w:rPr>
        <w:t xml:space="preserve"> een gekwalificeerde deelneming bezit of een functie uitoefent als bedoeld in de voornoemde artikelen 72, § 1, 1° en 93, § 1, </w:t>
      </w:r>
      <w:r w:rsidR="00C55918" w:rsidRPr="00911996">
        <w:rPr>
          <w:lang w:val="nl-BE"/>
        </w:rPr>
        <w:t>eerste lid</w:t>
      </w:r>
      <w:proofErr w:type="gramStart"/>
      <w:r w:rsidR="00C55918" w:rsidRPr="00911996">
        <w:rPr>
          <w:lang w:val="nl-BE"/>
        </w:rPr>
        <w:t>,</w:t>
      </w:r>
      <w:proofErr w:type="gramEnd"/>
      <w:r w:rsidR="00C55918" w:rsidRPr="00911996">
        <w:rPr>
          <w:lang w:val="nl-BE"/>
        </w:rPr>
        <w:t xml:space="preserve"> </w:t>
      </w:r>
      <w:r w:rsidR="00BE2631" w:rsidRPr="00911996">
        <w:rPr>
          <w:lang w:val="nl-BE"/>
        </w:rPr>
        <w:t xml:space="preserve">1°, of aan een met die </w:t>
      </w:r>
      <w:r w:rsidR="00E84305" w:rsidRPr="00911996">
        <w:rPr>
          <w:lang w:val="nl-BE"/>
        </w:rPr>
        <w:t>leider</w:t>
      </w:r>
      <w:r w:rsidR="00BE2631" w:rsidRPr="00911996">
        <w:rPr>
          <w:lang w:val="nl-BE"/>
        </w:rPr>
        <w:t xml:space="preserve"> verbonden persoon</w:t>
      </w:r>
      <w:r w:rsidR="00C637F0" w:rsidRPr="00911996">
        <w:rPr>
          <w:lang w:val="nl-BE"/>
        </w:rPr>
        <w:t xml:space="preserve">. </w:t>
      </w:r>
      <w:r w:rsidR="00BE2631" w:rsidRPr="00911996">
        <w:rPr>
          <w:lang w:val="nl-BE"/>
        </w:rPr>
        <w:t xml:space="preserve">Indien het om </w:t>
      </w:r>
      <w:r w:rsidR="006738D2" w:rsidRPr="00911996">
        <w:rPr>
          <w:lang w:val="nl-BE"/>
        </w:rPr>
        <w:t xml:space="preserve">natuurlijke personen </w:t>
      </w:r>
      <w:r w:rsidR="00BE2631" w:rsidRPr="00911996">
        <w:rPr>
          <w:lang w:val="nl-BE"/>
        </w:rPr>
        <w:t xml:space="preserve">gaat, </w:t>
      </w:r>
      <w:r w:rsidR="006738D2" w:rsidRPr="00911996">
        <w:rPr>
          <w:lang w:val="nl-BE"/>
        </w:rPr>
        <w:t xml:space="preserve">dient </w:t>
      </w:r>
      <w:r w:rsidR="00BE2631" w:rsidRPr="00911996">
        <w:rPr>
          <w:lang w:val="nl-BE"/>
        </w:rPr>
        <w:t xml:space="preserve">de </w:t>
      </w:r>
      <w:r w:rsidR="00C60283" w:rsidRPr="00911996">
        <w:rPr>
          <w:lang w:val="nl-BE"/>
        </w:rPr>
        <w:t>familienaam</w:t>
      </w:r>
      <w:r w:rsidR="006738D2" w:rsidRPr="00911996">
        <w:rPr>
          <w:lang w:val="nl-BE"/>
        </w:rPr>
        <w:t xml:space="preserve"> te worden vermeld, gevolgd door </w:t>
      </w:r>
      <w:r w:rsidR="00BE2631" w:rsidRPr="00911996">
        <w:rPr>
          <w:lang w:val="nl-BE"/>
        </w:rPr>
        <w:t xml:space="preserve">de </w:t>
      </w:r>
      <w:proofErr w:type="spellStart"/>
      <w:r w:rsidR="006738D2" w:rsidRPr="00911996">
        <w:rPr>
          <w:lang w:val="nl-BE"/>
        </w:rPr>
        <w:t>voorna</w:t>
      </w:r>
      <w:proofErr w:type="spellEnd"/>
      <w:r w:rsidR="00BE2631" w:rsidRPr="00911996">
        <w:rPr>
          <w:lang w:val="nl-BE"/>
        </w:rPr>
        <w:t>(</w:t>
      </w:r>
      <w:r w:rsidR="006738D2" w:rsidRPr="00911996">
        <w:rPr>
          <w:lang w:val="nl-BE"/>
        </w:rPr>
        <w:t>a</w:t>
      </w:r>
      <w:r w:rsidR="00BE2631" w:rsidRPr="00911996">
        <w:rPr>
          <w:lang w:val="nl-BE"/>
        </w:rPr>
        <w:t>)</w:t>
      </w:r>
      <w:r w:rsidR="006738D2" w:rsidRPr="00911996">
        <w:rPr>
          <w:lang w:val="nl-BE"/>
        </w:rPr>
        <w:t>m</w:t>
      </w:r>
      <w:r w:rsidR="00BE2631" w:rsidRPr="00911996">
        <w:rPr>
          <w:lang w:val="nl-BE"/>
        </w:rPr>
        <w:t>(en)</w:t>
      </w:r>
      <w:r w:rsidR="00C637F0" w:rsidRPr="00911996">
        <w:rPr>
          <w:lang w:val="nl-BE"/>
        </w:rPr>
        <w:t>.</w:t>
      </w:r>
      <w:r w:rsidR="005E42EF" w:rsidRPr="00911996">
        <w:rPr>
          <w:lang w:val="nl-BE"/>
        </w:rPr>
        <w:t xml:space="preserve"> </w:t>
      </w:r>
      <w:r w:rsidR="006738D2" w:rsidRPr="00911996">
        <w:rPr>
          <w:lang w:val="nl-BE"/>
        </w:rPr>
        <w:t xml:space="preserve">Voor rechtspersonen </w:t>
      </w:r>
      <w:r w:rsidR="00BE2631" w:rsidRPr="00911996">
        <w:rPr>
          <w:lang w:val="nl-BE"/>
        </w:rPr>
        <w:t xml:space="preserve">wordt </w:t>
      </w:r>
      <w:r w:rsidR="006738D2" w:rsidRPr="00911996">
        <w:rPr>
          <w:lang w:val="nl-BE"/>
        </w:rPr>
        <w:t xml:space="preserve">de </w:t>
      </w:r>
      <w:r w:rsidR="00BE2631" w:rsidRPr="00911996">
        <w:rPr>
          <w:lang w:val="nl-BE"/>
        </w:rPr>
        <w:t xml:space="preserve">naam </w:t>
      </w:r>
      <w:r w:rsidR="00B31A69">
        <w:rPr>
          <w:lang w:val="nl-BE"/>
        </w:rPr>
        <w:t xml:space="preserve">en de rechtsvorm </w:t>
      </w:r>
      <w:r w:rsidR="006738D2" w:rsidRPr="00911996">
        <w:rPr>
          <w:lang w:val="nl-BE"/>
        </w:rPr>
        <w:t xml:space="preserve">vermeld, </w:t>
      </w:r>
      <w:r w:rsidR="00652F99" w:rsidRPr="00911996">
        <w:rPr>
          <w:lang w:val="nl-BE"/>
        </w:rPr>
        <w:t xml:space="preserve">en, voor rechtspersonen naar Belgisch recht, </w:t>
      </w:r>
      <w:r w:rsidR="006738D2" w:rsidRPr="00911996">
        <w:rPr>
          <w:lang w:val="nl-BE"/>
        </w:rPr>
        <w:t>even</w:t>
      </w:r>
      <w:r w:rsidR="00652F99" w:rsidRPr="00911996">
        <w:rPr>
          <w:lang w:val="nl-BE"/>
        </w:rPr>
        <w:t>eens</w:t>
      </w:r>
      <w:r w:rsidR="006738D2" w:rsidRPr="00911996">
        <w:rPr>
          <w:lang w:val="nl-BE"/>
        </w:rPr>
        <w:t xml:space="preserve"> </w:t>
      </w:r>
      <w:r w:rsidR="00B31A69">
        <w:rPr>
          <w:lang w:val="nl-BE"/>
        </w:rPr>
        <w:t>het ondernemingsnummer</w:t>
      </w:r>
      <w:r w:rsidR="00395199" w:rsidRPr="00911996">
        <w:rPr>
          <w:lang w:val="nl-BE"/>
        </w:rPr>
        <w:t>.</w:t>
      </w:r>
    </w:p>
    <w:p w:rsidR="00395199" w:rsidRDefault="006738D2" w:rsidP="00452DF4">
      <w:pPr>
        <w:pStyle w:val="ListParagraph"/>
        <w:numPr>
          <w:ilvl w:val="0"/>
          <w:numId w:val="33"/>
        </w:numPr>
        <w:tabs>
          <w:tab w:val="clear" w:pos="284"/>
        </w:tabs>
        <w:spacing w:before="120"/>
        <w:ind w:left="714" w:hanging="357"/>
        <w:contextualSpacing w:val="0"/>
        <w:jc w:val="both"/>
        <w:rPr>
          <w:lang w:val="nl-BE"/>
        </w:rPr>
      </w:pPr>
      <w:r w:rsidRPr="00911996">
        <w:rPr>
          <w:lang w:val="nl-BE"/>
        </w:rPr>
        <w:t>De aard van de lening, het krediet of de borgstelling</w:t>
      </w:r>
      <w:r w:rsidR="00395199" w:rsidRPr="00911996">
        <w:rPr>
          <w:lang w:val="nl-BE"/>
        </w:rPr>
        <w:t xml:space="preserve"> </w:t>
      </w:r>
      <w:r w:rsidR="007B3970" w:rsidRPr="00911996">
        <w:rPr>
          <w:lang w:val="nl-BE"/>
        </w:rPr>
        <w:t>(</w:t>
      </w:r>
      <w:r w:rsidRPr="00911996">
        <w:rPr>
          <w:lang w:val="nl-BE"/>
        </w:rPr>
        <w:t>bijvoorbeeld hypothecair krediet, consumentenkrediet</w:t>
      </w:r>
      <w:r w:rsidR="007B3970" w:rsidRPr="00911996">
        <w:rPr>
          <w:lang w:val="nl-BE"/>
        </w:rPr>
        <w:t xml:space="preserve">, …) </w:t>
      </w:r>
      <w:r w:rsidR="00BE2631" w:rsidRPr="00911996">
        <w:rPr>
          <w:lang w:val="nl-BE"/>
        </w:rPr>
        <w:t xml:space="preserve">wordt </w:t>
      </w:r>
      <w:r w:rsidRPr="00911996">
        <w:rPr>
          <w:lang w:val="nl-BE"/>
        </w:rPr>
        <w:t>vermeld in de kolom</w:t>
      </w:r>
      <w:r w:rsidR="00B31A69">
        <w:rPr>
          <w:lang w:val="nl-BE"/>
        </w:rPr>
        <w:t xml:space="preserve"> (2)</w:t>
      </w:r>
      <w:r w:rsidR="00BE2631" w:rsidRPr="00911996">
        <w:rPr>
          <w:lang w:val="nl-BE"/>
        </w:rPr>
        <w:t>.</w:t>
      </w:r>
      <w:r w:rsidRPr="00911996">
        <w:rPr>
          <w:lang w:val="nl-BE"/>
        </w:rPr>
        <w:t xml:space="preserve"> </w:t>
      </w:r>
      <w:r w:rsidR="00BE2631" w:rsidRPr="00911996">
        <w:rPr>
          <w:lang w:val="nl-BE"/>
        </w:rPr>
        <w:t xml:space="preserve">Voor </w:t>
      </w:r>
      <w:r w:rsidRPr="00911996">
        <w:rPr>
          <w:lang w:val="nl-BE"/>
        </w:rPr>
        <w:t xml:space="preserve">elke verrichting </w:t>
      </w:r>
      <w:r w:rsidR="00BE2631" w:rsidRPr="00911996">
        <w:rPr>
          <w:lang w:val="nl-BE"/>
        </w:rPr>
        <w:t xml:space="preserve">wordt </w:t>
      </w:r>
      <w:r w:rsidRPr="00911996">
        <w:rPr>
          <w:lang w:val="nl-BE"/>
        </w:rPr>
        <w:t xml:space="preserve">een </w:t>
      </w:r>
      <w:r w:rsidR="00C60283" w:rsidRPr="00911996">
        <w:rPr>
          <w:lang w:val="nl-BE"/>
        </w:rPr>
        <w:t>aparte</w:t>
      </w:r>
      <w:r w:rsidRPr="00911996">
        <w:rPr>
          <w:lang w:val="nl-BE"/>
        </w:rPr>
        <w:t xml:space="preserve"> regel gebruikt</w:t>
      </w:r>
      <w:r w:rsidR="00395199" w:rsidRPr="00911996">
        <w:rPr>
          <w:lang w:val="nl-BE"/>
        </w:rPr>
        <w:t xml:space="preserve">. </w:t>
      </w:r>
      <w:r w:rsidR="00B31A69">
        <w:rPr>
          <w:lang w:val="nl-BE"/>
        </w:rPr>
        <w:t>Wanneer een kredietdossier meerdere deelkredieten omvat, dient elk van deze deelkredieten op een aparte lijn te worden vermeld.</w:t>
      </w:r>
    </w:p>
    <w:p w:rsidR="00B31A69" w:rsidRPr="00B31A69" w:rsidRDefault="00B31A69" w:rsidP="00B31A69">
      <w:pPr>
        <w:pStyle w:val="ListParagraph"/>
        <w:numPr>
          <w:ilvl w:val="0"/>
          <w:numId w:val="33"/>
        </w:numPr>
        <w:tabs>
          <w:tab w:val="clear" w:pos="284"/>
          <w:tab w:val="left" w:pos="720"/>
        </w:tabs>
        <w:spacing w:before="120"/>
        <w:ind w:left="714" w:hanging="357"/>
        <w:contextualSpacing w:val="0"/>
        <w:jc w:val="both"/>
        <w:rPr>
          <w:lang w:val="nl-BE"/>
        </w:rPr>
      </w:pPr>
      <w:r>
        <w:rPr>
          <w:lang w:val="nl-BE"/>
        </w:rPr>
        <w:t xml:space="preserve">De datum van oorspronkelijk toekenning moet in kolom (3) worden vermeld. Dit is de datum van de eerste kredietbeslissing voor de bedoelde lening, krediet of borgstelling. Indien </w:t>
      </w:r>
      <w:r w:rsidR="00646A63">
        <w:rPr>
          <w:lang w:val="nl-BE"/>
        </w:rPr>
        <w:t xml:space="preserve">de looptijd van </w:t>
      </w:r>
      <w:r>
        <w:rPr>
          <w:lang w:val="nl-BE"/>
        </w:rPr>
        <w:t xml:space="preserve">een lening wordt verlengd, blijft de oorspronkelijke datum dezelfde (alleen de verlenging wordt in kolom </w:t>
      </w:r>
      <w:proofErr w:type="gramStart"/>
      <w:r w:rsidR="00646A63">
        <w:rPr>
          <w:lang w:val="nl-BE"/>
        </w:rPr>
        <w:t>(</w:t>
      </w:r>
      <w:proofErr w:type="gramEnd"/>
      <w:r>
        <w:rPr>
          <w:lang w:val="nl-BE"/>
        </w:rPr>
        <w:t>5</w:t>
      </w:r>
      <w:r w:rsidR="00646A63">
        <w:rPr>
          <w:lang w:val="nl-BE"/>
        </w:rPr>
        <w:t>)</w:t>
      </w:r>
      <w:r>
        <w:rPr>
          <w:lang w:val="nl-BE"/>
        </w:rPr>
        <w:t xml:space="preserve"> vermeld). Indien een lening, krediet of borgstelling wordt terugbetaald en vervangen door een nieuwe lening, krediet of borgstelling, dan moet er een nieuwe lijn worden toegevoegd, met als “oorspronkelijk datum” de datum van toekenning van de nieuwe lening, krediet of borgstelling.</w:t>
      </w:r>
    </w:p>
    <w:p w:rsidR="00B31A69" w:rsidRDefault="006738D2" w:rsidP="00646A63">
      <w:pPr>
        <w:pStyle w:val="ListParagraph"/>
        <w:numPr>
          <w:ilvl w:val="0"/>
          <w:numId w:val="33"/>
        </w:numPr>
        <w:tabs>
          <w:tab w:val="clear" w:pos="284"/>
          <w:tab w:val="left" w:pos="720"/>
        </w:tabs>
        <w:spacing w:before="120"/>
        <w:ind w:left="714" w:hanging="357"/>
        <w:contextualSpacing w:val="0"/>
        <w:jc w:val="both"/>
        <w:rPr>
          <w:lang w:val="nl-BE"/>
        </w:rPr>
      </w:pPr>
      <w:r w:rsidRPr="00B31A69">
        <w:rPr>
          <w:lang w:val="nl-BE"/>
        </w:rPr>
        <w:t xml:space="preserve">De aanpassingen die in kolom </w:t>
      </w:r>
      <w:r w:rsidR="00B31A69" w:rsidRPr="00B31A69">
        <w:rPr>
          <w:lang w:val="nl-BE"/>
        </w:rPr>
        <w:t>(4)</w:t>
      </w:r>
      <w:r w:rsidRPr="00B31A69">
        <w:rPr>
          <w:lang w:val="nl-BE"/>
        </w:rPr>
        <w:t xml:space="preserve"> moeten worden opgenomen, zijn </w:t>
      </w:r>
      <w:r w:rsidR="00BE2631" w:rsidRPr="00B31A69">
        <w:rPr>
          <w:lang w:val="nl-BE"/>
        </w:rPr>
        <w:t xml:space="preserve">de </w:t>
      </w:r>
      <w:r w:rsidRPr="00B31A69">
        <w:rPr>
          <w:lang w:val="nl-BE"/>
        </w:rPr>
        <w:t xml:space="preserve">aanpassingen die </w:t>
      </w:r>
      <w:r w:rsidR="00B31A69" w:rsidRPr="00646A63">
        <w:rPr>
          <w:lang w:val="nl-BE"/>
        </w:rPr>
        <w:t xml:space="preserve">gedurende de periode </w:t>
      </w:r>
      <w:r w:rsidR="00BE2631" w:rsidRPr="00646A63">
        <w:rPr>
          <w:lang w:val="nl-BE"/>
        </w:rPr>
        <w:t xml:space="preserve">werden </w:t>
      </w:r>
      <w:r w:rsidRPr="00646A63">
        <w:rPr>
          <w:lang w:val="nl-BE"/>
        </w:rPr>
        <w:t xml:space="preserve">aangebracht in de voorwaarden en </w:t>
      </w:r>
      <w:r w:rsidR="00B31A69" w:rsidRPr="00646A63">
        <w:rPr>
          <w:lang w:val="nl-BE"/>
        </w:rPr>
        <w:t xml:space="preserve">de </w:t>
      </w:r>
      <w:r w:rsidRPr="00646A63">
        <w:rPr>
          <w:lang w:val="nl-BE"/>
        </w:rPr>
        <w:t xml:space="preserve">modaliteiten van de </w:t>
      </w:r>
      <w:r w:rsidRPr="00646A63">
        <w:rPr>
          <w:lang w:val="nl-BE"/>
        </w:rPr>
        <w:lastRenderedPageBreak/>
        <w:t xml:space="preserve">verrichting </w:t>
      </w:r>
      <w:r w:rsidR="0080113A" w:rsidRPr="00646A63">
        <w:rPr>
          <w:lang w:val="nl-BE"/>
        </w:rPr>
        <w:t>(</w:t>
      </w:r>
      <w:r w:rsidR="00A969FF" w:rsidRPr="00646A63">
        <w:rPr>
          <w:lang w:val="nl-BE"/>
        </w:rPr>
        <w:t xml:space="preserve">verhoging of verlaging van het </w:t>
      </w:r>
      <w:r w:rsidR="009F2672" w:rsidRPr="00646A63">
        <w:rPr>
          <w:lang w:val="nl-BE"/>
        </w:rPr>
        <w:t>bedrag</w:t>
      </w:r>
      <w:r w:rsidR="00395199" w:rsidRPr="00646A63">
        <w:rPr>
          <w:lang w:val="nl-BE"/>
        </w:rPr>
        <w:t xml:space="preserve">, </w:t>
      </w:r>
      <w:r w:rsidRPr="00646A63">
        <w:rPr>
          <w:lang w:val="nl-BE"/>
        </w:rPr>
        <w:t>opzegging</w:t>
      </w:r>
      <w:r w:rsidR="00395199" w:rsidRPr="00646A63">
        <w:rPr>
          <w:lang w:val="nl-BE"/>
        </w:rPr>
        <w:t xml:space="preserve">, </w:t>
      </w:r>
      <w:r w:rsidRPr="00646A63">
        <w:rPr>
          <w:lang w:val="nl-BE"/>
        </w:rPr>
        <w:t>wijziging van de voorwaarden</w:t>
      </w:r>
      <w:r w:rsidR="00395199" w:rsidRPr="00646A63">
        <w:rPr>
          <w:lang w:val="nl-BE"/>
        </w:rPr>
        <w:t xml:space="preserve"> …</w:t>
      </w:r>
      <w:r w:rsidR="00B31A69" w:rsidRPr="00646A63">
        <w:rPr>
          <w:lang w:val="nl-BE"/>
        </w:rPr>
        <w:t>)</w:t>
      </w:r>
      <w:r w:rsidR="00264E51" w:rsidRPr="00911996">
        <w:rPr>
          <w:rStyle w:val="FootnoteReference"/>
          <w:lang w:val="nl-BE"/>
        </w:rPr>
        <w:footnoteReference w:id="6"/>
      </w:r>
      <w:r w:rsidR="00395199" w:rsidRPr="00B31A69">
        <w:rPr>
          <w:lang w:val="nl-BE"/>
        </w:rPr>
        <w:t xml:space="preserve">. </w:t>
      </w:r>
      <w:r w:rsidR="00B31A69">
        <w:rPr>
          <w:lang w:val="nl-BE"/>
        </w:rPr>
        <w:t>In kolom 5 (links) moet het openstaande bedrag van het krediet op het einde van de periode worden vermeld.</w:t>
      </w:r>
      <w:r w:rsidR="00B31A69" w:rsidRPr="000663B4">
        <w:rPr>
          <w:lang w:val="nl-BE"/>
        </w:rPr>
        <w:t xml:space="preserve"> </w:t>
      </w:r>
      <w:r w:rsidR="00B31A69">
        <w:rPr>
          <w:lang w:val="nl-BE"/>
        </w:rPr>
        <w:t xml:space="preserve">Het gaat hier over bijvoorbeeld het totaal opgenomen bedrag van een liquiditeitskrediet of het uitstaande bedrag van een hypothecaire lening per einde van de periode. In voorkomend geval moet ook het eventuele nog op te nemen bedrag ( op het einde van de periode) in kolom 5 (rechts) worden vermeld. </w:t>
      </w:r>
    </w:p>
    <w:p w:rsidR="0022511B" w:rsidRDefault="00C60283" w:rsidP="00452DF4">
      <w:pPr>
        <w:pStyle w:val="ListParagraph"/>
        <w:numPr>
          <w:ilvl w:val="0"/>
          <w:numId w:val="33"/>
        </w:numPr>
        <w:tabs>
          <w:tab w:val="clear" w:pos="284"/>
        </w:tabs>
        <w:spacing w:before="120"/>
        <w:ind w:left="714" w:hanging="357"/>
        <w:contextualSpacing w:val="0"/>
        <w:jc w:val="both"/>
        <w:rPr>
          <w:lang w:val="nl-BE"/>
        </w:rPr>
      </w:pPr>
      <w:r w:rsidRPr="00911996">
        <w:rPr>
          <w:lang w:val="nl-BE"/>
        </w:rPr>
        <w:t xml:space="preserve">In kolom </w:t>
      </w:r>
      <w:r w:rsidR="00B31A69">
        <w:rPr>
          <w:lang w:val="nl-BE"/>
        </w:rPr>
        <w:t>(6)</w:t>
      </w:r>
      <w:r w:rsidR="0080113A" w:rsidRPr="00911996">
        <w:rPr>
          <w:lang w:val="nl-BE"/>
        </w:rPr>
        <w:t xml:space="preserve"> </w:t>
      </w:r>
      <w:r w:rsidRPr="00911996">
        <w:rPr>
          <w:lang w:val="nl-BE"/>
        </w:rPr>
        <w:t xml:space="preserve">dient </w:t>
      </w:r>
      <w:r w:rsidR="00604A79" w:rsidRPr="00911996">
        <w:rPr>
          <w:lang w:val="nl-BE"/>
        </w:rPr>
        <w:t>de</w:t>
      </w:r>
      <w:r w:rsidRPr="00911996">
        <w:rPr>
          <w:lang w:val="nl-BE"/>
        </w:rPr>
        <w:t xml:space="preserve"> </w:t>
      </w:r>
      <w:r w:rsidR="009F2672" w:rsidRPr="00911996">
        <w:rPr>
          <w:lang w:val="nl-BE"/>
        </w:rPr>
        <w:t>rente</w:t>
      </w:r>
      <w:r w:rsidR="00604A79" w:rsidRPr="00911996">
        <w:rPr>
          <w:lang w:val="nl-BE"/>
        </w:rPr>
        <w:t>voet</w:t>
      </w:r>
      <w:r w:rsidR="009F2672" w:rsidRPr="00911996">
        <w:rPr>
          <w:lang w:val="nl-BE"/>
        </w:rPr>
        <w:t xml:space="preserve"> te worden opgenomen </w:t>
      </w:r>
      <w:r w:rsidR="00B31A69">
        <w:rPr>
          <w:lang w:val="nl-BE"/>
        </w:rPr>
        <w:t>die van toepassing is op het einde van de periode</w:t>
      </w:r>
      <w:r w:rsidR="009F2672" w:rsidRPr="00911996">
        <w:rPr>
          <w:lang w:val="nl-BE"/>
        </w:rPr>
        <w:t>.</w:t>
      </w:r>
      <w:r w:rsidR="00C637F0" w:rsidRPr="00911996">
        <w:rPr>
          <w:lang w:val="nl-BE"/>
        </w:rPr>
        <w:t xml:space="preserve"> </w:t>
      </w:r>
    </w:p>
    <w:p w:rsidR="00B31A69" w:rsidRDefault="00B31A69" w:rsidP="00452DF4">
      <w:pPr>
        <w:pStyle w:val="ListParagraph"/>
        <w:numPr>
          <w:ilvl w:val="0"/>
          <w:numId w:val="33"/>
        </w:numPr>
        <w:tabs>
          <w:tab w:val="clear" w:pos="284"/>
        </w:tabs>
        <w:spacing w:before="120"/>
        <w:ind w:left="714" w:hanging="357"/>
        <w:contextualSpacing w:val="0"/>
        <w:jc w:val="both"/>
        <w:rPr>
          <w:lang w:val="nl-BE"/>
        </w:rPr>
      </w:pPr>
      <w:r>
        <w:rPr>
          <w:lang w:val="nl-BE"/>
        </w:rPr>
        <w:t>In kolom (7) dient de resterende looptijd op het einde van de periode te worden aangegeven.</w:t>
      </w:r>
    </w:p>
    <w:p w:rsidR="00B31A69" w:rsidRPr="00911996" w:rsidRDefault="00B31A69" w:rsidP="00452DF4">
      <w:pPr>
        <w:pStyle w:val="ListParagraph"/>
        <w:numPr>
          <w:ilvl w:val="0"/>
          <w:numId w:val="33"/>
        </w:numPr>
        <w:tabs>
          <w:tab w:val="clear" w:pos="284"/>
        </w:tabs>
        <w:spacing w:before="120"/>
        <w:ind w:left="714" w:hanging="357"/>
        <w:contextualSpacing w:val="0"/>
        <w:jc w:val="both"/>
        <w:rPr>
          <w:lang w:val="nl-BE"/>
        </w:rPr>
      </w:pPr>
      <w:r w:rsidRPr="005E5457">
        <w:rPr>
          <w:lang w:val="nl-BE"/>
        </w:rPr>
        <w:t xml:space="preserve">Kolom </w:t>
      </w:r>
      <w:r>
        <w:rPr>
          <w:lang w:val="nl-BE"/>
        </w:rPr>
        <w:t>8</w:t>
      </w:r>
      <w:r w:rsidRPr="005E5457">
        <w:rPr>
          <w:lang w:val="nl-BE"/>
        </w:rPr>
        <w:t xml:space="preserve"> (voorziene betalingen zijn voldaan conform de contractuele voorwaarden) moet alleen met “ja” of “neen” ingevuld worden</w:t>
      </w:r>
      <w:r>
        <w:rPr>
          <w:lang w:val="nl-BE"/>
        </w:rPr>
        <w:t>, hierbij enkel rekening houdend met materiële aangelegenheden.</w:t>
      </w:r>
    </w:p>
    <w:p w:rsidR="005F18B0" w:rsidRDefault="005F18B0" w:rsidP="002B4AB2">
      <w:pPr>
        <w:tabs>
          <w:tab w:val="clear" w:pos="284"/>
        </w:tabs>
        <w:jc w:val="both"/>
        <w:rPr>
          <w:lang w:val="fr-FR"/>
        </w:rPr>
      </w:pPr>
    </w:p>
    <w:p w:rsidR="00BE39FF" w:rsidRPr="00264E51" w:rsidRDefault="005F18B0" w:rsidP="002B4AB2">
      <w:pPr>
        <w:tabs>
          <w:tab w:val="clear" w:pos="284"/>
        </w:tabs>
        <w:jc w:val="both"/>
        <w:rPr>
          <w:u w:val="single"/>
          <w:lang w:val="nl-BE"/>
        </w:rPr>
      </w:pPr>
      <w:r w:rsidRPr="00264E51">
        <w:rPr>
          <w:u w:val="single"/>
          <w:lang w:val="nl-BE"/>
        </w:rPr>
        <w:t>Bijkantoren</w:t>
      </w:r>
    </w:p>
    <w:p w:rsidR="005F18B0" w:rsidRPr="00264E51" w:rsidRDefault="005F18B0" w:rsidP="002B4AB2">
      <w:pPr>
        <w:tabs>
          <w:tab w:val="clear" w:pos="284"/>
        </w:tabs>
        <w:jc w:val="both"/>
        <w:rPr>
          <w:lang w:val="nl-BE"/>
        </w:rPr>
      </w:pPr>
    </w:p>
    <w:p w:rsidR="00222E29" w:rsidRPr="00264E51" w:rsidRDefault="00222E29" w:rsidP="002B4AB2">
      <w:pPr>
        <w:tabs>
          <w:tab w:val="clear" w:pos="284"/>
        </w:tabs>
        <w:jc w:val="both"/>
        <w:rPr>
          <w:lang w:val="nl-BE"/>
        </w:rPr>
      </w:pPr>
      <w:r w:rsidRPr="00264E51">
        <w:rPr>
          <w:lang w:val="nl-BE"/>
        </w:rPr>
        <w:t>De regeling van artikel 72 van de Bankwet</w:t>
      </w:r>
      <w:r w:rsidR="00113486">
        <w:rPr>
          <w:lang w:val="nl-BE"/>
        </w:rPr>
        <w:t xml:space="preserve"> en artikel 93 van de </w:t>
      </w:r>
      <w:r w:rsidR="00C60283">
        <w:rPr>
          <w:lang w:val="nl-BE"/>
        </w:rPr>
        <w:t xml:space="preserve">Solvabiliteit II-wet </w:t>
      </w:r>
      <w:r w:rsidRPr="00264E51">
        <w:rPr>
          <w:lang w:val="nl-BE"/>
        </w:rPr>
        <w:t xml:space="preserve">is eveneens van toepassing </w:t>
      </w:r>
      <w:r w:rsidR="00873636">
        <w:rPr>
          <w:lang w:val="nl-BE"/>
        </w:rPr>
        <w:t xml:space="preserve">op </w:t>
      </w:r>
      <w:r w:rsidRPr="00264E51">
        <w:rPr>
          <w:lang w:val="nl-BE"/>
        </w:rPr>
        <w:t>bijkantoren.</w:t>
      </w:r>
    </w:p>
    <w:p w:rsidR="00222E29" w:rsidRPr="00264E51" w:rsidRDefault="00222E29" w:rsidP="002B4AB2">
      <w:pPr>
        <w:tabs>
          <w:tab w:val="clear" w:pos="284"/>
        </w:tabs>
        <w:jc w:val="both"/>
        <w:rPr>
          <w:lang w:val="nl-BE"/>
        </w:rPr>
      </w:pPr>
    </w:p>
    <w:p w:rsidR="00545DE4" w:rsidRDefault="00545DE4" w:rsidP="00545DE4">
      <w:pPr>
        <w:pStyle w:val="ListParagraph"/>
        <w:numPr>
          <w:ilvl w:val="0"/>
          <w:numId w:val="35"/>
        </w:numPr>
        <w:jc w:val="both"/>
        <w:rPr>
          <w:lang w:val="nl-BE"/>
        </w:rPr>
      </w:pPr>
      <w:r>
        <w:rPr>
          <w:lang w:val="nl-BE"/>
        </w:rPr>
        <w:t>Buitenlandse bijkantoren van Belgische kredietinstellingen</w:t>
      </w:r>
      <w:r w:rsidR="00113486">
        <w:rPr>
          <w:lang w:val="nl-BE"/>
        </w:rPr>
        <w:t xml:space="preserve"> en verzekeringsondernemingen</w:t>
      </w:r>
    </w:p>
    <w:p w:rsidR="00545DE4" w:rsidRDefault="00545DE4" w:rsidP="00545DE4">
      <w:pPr>
        <w:jc w:val="both"/>
        <w:rPr>
          <w:lang w:val="nl-BE"/>
        </w:rPr>
      </w:pPr>
    </w:p>
    <w:p w:rsidR="00545DE4" w:rsidRDefault="00222E29" w:rsidP="00C60283">
      <w:pPr>
        <w:jc w:val="both"/>
        <w:rPr>
          <w:lang w:val="nl-BE"/>
        </w:rPr>
      </w:pPr>
      <w:r>
        <w:rPr>
          <w:lang w:val="nl-BE"/>
        </w:rPr>
        <w:t>L</w:t>
      </w:r>
      <w:r w:rsidR="00545DE4" w:rsidRPr="00AD2641">
        <w:rPr>
          <w:lang w:val="nl-BE"/>
        </w:rPr>
        <w:t xml:space="preserve">eningen, kredieten en borgstellingen </w:t>
      </w:r>
      <w:r w:rsidR="00302BE6">
        <w:rPr>
          <w:lang w:val="nl-BE"/>
        </w:rPr>
        <w:t xml:space="preserve">opgenomen in de boekhouding van een buitenlands bijkantoor van een </w:t>
      </w:r>
      <w:r w:rsidR="00545DE4" w:rsidRPr="00AD2641">
        <w:rPr>
          <w:lang w:val="nl-BE"/>
        </w:rPr>
        <w:t>Belgische kredietinstelling</w:t>
      </w:r>
      <w:r w:rsidR="00113486">
        <w:rPr>
          <w:lang w:val="nl-BE"/>
        </w:rPr>
        <w:t xml:space="preserve"> of verzekeringsonderneming</w:t>
      </w:r>
      <w:r w:rsidR="00545DE4" w:rsidRPr="00AD2641">
        <w:rPr>
          <w:lang w:val="nl-BE"/>
        </w:rPr>
        <w:t xml:space="preserve"> </w:t>
      </w:r>
      <w:r w:rsidR="00A5583C">
        <w:rPr>
          <w:lang w:val="nl-BE"/>
        </w:rPr>
        <w:t xml:space="preserve">en verstrekt </w:t>
      </w:r>
      <w:r w:rsidR="00545DE4" w:rsidRPr="00AD2641">
        <w:rPr>
          <w:lang w:val="nl-BE"/>
        </w:rPr>
        <w:t xml:space="preserve">aan personen, ondernemingen of instellingen </w:t>
      </w:r>
      <w:r w:rsidR="00545DE4">
        <w:rPr>
          <w:lang w:val="nl-BE"/>
        </w:rPr>
        <w:t>bedoeld in artikel 72, §</w:t>
      </w:r>
      <w:r w:rsidR="00C60283">
        <w:rPr>
          <w:lang w:val="nl-BE"/>
        </w:rPr>
        <w:t xml:space="preserve"> </w:t>
      </w:r>
      <w:r w:rsidR="00545DE4">
        <w:rPr>
          <w:lang w:val="nl-BE"/>
        </w:rPr>
        <w:t>1, eerste lid, 1°</w:t>
      </w:r>
      <w:r w:rsidR="00C60283">
        <w:rPr>
          <w:lang w:val="nl-BE"/>
        </w:rPr>
        <w:t xml:space="preserve"> tot</w:t>
      </w:r>
      <w:r w:rsidR="00302BE6">
        <w:rPr>
          <w:lang w:val="nl-BE"/>
        </w:rPr>
        <w:t xml:space="preserve"> </w:t>
      </w:r>
      <w:r w:rsidR="00545DE4">
        <w:rPr>
          <w:lang w:val="nl-BE"/>
        </w:rPr>
        <w:t>4° van de Bankwet</w:t>
      </w:r>
      <w:r w:rsidR="00113486">
        <w:rPr>
          <w:lang w:val="nl-BE"/>
        </w:rPr>
        <w:t xml:space="preserve"> en artikel 93, §1, eerste lid, 1°</w:t>
      </w:r>
      <w:r w:rsidR="00C60283">
        <w:rPr>
          <w:lang w:val="nl-BE"/>
        </w:rPr>
        <w:t xml:space="preserve"> tot </w:t>
      </w:r>
      <w:r w:rsidR="00113486">
        <w:rPr>
          <w:lang w:val="nl-BE"/>
        </w:rPr>
        <w:t xml:space="preserve">4° van de </w:t>
      </w:r>
      <w:r w:rsidR="006A0A4D">
        <w:rPr>
          <w:lang w:val="nl-BE"/>
        </w:rPr>
        <w:t>Solv</w:t>
      </w:r>
      <w:r w:rsidR="00C60283">
        <w:rPr>
          <w:lang w:val="nl-BE"/>
        </w:rPr>
        <w:t>abiliteit-</w:t>
      </w:r>
      <w:r w:rsidR="006A0A4D">
        <w:rPr>
          <w:lang w:val="nl-BE"/>
        </w:rPr>
        <w:t xml:space="preserve"> II</w:t>
      </w:r>
      <w:r w:rsidR="00C60283">
        <w:rPr>
          <w:lang w:val="nl-BE"/>
        </w:rPr>
        <w:t>-</w:t>
      </w:r>
      <w:r w:rsidR="006A0A4D">
        <w:rPr>
          <w:lang w:val="nl-BE"/>
        </w:rPr>
        <w:t>wet</w:t>
      </w:r>
      <w:r>
        <w:rPr>
          <w:lang w:val="nl-BE"/>
        </w:rPr>
        <w:t xml:space="preserve"> vallen</w:t>
      </w:r>
      <w:r w:rsidR="00545DE4" w:rsidRPr="00AD2641">
        <w:rPr>
          <w:lang w:val="nl-BE"/>
        </w:rPr>
        <w:t xml:space="preserve"> </w:t>
      </w:r>
      <w:r w:rsidR="00A5583C">
        <w:rPr>
          <w:lang w:val="nl-BE"/>
        </w:rPr>
        <w:t>ook onder de voormelde voorschriften</w:t>
      </w:r>
      <w:r w:rsidR="00545DE4" w:rsidRPr="00AD2641">
        <w:rPr>
          <w:lang w:val="nl-BE"/>
        </w:rPr>
        <w:t>.</w:t>
      </w:r>
    </w:p>
    <w:p w:rsidR="00545DE4" w:rsidRPr="00545DE4" w:rsidRDefault="00545DE4" w:rsidP="00545DE4">
      <w:pPr>
        <w:jc w:val="both"/>
        <w:rPr>
          <w:lang w:val="nl-BE"/>
        </w:rPr>
      </w:pPr>
    </w:p>
    <w:p w:rsidR="00545DE4" w:rsidRPr="00545DE4" w:rsidRDefault="00545DE4" w:rsidP="00545DE4">
      <w:pPr>
        <w:pStyle w:val="ListParagraph"/>
        <w:numPr>
          <w:ilvl w:val="0"/>
          <w:numId w:val="35"/>
        </w:numPr>
        <w:jc w:val="both"/>
        <w:rPr>
          <w:lang w:val="nl-BE"/>
        </w:rPr>
      </w:pPr>
      <w:r>
        <w:rPr>
          <w:lang w:val="nl-BE"/>
        </w:rPr>
        <w:t xml:space="preserve">Bijkantoren in België van kredietinstellingen </w:t>
      </w:r>
      <w:r w:rsidR="00867041">
        <w:rPr>
          <w:lang w:val="nl-BE"/>
        </w:rPr>
        <w:t xml:space="preserve">en verzekeringsondernemingen </w:t>
      </w:r>
      <w:r>
        <w:rPr>
          <w:lang w:val="nl-BE"/>
        </w:rPr>
        <w:t>van derde landen</w:t>
      </w:r>
    </w:p>
    <w:p w:rsidR="00545DE4" w:rsidRDefault="00545DE4" w:rsidP="00AD2641">
      <w:pPr>
        <w:jc w:val="both"/>
        <w:rPr>
          <w:lang w:val="nl-BE"/>
        </w:rPr>
      </w:pPr>
    </w:p>
    <w:p w:rsidR="00AD2641" w:rsidRPr="00AD2641" w:rsidRDefault="00302BE6" w:rsidP="00AD2641">
      <w:pPr>
        <w:jc w:val="both"/>
        <w:rPr>
          <w:lang w:val="nl-BE"/>
        </w:rPr>
      </w:pPr>
      <w:r>
        <w:rPr>
          <w:lang w:val="nl-BE"/>
        </w:rPr>
        <w:t xml:space="preserve">Leningen, kredieten en borgstellingen opgenomen in de boekhouding van een Belgisch bijkantoor van een kredietinstelling </w:t>
      </w:r>
      <w:r w:rsidR="00113486">
        <w:rPr>
          <w:lang w:val="nl-BE"/>
        </w:rPr>
        <w:t xml:space="preserve">of </w:t>
      </w:r>
      <w:r w:rsidR="00C60283">
        <w:rPr>
          <w:lang w:val="nl-BE"/>
        </w:rPr>
        <w:t>verzekeringsonderneming</w:t>
      </w:r>
      <w:r w:rsidR="00113486">
        <w:rPr>
          <w:lang w:val="nl-BE"/>
        </w:rPr>
        <w:t xml:space="preserve"> </w:t>
      </w:r>
      <w:r>
        <w:rPr>
          <w:lang w:val="nl-BE"/>
        </w:rPr>
        <w:t xml:space="preserve">uit een derde land </w:t>
      </w:r>
      <w:r w:rsidR="00A5583C">
        <w:rPr>
          <w:lang w:val="nl-BE"/>
        </w:rPr>
        <w:t xml:space="preserve">en verstrekt </w:t>
      </w:r>
      <w:r w:rsidR="00AD2641" w:rsidRPr="00AD2641">
        <w:rPr>
          <w:lang w:val="nl-BE"/>
        </w:rPr>
        <w:t xml:space="preserve">aan personen, ondernemingen of instellingen </w:t>
      </w:r>
      <w:r>
        <w:rPr>
          <w:lang w:val="nl-BE"/>
        </w:rPr>
        <w:t>als bedoeld in artikel 72</w:t>
      </w:r>
      <w:r w:rsidR="004B6D47">
        <w:rPr>
          <w:lang w:val="nl-BE"/>
        </w:rPr>
        <w:t>, §</w:t>
      </w:r>
      <w:r>
        <w:rPr>
          <w:lang w:val="nl-BE"/>
        </w:rPr>
        <w:t>1, eerste lid, 1°</w:t>
      </w:r>
      <w:r w:rsidR="00C60283">
        <w:rPr>
          <w:lang w:val="nl-BE"/>
        </w:rPr>
        <w:t xml:space="preserve"> tot</w:t>
      </w:r>
      <w:r>
        <w:rPr>
          <w:lang w:val="nl-BE"/>
        </w:rPr>
        <w:t xml:space="preserve"> 4° van de Bankwet </w:t>
      </w:r>
      <w:r w:rsidR="00113486">
        <w:rPr>
          <w:lang w:val="nl-BE"/>
        </w:rPr>
        <w:t>en in artikel 93, §1, eerste lid, 1°</w:t>
      </w:r>
      <w:r w:rsidR="00C60283">
        <w:rPr>
          <w:lang w:val="nl-BE"/>
        </w:rPr>
        <w:t xml:space="preserve"> tot </w:t>
      </w:r>
      <w:r w:rsidR="00113486">
        <w:rPr>
          <w:lang w:val="nl-BE"/>
        </w:rPr>
        <w:t xml:space="preserve">4° van de </w:t>
      </w:r>
      <w:r w:rsidR="006A0A4D">
        <w:rPr>
          <w:lang w:val="nl-BE"/>
        </w:rPr>
        <w:t>Solv</w:t>
      </w:r>
      <w:r w:rsidR="00C60283">
        <w:rPr>
          <w:lang w:val="nl-BE"/>
        </w:rPr>
        <w:t>abiliteit</w:t>
      </w:r>
      <w:r w:rsidR="006A0A4D">
        <w:rPr>
          <w:lang w:val="nl-BE"/>
        </w:rPr>
        <w:t xml:space="preserve"> II</w:t>
      </w:r>
      <w:r w:rsidR="00C60283">
        <w:rPr>
          <w:lang w:val="nl-BE"/>
        </w:rPr>
        <w:t>-</w:t>
      </w:r>
      <w:r w:rsidR="006A0A4D">
        <w:rPr>
          <w:lang w:val="nl-BE"/>
        </w:rPr>
        <w:t>wet</w:t>
      </w:r>
      <w:r w:rsidR="00113486">
        <w:rPr>
          <w:lang w:val="nl-BE"/>
        </w:rPr>
        <w:t xml:space="preserve"> </w:t>
      </w:r>
      <w:r w:rsidR="00152B94">
        <w:rPr>
          <w:lang w:val="nl-BE"/>
        </w:rPr>
        <w:t>vallen eveneens onder de regeling</w:t>
      </w:r>
      <w:r w:rsidR="00C60283">
        <w:rPr>
          <w:lang w:val="nl-BE"/>
        </w:rPr>
        <w:t>,</w:t>
      </w:r>
      <w:r>
        <w:rPr>
          <w:lang w:val="nl-BE"/>
        </w:rPr>
        <w:t xml:space="preserve"> met dien verstande dat de leiders van het bijkantoor ook als leden van het wettelijk bestuursorgaan worden beschouwd</w:t>
      </w:r>
      <w:r w:rsidR="00C60283">
        <w:rPr>
          <w:lang w:val="nl-BE"/>
        </w:rPr>
        <w:t>, in overeenstemming met artikel 335</w:t>
      </w:r>
      <w:proofErr w:type="gramStart"/>
      <w:r w:rsidR="00C60283">
        <w:rPr>
          <w:lang w:val="nl-BE"/>
        </w:rPr>
        <w:t>,</w:t>
      </w:r>
      <w:proofErr w:type="gramEnd"/>
      <w:r w:rsidR="00C60283">
        <w:rPr>
          <w:lang w:val="nl-BE"/>
        </w:rPr>
        <w:t xml:space="preserve"> 4°, van de Bankwet en artikel 587, 3° van de Solvabiliteit II-wet</w:t>
      </w:r>
      <w:r>
        <w:rPr>
          <w:lang w:val="nl-BE"/>
        </w:rPr>
        <w:t>.</w:t>
      </w:r>
      <w:r w:rsidR="00AD2641" w:rsidRPr="00AD2641">
        <w:rPr>
          <w:lang w:val="nl-BE"/>
        </w:rPr>
        <w:t xml:space="preserve"> </w:t>
      </w:r>
    </w:p>
    <w:p w:rsidR="00AD2641" w:rsidRPr="00264E51" w:rsidRDefault="00AD2641" w:rsidP="002B4AB2">
      <w:pPr>
        <w:tabs>
          <w:tab w:val="clear" w:pos="284"/>
        </w:tabs>
        <w:jc w:val="both"/>
        <w:rPr>
          <w:lang w:val="nl-BE"/>
        </w:rPr>
      </w:pPr>
    </w:p>
    <w:p w:rsidR="005F18B0" w:rsidRPr="00264E51" w:rsidRDefault="005F18B0" w:rsidP="002B4AB2">
      <w:pPr>
        <w:tabs>
          <w:tab w:val="clear" w:pos="284"/>
        </w:tabs>
        <w:jc w:val="both"/>
        <w:rPr>
          <w:u w:val="single"/>
          <w:lang w:val="nl-BE"/>
        </w:rPr>
      </w:pPr>
      <w:r w:rsidRPr="00264E51">
        <w:rPr>
          <w:u w:val="single"/>
          <w:lang w:val="nl-BE"/>
        </w:rPr>
        <w:t>Beursvennootschappen</w:t>
      </w:r>
    </w:p>
    <w:p w:rsidR="005F18B0" w:rsidRPr="00264E51" w:rsidRDefault="005F18B0" w:rsidP="002B4AB2">
      <w:pPr>
        <w:tabs>
          <w:tab w:val="clear" w:pos="284"/>
        </w:tabs>
        <w:jc w:val="both"/>
        <w:rPr>
          <w:lang w:val="nl-BE"/>
        </w:rPr>
      </w:pPr>
    </w:p>
    <w:p w:rsidR="00C67931" w:rsidRDefault="00C67931" w:rsidP="002B4AB2">
      <w:pPr>
        <w:tabs>
          <w:tab w:val="clear" w:pos="284"/>
        </w:tabs>
        <w:jc w:val="both"/>
        <w:rPr>
          <w:lang w:val="nl-BE"/>
        </w:rPr>
      </w:pPr>
      <w:r>
        <w:rPr>
          <w:rFonts w:cs="Arial"/>
          <w:lang w:val="nl-BE" w:eastAsia="nl-BE"/>
        </w:rPr>
        <w:t xml:space="preserve">De bovenstaande voorschriften zijn </w:t>
      </w:r>
      <w:proofErr w:type="gramStart"/>
      <w:r>
        <w:rPr>
          <w:rFonts w:cs="Arial"/>
          <w:lang w:val="nl-BE" w:eastAsia="nl-BE"/>
        </w:rPr>
        <w:t>overeenkomstig</w:t>
      </w:r>
      <w:proofErr w:type="gramEnd"/>
      <w:r>
        <w:rPr>
          <w:rFonts w:cs="Arial"/>
          <w:lang w:val="nl-BE" w:eastAsia="nl-BE"/>
        </w:rPr>
        <w:t xml:space="preserve"> artikel 535 van de Bankwet eveneens van toepassing op leningen</w:t>
      </w:r>
      <w:r w:rsidR="00AF6805">
        <w:rPr>
          <w:rFonts w:cs="Arial"/>
          <w:lang w:val="nl-BE" w:eastAsia="nl-BE"/>
        </w:rPr>
        <w:t>, kredieten</w:t>
      </w:r>
      <w:r>
        <w:rPr>
          <w:rFonts w:cs="Arial"/>
          <w:lang w:val="nl-BE" w:eastAsia="nl-BE"/>
        </w:rPr>
        <w:t xml:space="preserve"> en borgstellingen toegekend door beursvennootschappen, met dien verstande dat voor </w:t>
      </w:r>
      <w:r w:rsidR="00873636">
        <w:rPr>
          <w:rFonts w:cs="Arial"/>
          <w:lang w:val="nl-BE" w:eastAsia="nl-BE"/>
        </w:rPr>
        <w:t xml:space="preserve">de kennisgeving door </w:t>
      </w:r>
      <w:r>
        <w:rPr>
          <w:rFonts w:cs="Arial"/>
          <w:lang w:val="nl-BE" w:eastAsia="nl-BE"/>
        </w:rPr>
        <w:t>deze instellingen een plafond van 25.000 euro geldt</w:t>
      </w:r>
      <w:r w:rsidR="00AF6805">
        <w:rPr>
          <w:rFonts w:cs="Arial"/>
          <w:lang w:val="nl-BE" w:eastAsia="nl-BE"/>
        </w:rPr>
        <w:t>. Beursvennootschappen kunnen leningen of kredieten enkel toestaan binnen de in artikel 534 van de Bankwet vastgestelde grenzen.</w:t>
      </w:r>
    </w:p>
    <w:p w:rsidR="00C07EB1" w:rsidRPr="00911996" w:rsidRDefault="00C07EB1" w:rsidP="002B4AB2">
      <w:pPr>
        <w:tabs>
          <w:tab w:val="clear" w:pos="284"/>
        </w:tabs>
        <w:jc w:val="both"/>
        <w:rPr>
          <w:lang w:val="fr-BE"/>
        </w:rPr>
      </w:pPr>
    </w:p>
    <w:p w:rsidR="00C07EB1" w:rsidRPr="00911996" w:rsidRDefault="00F264D8" w:rsidP="002B4AB2">
      <w:pPr>
        <w:tabs>
          <w:tab w:val="clear" w:pos="284"/>
        </w:tabs>
        <w:jc w:val="both"/>
        <w:rPr>
          <w:u w:val="single"/>
          <w:lang w:val="nl-BE"/>
        </w:rPr>
      </w:pPr>
      <w:r w:rsidRPr="00911996">
        <w:rPr>
          <w:u w:val="single"/>
          <w:lang w:val="nl-BE"/>
        </w:rPr>
        <w:t>Verzekeringsholdings en gemengde financiële holdings</w:t>
      </w:r>
      <w:r w:rsidR="0014795B">
        <w:rPr>
          <w:u w:val="single"/>
          <w:lang w:val="nl-BE"/>
        </w:rPr>
        <w:t xml:space="preserve"> naar Belgisch recht aan het hoofd van een (her)verzekeringsgroep</w:t>
      </w:r>
    </w:p>
    <w:p w:rsidR="00C07EB1" w:rsidRPr="00911996" w:rsidRDefault="00C07EB1" w:rsidP="002B4AB2">
      <w:pPr>
        <w:tabs>
          <w:tab w:val="clear" w:pos="284"/>
        </w:tabs>
        <w:jc w:val="both"/>
        <w:rPr>
          <w:lang w:val="nl-BE"/>
        </w:rPr>
      </w:pPr>
    </w:p>
    <w:p w:rsidR="009D5760" w:rsidRPr="007638E0" w:rsidRDefault="00873636" w:rsidP="002B4AB2">
      <w:pPr>
        <w:tabs>
          <w:tab w:val="clear" w:pos="284"/>
        </w:tabs>
        <w:jc w:val="both"/>
        <w:rPr>
          <w:lang w:val="nl-BE"/>
        </w:rPr>
      </w:pPr>
      <w:proofErr w:type="gramStart"/>
      <w:r w:rsidRPr="00911996">
        <w:rPr>
          <w:lang w:val="nl-BE"/>
        </w:rPr>
        <w:t>Overeenkomstig</w:t>
      </w:r>
      <w:proofErr w:type="gramEnd"/>
      <w:r w:rsidRPr="00911996">
        <w:rPr>
          <w:lang w:val="nl-BE"/>
        </w:rPr>
        <w:t xml:space="preserve"> artikel 443, eerste lid van de Solvabiliteit II-wet gelden de</w:t>
      </w:r>
      <w:r w:rsidR="00F264D8" w:rsidRPr="00911996">
        <w:rPr>
          <w:lang w:val="nl-BE"/>
        </w:rPr>
        <w:t xml:space="preserve"> bovenstaande voorschriften </w:t>
      </w:r>
      <w:r w:rsidRPr="00911996">
        <w:rPr>
          <w:lang w:val="nl-BE"/>
        </w:rPr>
        <w:t xml:space="preserve">eveneens voor </w:t>
      </w:r>
      <w:r w:rsidR="00F264D8" w:rsidRPr="00911996">
        <w:rPr>
          <w:lang w:val="nl-BE"/>
        </w:rPr>
        <w:t xml:space="preserve">verzekeringsholdings naar Belgisch recht en </w:t>
      </w:r>
      <w:r w:rsidRPr="00911996">
        <w:rPr>
          <w:lang w:val="nl-BE"/>
        </w:rPr>
        <w:t xml:space="preserve">voor </w:t>
      </w:r>
      <w:r w:rsidR="00F264D8" w:rsidRPr="00911996">
        <w:rPr>
          <w:lang w:val="nl-BE"/>
        </w:rPr>
        <w:t xml:space="preserve">gemengde </w:t>
      </w:r>
      <w:r w:rsidR="007638E0" w:rsidRPr="00911996">
        <w:rPr>
          <w:lang w:val="nl-BE"/>
        </w:rPr>
        <w:t>financiële</w:t>
      </w:r>
      <w:r w:rsidR="00F264D8" w:rsidRPr="00911996">
        <w:rPr>
          <w:lang w:val="nl-BE"/>
        </w:rPr>
        <w:t xml:space="preserve"> holdings naar </w:t>
      </w:r>
      <w:r w:rsidR="00F264D8" w:rsidRPr="00911996">
        <w:rPr>
          <w:lang w:val="nl-BE"/>
        </w:rPr>
        <w:lastRenderedPageBreak/>
        <w:t xml:space="preserve">Belgisch recht die aan het hoofd staan van een verzekerings- of herverzekeringsgroep in de zin van de artikelen </w:t>
      </w:r>
      <w:r w:rsidR="009D5760" w:rsidRPr="00911996">
        <w:rPr>
          <w:lang w:val="nl-BE"/>
        </w:rPr>
        <w:t>33</w:t>
      </w:r>
      <w:r w:rsidR="0014795B">
        <w:rPr>
          <w:lang w:val="nl-BE"/>
        </w:rPr>
        <w:t>8</w:t>
      </w:r>
      <w:r w:rsidR="009D5760" w:rsidRPr="00911996">
        <w:rPr>
          <w:lang w:val="nl-BE"/>
        </w:rPr>
        <w:t xml:space="preserve"> </w:t>
      </w:r>
      <w:r w:rsidR="00F264D8" w:rsidRPr="00911996">
        <w:rPr>
          <w:lang w:val="nl-BE"/>
        </w:rPr>
        <w:t xml:space="preserve">en </w:t>
      </w:r>
      <w:r w:rsidR="009D5760" w:rsidRPr="00911996">
        <w:rPr>
          <w:lang w:val="nl-BE"/>
        </w:rPr>
        <w:t xml:space="preserve">343 </w:t>
      </w:r>
      <w:r w:rsidR="00F264D8" w:rsidRPr="00911996">
        <w:rPr>
          <w:lang w:val="nl-BE"/>
        </w:rPr>
        <w:t xml:space="preserve">van </w:t>
      </w:r>
      <w:r w:rsidRPr="00911996">
        <w:rPr>
          <w:lang w:val="nl-BE"/>
        </w:rPr>
        <w:t xml:space="preserve">de </w:t>
      </w:r>
      <w:r w:rsidR="00F264D8" w:rsidRPr="00911996">
        <w:rPr>
          <w:lang w:val="nl-BE"/>
        </w:rPr>
        <w:t>Solvabiliteit II-wet</w:t>
      </w:r>
      <w:r w:rsidR="002A27F4" w:rsidRPr="00911996">
        <w:rPr>
          <w:lang w:val="nl-BE"/>
        </w:rPr>
        <w:t xml:space="preserve"> en onder toezicht van de Bank staan</w:t>
      </w:r>
      <w:r w:rsidR="009D5760" w:rsidRPr="00911996">
        <w:rPr>
          <w:lang w:val="nl-BE"/>
        </w:rPr>
        <w:t>.</w:t>
      </w:r>
    </w:p>
    <w:p w:rsidR="00C07EB1" w:rsidRPr="00DC3DB5" w:rsidRDefault="00C07EB1" w:rsidP="002B4AB2">
      <w:pPr>
        <w:tabs>
          <w:tab w:val="clear" w:pos="284"/>
        </w:tabs>
        <w:jc w:val="both"/>
        <w:rPr>
          <w:lang w:val="fr-BE"/>
        </w:rPr>
      </w:pPr>
    </w:p>
    <w:p w:rsidR="004D5A36" w:rsidRPr="0022511B" w:rsidRDefault="004D5A36" w:rsidP="002B4AB2">
      <w:pPr>
        <w:tabs>
          <w:tab w:val="clear" w:pos="284"/>
        </w:tabs>
        <w:jc w:val="both"/>
        <w:rPr>
          <w:rFonts w:cs="Arial"/>
          <w:lang w:val="nl-BE"/>
        </w:rPr>
      </w:pPr>
      <w:r w:rsidRPr="0022511B">
        <w:rPr>
          <w:rFonts w:cs="Arial"/>
          <w:lang w:val="nl-BE"/>
        </w:rPr>
        <w:t xml:space="preserve">Deze circulaire vervangt circulaire D1 94/5 van 28 november 1994 </w:t>
      </w:r>
      <w:r w:rsidR="00F264D8">
        <w:rPr>
          <w:rFonts w:cs="Arial"/>
          <w:lang w:val="nl-BE"/>
        </w:rPr>
        <w:t xml:space="preserve">en heft ze </w:t>
      </w:r>
      <w:r w:rsidRPr="0022511B">
        <w:rPr>
          <w:rFonts w:cs="Arial"/>
          <w:lang w:val="nl-BE"/>
        </w:rPr>
        <w:t>op.</w:t>
      </w:r>
    </w:p>
    <w:p w:rsidR="00BE39FF" w:rsidRPr="0022511B" w:rsidRDefault="00BE39FF" w:rsidP="002B4AB2">
      <w:pPr>
        <w:tabs>
          <w:tab w:val="clear" w:pos="284"/>
        </w:tabs>
        <w:jc w:val="both"/>
        <w:rPr>
          <w:rFonts w:cs="Arial"/>
          <w:lang w:val="nl-BE"/>
        </w:rPr>
      </w:pPr>
    </w:p>
    <w:p w:rsidR="00BE39FF" w:rsidRPr="0022511B" w:rsidRDefault="00BE39FF" w:rsidP="002B4AB2">
      <w:pPr>
        <w:tabs>
          <w:tab w:val="clear" w:pos="284"/>
        </w:tabs>
        <w:jc w:val="both"/>
        <w:rPr>
          <w:rFonts w:cs="Arial"/>
          <w:lang w:val="nl-BE"/>
        </w:rPr>
      </w:pPr>
      <w:r w:rsidRPr="0022511B">
        <w:rPr>
          <w:rFonts w:cs="Arial"/>
          <w:lang w:val="nl-BE"/>
        </w:rPr>
        <w:t xml:space="preserve">Een kopie van deze circulaire wordt overgemaakt aan </w:t>
      </w:r>
      <w:r w:rsidR="00787495" w:rsidRPr="0022511B">
        <w:rPr>
          <w:rFonts w:cs="Arial"/>
          <w:lang w:val="nl-BE"/>
        </w:rPr>
        <w:t>de</w:t>
      </w:r>
      <w:r w:rsidRPr="0022511B">
        <w:rPr>
          <w:rFonts w:cs="Arial"/>
          <w:lang w:val="nl-BE"/>
        </w:rPr>
        <w:t xml:space="preserve"> revisor</w:t>
      </w:r>
      <w:r w:rsidR="00787495" w:rsidRPr="0022511B">
        <w:rPr>
          <w:rFonts w:cs="Arial"/>
          <w:lang w:val="nl-BE"/>
        </w:rPr>
        <w:t xml:space="preserve"> van uw instelling</w:t>
      </w:r>
      <w:r w:rsidR="002A27F4">
        <w:rPr>
          <w:rFonts w:cs="Arial"/>
          <w:lang w:val="nl-BE"/>
        </w:rPr>
        <w:t xml:space="preserve"> of onderneming</w:t>
      </w:r>
      <w:r w:rsidRPr="0022511B">
        <w:rPr>
          <w:rFonts w:cs="Arial"/>
          <w:lang w:val="nl-BE"/>
        </w:rPr>
        <w:t>.</w:t>
      </w:r>
    </w:p>
    <w:p w:rsidR="00BE39FF" w:rsidRPr="0022511B" w:rsidRDefault="00BE39FF" w:rsidP="001F711D">
      <w:pPr>
        <w:tabs>
          <w:tab w:val="clear" w:pos="284"/>
        </w:tabs>
        <w:spacing w:line="240" w:lineRule="auto"/>
        <w:rPr>
          <w:rFonts w:cs="Arial"/>
          <w:lang w:val="nl-BE"/>
        </w:rPr>
      </w:pPr>
    </w:p>
    <w:p w:rsidR="008113ED" w:rsidRPr="004125C4" w:rsidRDefault="008113ED" w:rsidP="008113ED">
      <w:pPr>
        <w:tabs>
          <w:tab w:val="clear" w:pos="284"/>
        </w:tabs>
        <w:overflowPunct w:val="0"/>
        <w:autoSpaceDE w:val="0"/>
        <w:autoSpaceDN w:val="0"/>
        <w:adjustRightInd w:val="0"/>
        <w:spacing w:before="240" w:after="240" w:line="240" w:lineRule="atLeast"/>
        <w:jc w:val="both"/>
        <w:textAlignment w:val="baseline"/>
        <w:rPr>
          <w:rFonts w:cs="Arial"/>
          <w:lang w:val="nl-BE"/>
        </w:rPr>
      </w:pPr>
      <w:bookmarkStart w:id="0" w:name="_GoBack"/>
      <w:bookmarkEnd w:id="0"/>
      <w:r w:rsidRPr="004125C4">
        <w:rPr>
          <w:rFonts w:cs="Arial"/>
          <w:lang w:val="nl-BE"/>
        </w:rPr>
        <w:t>Hoogachtend</w:t>
      </w:r>
    </w:p>
    <w:p w:rsidR="00BE39FF" w:rsidRDefault="00BE39FF" w:rsidP="001F711D">
      <w:pPr>
        <w:tabs>
          <w:tab w:val="clear" w:pos="284"/>
        </w:tabs>
        <w:spacing w:line="240" w:lineRule="auto"/>
        <w:rPr>
          <w:lang w:val="nl-BE"/>
        </w:rPr>
      </w:pPr>
    </w:p>
    <w:p w:rsidR="00911996" w:rsidRDefault="00911996" w:rsidP="001F711D">
      <w:pPr>
        <w:tabs>
          <w:tab w:val="clear" w:pos="284"/>
        </w:tabs>
        <w:spacing w:line="240" w:lineRule="auto"/>
        <w:rPr>
          <w:lang w:val="nl-BE"/>
        </w:rPr>
      </w:pPr>
    </w:p>
    <w:p w:rsidR="00972158" w:rsidRDefault="00972158" w:rsidP="001F711D">
      <w:pPr>
        <w:tabs>
          <w:tab w:val="clear" w:pos="284"/>
        </w:tabs>
        <w:spacing w:line="240" w:lineRule="auto"/>
        <w:rPr>
          <w:lang w:val="nl-BE"/>
        </w:rPr>
      </w:pPr>
    </w:p>
    <w:p w:rsidR="00972158" w:rsidRDefault="00972158" w:rsidP="001F711D">
      <w:pPr>
        <w:tabs>
          <w:tab w:val="clear" w:pos="284"/>
        </w:tabs>
        <w:spacing w:line="240" w:lineRule="auto"/>
        <w:rPr>
          <w:lang w:val="nl-BE"/>
        </w:rPr>
      </w:pPr>
    </w:p>
    <w:p w:rsidR="00972158" w:rsidRDefault="00972158" w:rsidP="001F711D">
      <w:pPr>
        <w:tabs>
          <w:tab w:val="clear" w:pos="284"/>
        </w:tabs>
        <w:spacing w:line="240" w:lineRule="auto"/>
        <w:rPr>
          <w:lang w:val="nl-BE"/>
        </w:rPr>
      </w:pPr>
    </w:p>
    <w:p w:rsidR="00972158" w:rsidRDefault="00972158" w:rsidP="001F711D">
      <w:pPr>
        <w:tabs>
          <w:tab w:val="clear" w:pos="284"/>
        </w:tabs>
        <w:spacing w:line="240" w:lineRule="auto"/>
        <w:rPr>
          <w:lang w:val="nl-BE"/>
        </w:rPr>
      </w:pPr>
      <w:r>
        <w:rPr>
          <w:lang w:val="nl-BE"/>
        </w:rPr>
        <w:t>Jan Smets</w:t>
      </w:r>
    </w:p>
    <w:p w:rsidR="002B4AB2" w:rsidRDefault="00972158" w:rsidP="001F711D">
      <w:pPr>
        <w:tabs>
          <w:tab w:val="clear" w:pos="284"/>
        </w:tabs>
        <w:spacing w:line="240" w:lineRule="auto"/>
        <w:rPr>
          <w:lang w:val="nl-BE"/>
        </w:rPr>
      </w:pPr>
      <w:r>
        <w:rPr>
          <w:lang w:val="nl-BE"/>
        </w:rPr>
        <w:t>Gouverneur</w:t>
      </w:r>
    </w:p>
    <w:p w:rsidR="002B4AB2" w:rsidRPr="002B4AB2" w:rsidRDefault="002B4AB2" w:rsidP="002B4AB2">
      <w:pPr>
        <w:rPr>
          <w:lang w:val="nl-BE"/>
        </w:rPr>
      </w:pPr>
    </w:p>
    <w:p w:rsidR="00C3632A" w:rsidRDefault="00C3632A" w:rsidP="002B4AB2">
      <w:pPr>
        <w:rPr>
          <w:lang w:val="nl-BE"/>
        </w:rPr>
      </w:pPr>
    </w:p>
    <w:p w:rsidR="00972158" w:rsidRPr="00CC6550" w:rsidRDefault="00CC6550" w:rsidP="00CC6550">
      <w:pPr>
        <w:tabs>
          <w:tab w:val="clear" w:pos="284"/>
        </w:tabs>
        <w:spacing w:line="240" w:lineRule="auto"/>
        <w:rPr>
          <w:i/>
          <w:lang w:val="nl-BE"/>
        </w:rPr>
      </w:pPr>
      <w:r w:rsidRPr="00CC6550">
        <w:rPr>
          <w:i/>
          <w:lang w:val="nl-BE"/>
        </w:rPr>
        <w:t xml:space="preserve">Bijlage: </w:t>
      </w:r>
      <w:r w:rsidR="005C080D" w:rsidRPr="00CC6550">
        <w:rPr>
          <w:rFonts w:cs="Arial"/>
          <w:i/>
          <w:lang w:val="nl-BE"/>
        </w:rPr>
        <w:t>Rapporteringstabel</w:t>
      </w:r>
    </w:p>
    <w:p w:rsidR="002B4AB2" w:rsidRPr="002B4AB2" w:rsidRDefault="002B4AB2" w:rsidP="005C080D">
      <w:pPr>
        <w:pStyle w:val="ListParagraph"/>
        <w:tabs>
          <w:tab w:val="clear" w:pos="284"/>
        </w:tabs>
        <w:overflowPunct w:val="0"/>
        <w:autoSpaceDE w:val="0"/>
        <w:autoSpaceDN w:val="0"/>
        <w:adjustRightInd w:val="0"/>
        <w:spacing w:line="240" w:lineRule="auto"/>
        <w:textAlignment w:val="baseline"/>
        <w:rPr>
          <w:lang w:val="nl-BE"/>
        </w:rPr>
      </w:pPr>
    </w:p>
    <w:sectPr w:rsidR="002B4AB2" w:rsidRPr="002B4AB2"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35" w:rsidRDefault="00047C35">
      <w:r>
        <w:separator/>
      </w:r>
    </w:p>
  </w:endnote>
  <w:endnote w:type="continuationSeparator" w:id="0">
    <w:p w:rsidR="00047C35" w:rsidRDefault="0004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6D7274" w:rsidRDefault="006D7274" w:rsidP="00E87276">
    <w:pPr>
      <w:pStyle w:val="Footer"/>
      <w:pBdr>
        <w:top w:val="single" w:sz="4" w:space="1" w:color="auto"/>
      </w:pBdr>
      <w:rPr>
        <w:b/>
        <w:sz w:val="16"/>
        <w:szCs w:val="16"/>
        <w:lang w:val="nl-BE"/>
      </w:rPr>
    </w:pPr>
    <w:r>
      <w:rPr>
        <w:b/>
        <w:sz w:val="16"/>
        <w:szCs w:val="16"/>
        <w:lang w:val="nl-BE"/>
      </w:rPr>
      <w:t>Circulaire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962D88">
      <w:rPr>
        <w:b/>
        <w:noProof/>
        <w:sz w:val="16"/>
        <w:szCs w:val="16"/>
        <w:lang w:val="nl-BE"/>
      </w:rPr>
      <w:t>4</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962D88">
      <w:rPr>
        <w:b/>
        <w:noProof/>
        <w:sz w:val="16"/>
        <w:szCs w:val="16"/>
        <w:lang w:val="nl-BE"/>
      </w:rPr>
      <w:t>5</w:t>
    </w:r>
    <w:r>
      <w:rPr>
        <w:b/>
        <w:sz w:val="16"/>
        <w:szCs w:val="16"/>
        <w:lang w:val="nl-BE"/>
      </w:rPr>
      <w:fldChar w:fldCharType="end"/>
    </w:r>
    <w:r>
      <w:rPr>
        <w:b/>
        <w:sz w:val="16"/>
        <w:szCs w:val="16"/>
        <w:lang w:val="nl-BE"/>
      </w:rPr>
      <w:tab/>
    </w:r>
    <w:r w:rsidR="00F70E39">
      <w:rPr>
        <w:sz w:val="14"/>
        <w:szCs w:val="16"/>
        <w:lang w:val="nl-BE"/>
      </w:rPr>
      <w:t>NBB_2017_21</w:t>
    </w:r>
    <w:r w:rsidR="00F70E39">
      <w:rPr>
        <w:rFonts w:cs="Arial"/>
        <w:sz w:val="14"/>
        <w:szCs w:val="16"/>
        <w:lang w:val="nl-BE"/>
      </w:rPr>
      <w:t> </w:t>
    </w:r>
    <w:r w:rsidR="00F70E39">
      <w:rPr>
        <w:rFonts w:cs="Arial"/>
        <w:sz w:val="14"/>
        <w:szCs w:val="16"/>
        <w:lang w:val="nl-BE"/>
      </w:rPr>
      <w:t>–</w:t>
    </w:r>
    <w:r w:rsidR="00F70E39">
      <w:rPr>
        <w:rFonts w:cs="Arial"/>
        <w:sz w:val="14"/>
        <w:szCs w:val="16"/>
        <w:lang w:val="nl-BE"/>
      </w:rPr>
      <w:t> </w:t>
    </w:r>
    <w:r w:rsidR="00356EBB">
      <w:rPr>
        <w:sz w:val="14"/>
        <w:szCs w:val="16"/>
        <w:lang w:val="nl-BE"/>
      </w:rPr>
      <w:t>7</w:t>
    </w:r>
    <w:r w:rsidR="00CC6550">
      <w:rPr>
        <w:sz w:val="14"/>
        <w:szCs w:val="16"/>
        <w:lang w:val="nl-BE"/>
      </w:rPr>
      <w:t xml:space="preserve"> juli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6D7274" w:rsidRDefault="006D7274" w:rsidP="00F64E38">
    <w:pPr>
      <w:pStyle w:val="Footer"/>
      <w:pBdr>
        <w:top w:val="single" w:sz="4" w:space="1" w:color="auto"/>
      </w:pBdr>
      <w:rPr>
        <w:b/>
        <w:sz w:val="16"/>
        <w:szCs w:val="14"/>
        <w:lang w:val="nl-BE"/>
      </w:rPr>
    </w:pPr>
    <w:r>
      <w:rPr>
        <w:b/>
        <w:sz w:val="16"/>
        <w:szCs w:val="14"/>
        <w:lang w:val="nl-BE"/>
      </w:rPr>
      <w:tab/>
    </w:r>
    <w:r w:rsidR="00F70E39">
      <w:rPr>
        <w:sz w:val="14"/>
        <w:szCs w:val="16"/>
        <w:lang w:val="nl-BE"/>
      </w:rPr>
      <w:t>NBB_2017_21</w:t>
    </w:r>
    <w:r w:rsidR="00F70E39">
      <w:rPr>
        <w:rFonts w:cs="Arial"/>
        <w:sz w:val="14"/>
        <w:szCs w:val="16"/>
        <w:lang w:val="nl-BE"/>
      </w:rPr>
      <w:t> </w:t>
    </w:r>
    <w:r w:rsidR="00F70E39">
      <w:rPr>
        <w:rFonts w:cs="Arial"/>
        <w:sz w:val="14"/>
        <w:szCs w:val="16"/>
        <w:lang w:val="nl-BE"/>
      </w:rPr>
      <w:t>–</w:t>
    </w:r>
    <w:r w:rsidR="00F70E39">
      <w:rPr>
        <w:rFonts w:cs="Arial"/>
        <w:sz w:val="14"/>
        <w:szCs w:val="16"/>
        <w:lang w:val="nl-BE"/>
      </w:rPr>
      <w:t> </w:t>
    </w:r>
    <w:r w:rsidR="00356EBB">
      <w:rPr>
        <w:sz w:val="14"/>
        <w:szCs w:val="16"/>
        <w:lang w:val="nl-BE"/>
      </w:rPr>
      <w:t>7</w:t>
    </w:r>
    <w:r w:rsidR="00CC6550">
      <w:rPr>
        <w:sz w:val="14"/>
        <w:szCs w:val="16"/>
        <w:lang w:val="nl-BE"/>
      </w:rPr>
      <w:t xml:space="preserve"> juli 2017</w:t>
    </w:r>
    <w:r>
      <w:rPr>
        <w:b/>
        <w:sz w:val="16"/>
        <w:szCs w:val="14"/>
        <w:lang w:val="nl-BE"/>
      </w:rPr>
      <w:tab/>
      <w:t>Circulaire</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962D88">
      <w:rPr>
        <w:b/>
        <w:noProof/>
        <w:sz w:val="16"/>
        <w:szCs w:val="14"/>
        <w:lang w:val="nl-BE"/>
      </w:rPr>
      <w:t>5</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962D88">
      <w:rPr>
        <w:b/>
        <w:noProof/>
        <w:sz w:val="16"/>
        <w:szCs w:val="14"/>
        <w:lang w:val="nl-BE"/>
      </w:rPr>
      <w:t>5</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6D7274" w:rsidRDefault="006D7274" w:rsidP="00CB2202">
    <w:pPr>
      <w:pStyle w:val="Footer"/>
      <w:pBdr>
        <w:top w:val="single" w:sz="4" w:space="1" w:color="auto"/>
      </w:pBdr>
      <w:rPr>
        <w:b/>
        <w:sz w:val="16"/>
        <w:szCs w:val="16"/>
        <w:lang w:val="nl-BE"/>
      </w:rPr>
    </w:pPr>
    <w:r>
      <w:rPr>
        <w:b/>
        <w:sz w:val="16"/>
        <w:szCs w:val="16"/>
        <w:lang w:val="nl-BE"/>
      </w:rPr>
      <w:tab/>
    </w:r>
    <w:r>
      <w:rPr>
        <w:sz w:val="14"/>
        <w:szCs w:val="16"/>
        <w:lang w:val="nl-BE"/>
      </w:rPr>
      <w:t>NBB_201</w:t>
    </w:r>
    <w:r w:rsidR="007B7C31">
      <w:rPr>
        <w:sz w:val="14"/>
        <w:szCs w:val="16"/>
        <w:lang w:val="nl-BE"/>
      </w:rPr>
      <w:t>7</w:t>
    </w:r>
    <w:r w:rsidR="00306D32">
      <w:rPr>
        <w:sz w:val="14"/>
        <w:szCs w:val="16"/>
        <w:lang w:val="nl-BE"/>
      </w:rPr>
      <w:t>_21</w:t>
    </w:r>
    <w:r>
      <w:rPr>
        <w:rFonts w:cs="Arial"/>
        <w:sz w:val="14"/>
        <w:szCs w:val="16"/>
        <w:lang w:val="nl-BE"/>
      </w:rPr>
      <w:t> </w:t>
    </w:r>
    <w:r>
      <w:rPr>
        <w:rFonts w:cs="Arial"/>
        <w:sz w:val="14"/>
        <w:szCs w:val="16"/>
        <w:lang w:val="nl-BE"/>
      </w:rPr>
      <w:t>–</w:t>
    </w:r>
    <w:r>
      <w:rPr>
        <w:rFonts w:cs="Arial"/>
        <w:sz w:val="14"/>
        <w:szCs w:val="16"/>
        <w:lang w:val="nl-BE"/>
      </w:rPr>
      <w:t> </w:t>
    </w:r>
    <w:r w:rsidR="00356EBB">
      <w:rPr>
        <w:sz w:val="14"/>
        <w:szCs w:val="16"/>
        <w:lang w:val="nl-BE"/>
      </w:rPr>
      <w:t>7</w:t>
    </w:r>
    <w:r w:rsidR="00CC6550">
      <w:rPr>
        <w:sz w:val="14"/>
        <w:szCs w:val="16"/>
        <w:lang w:val="nl-BE"/>
      </w:rPr>
      <w:t xml:space="preserve"> juli</w:t>
    </w:r>
    <w:r w:rsidR="00F70E39">
      <w:rPr>
        <w:sz w:val="14"/>
        <w:szCs w:val="16"/>
        <w:lang w:val="nl-BE"/>
      </w:rPr>
      <w:t xml:space="preserve"> </w:t>
    </w:r>
    <w:r>
      <w:rPr>
        <w:sz w:val="14"/>
        <w:szCs w:val="16"/>
        <w:lang w:val="nl-BE"/>
      </w:rPr>
      <w:t>201</w:t>
    </w:r>
    <w:r w:rsidR="007B7C31">
      <w:rPr>
        <w:sz w:val="14"/>
        <w:szCs w:val="16"/>
        <w:lang w:val="nl-BE"/>
      </w:rPr>
      <w:t>7</w:t>
    </w:r>
    <w:r>
      <w:rPr>
        <w:b/>
        <w:sz w:val="16"/>
        <w:szCs w:val="16"/>
        <w:lang w:val="nl-BE"/>
      </w:rPr>
      <w:tab/>
      <w:t>Circulaire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962D88">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962D88">
      <w:rPr>
        <w:b/>
        <w:noProof/>
        <w:sz w:val="16"/>
        <w:szCs w:val="16"/>
        <w:lang w:val="nl-BE"/>
      </w:rPr>
      <w:t>5</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35" w:rsidRPr="00117F31" w:rsidRDefault="00047C35" w:rsidP="00117F31">
      <w:pPr>
        <w:pStyle w:val="Footer"/>
      </w:pPr>
    </w:p>
  </w:footnote>
  <w:footnote w:type="continuationSeparator" w:id="0">
    <w:p w:rsidR="00047C35" w:rsidRPr="00117F31" w:rsidRDefault="00047C35" w:rsidP="00117F31">
      <w:pPr>
        <w:pStyle w:val="Footer"/>
      </w:pPr>
    </w:p>
  </w:footnote>
  <w:footnote w:type="continuationNotice" w:id="1">
    <w:p w:rsidR="00047C35" w:rsidRDefault="00047C35"/>
  </w:footnote>
  <w:footnote w:id="2">
    <w:p w:rsidR="004D5A36" w:rsidRPr="004D5A36" w:rsidRDefault="004D5A36" w:rsidP="004D5A36">
      <w:pPr>
        <w:pStyle w:val="FootnoteText"/>
        <w:spacing w:line="240" w:lineRule="auto"/>
        <w:rPr>
          <w:lang w:val="nl-BE"/>
        </w:rPr>
      </w:pPr>
      <w:r>
        <w:rPr>
          <w:rStyle w:val="FootnoteReference"/>
        </w:rPr>
        <w:footnoteRef/>
      </w:r>
      <w:r w:rsidRPr="0022511B">
        <w:rPr>
          <w:lang w:val="nl-BE"/>
        </w:rPr>
        <w:t xml:space="preserve"> </w:t>
      </w:r>
      <w:r w:rsidRPr="0022511B">
        <w:rPr>
          <w:lang w:val="nl-BE"/>
        </w:rPr>
        <w:tab/>
      </w:r>
      <w:r>
        <w:rPr>
          <w:lang w:val="nl-BE"/>
        </w:rPr>
        <w:t>Wet van 25 april 2014 op het statuut van en het toezicht op kredietinstellingen</w:t>
      </w:r>
      <w:r w:rsidR="00C67931">
        <w:rPr>
          <w:lang w:val="nl-BE"/>
        </w:rPr>
        <w:t xml:space="preserve"> en beursvennootschappen</w:t>
      </w:r>
      <w:r>
        <w:rPr>
          <w:lang w:val="nl-BE"/>
        </w:rPr>
        <w:t>.</w:t>
      </w:r>
    </w:p>
  </w:footnote>
  <w:footnote w:id="3">
    <w:p w:rsidR="009C4FA5" w:rsidRPr="00B75A56" w:rsidRDefault="009C4FA5">
      <w:pPr>
        <w:pStyle w:val="FootnoteText"/>
        <w:rPr>
          <w:lang w:val="fr-BE"/>
        </w:rPr>
      </w:pPr>
      <w:r w:rsidRPr="00911996">
        <w:rPr>
          <w:rStyle w:val="FootnoteReference"/>
        </w:rPr>
        <w:footnoteRef/>
      </w:r>
      <w:r w:rsidRPr="00911996">
        <w:rPr>
          <w:lang w:val="fr-BE"/>
        </w:rPr>
        <w:t xml:space="preserve"> </w:t>
      </w:r>
      <w:r w:rsidR="00911996">
        <w:rPr>
          <w:lang w:val="fr-BE"/>
        </w:rPr>
        <w:tab/>
      </w:r>
      <w:r w:rsidR="00D76923" w:rsidRPr="00911996">
        <w:rPr>
          <w:lang w:val="nl-BE"/>
        </w:rPr>
        <w:t xml:space="preserve">Wet van </w:t>
      </w:r>
      <w:r w:rsidRPr="00911996">
        <w:rPr>
          <w:lang w:val="nl-BE"/>
        </w:rPr>
        <w:t xml:space="preserve">13 </w:t>
      </w:r>
      <w:r w:rsidR="00D76923" w:rsidRPr="00911996">
        <w:rPr>
          <w:lang w:val="nl-BE"/>
        </w:rPr>
        <w:t xml:space="preserve">maart </w:t>
      </w:r>
      <w:r w:rsidRPr="00911996">
        <w:rPr>
          <w:lang w:val="nl-BE"/>
        </w:rPr>
        <w:t xml:space="preserve">2016 </w:t>
      </w:r>
      <w:r w:rsidR="00D76923" w:rsidRPr="00911996">
        <w:rPr>
          <w:lang w:val="nl-BE"/>
        </w:rPr>
        <w:t>op het statuut van en het toezicht op de verzekerings- of herverzekeringsondernemingen</w:t>
      </w:r>
    </w:p>
  </w:footnote>
  <w:footnote w:id="4">
    <w:p w:rsidR="0014795B" w:rsidRPr="009E0394" w:rsidRDefault="0014795B" w:rsidP="00306D32">
      <w:pPr>
        <w:pStyle w:val="FootnoteText"/>
        <w:jc w:val="both"/>
        <w:rPr>
          <w:lang w:val="nl-BE"/>
        </w:rPr>
      </w:pPr>
      <w:r>
        <w:rPr>
          <w:rStyle w:val="FootnoteReference"/>
        </w:rPr>
        <w:footnoteRef/>
      </w:r>
      <w:r>
        <w:t xml:space="preserve"> </w:t>
      </w:r>
      <w:r>
        <w:tab/>
      </w:r>
      <w:r>
        <w:rPr>
          <w:lang w:val="nl-BE"/>
        </w:rPr>
        <w:t>De term “verzekeringsonderneming” dient te worden begrepen als “verzekerings- of herverzekeringsonderneming”.</w:t>
      </w:r>
    </w:p>
  </w:footnote>
  <w:footnote w:id="5">
    <w:p w:rsidR="00D7584A" w:rsidRPr="00D7584A" w:rsidRDefault="00D7584A" w:rsidP="00306D32">
      <w:pPr>
        <w:pStyle w:val="FootnoteText"/>
        <w:spacing w:line="240" w:lineRule="auto"/>
        <w:jc w:val="both"/>
        <w:rPr>
          <w:lang w:val="nl-BE"/>
        </w:rPr>
      </w:pPr>
      <w:r>
        <w:rPr>
          <w:rStyle w:val="FootnoteReference"/>
        </w:rPr>
        <w:footnoteRef/>
      </w:r>
      <w:r w:rsidRPr="0022511B">
        <w:rPr>
          <w:lang w:val="nl-BE"/>
        </w:rPr>
        <w:t xml:space="preserve"> </w:t>
      </w:r>
      <w:r w:rsidRPr="0022511B">
        <w:rPr>
          <w:lang w:val="nl-BE"/>
        </w:rPr>
        <w:tab/>
      </w:r>
      <w:r>
        <w:rPr>
          <w:lang w:val="nl-BE"/>
        </w:rPr>
        <w:t>Zie definitie in artikel 3, 27°/1, van de Bankwet.</w:t>
      </w:r>
    </w:p>
  </w:footnote>
  <w:footnote w:id="6">
    <w:p w:rsidR="00264E51" w:rsidRPr="007638E0" w:rsidRDefault="00264E51" w:rsidP="00911996">
      <w:pPr>
        <w:pStyle w:val="FootnoteText"/>
        <w:jc w:val="both"/>
        <w:rPr>
          <w:lang w:val="nl-BE"/>
        </w:rPr>
      </w:pPr>
      <w:r w:rsidRPr="00911996">
        <w:rPr>
          <w:rStyle w:val="FootnoteReference"/>
        </w:rPr>
        <w:footnoteRef/>
      </w:r>
      <w:r w:rsidRPr="00911996">
        <w:rPr>
          <w:lang w:val="fr-FR"/>
        </w:rPr>
        <w:t xml:space="preserve"> </w:t>
      </w:r>
      <w:r w:rsidR="00911996">
        <w:rPr>
          <w:lang w:val="fr-FR"/>
        </w:rPr>
        <w:tab/>
      </w:r>
      <w:r w:rsidR="00C60283" w:rsidRPr="00911996">
        <w:rPr>
          <w:lang w:val="nl-BE"/>
        </w:rPr>
        <w:t xml:space="preserve">De wijzigingen die voortvloeien uit de </w:t>
      </w:r>
      <w:r w:rsidR="009F2672" w:rsidRPr="00911996">
        <w:rPr>
          <w:lang w:val="nl-BE"/>
        </w:rPr>
        <w:t xml:space="preserve">naleving </w:t>
      </w:r>
      <w:r w:rsidR="00C60283" w:rsidRPr="00911996">
        <w:rPr>
          <w:lang w:val="nl-BE"/>
        </w:rPr>
        <w:t>van de contract</w:t>
      </w:r>
      <w:r w:rsidR="007638E0" w:rsidRPr="00911996">
        <w:rPr>
          <w:lang w:val="nl-BE"/>
        </w:rPr>
        <w:t>u</w:t>
      </w:r>
      <w:r w:rsidR="00C60283" w:rsidRPr="00911996">
        <w:rPr>
          <w:lang w:val="nl-BE"/>
        </w:rPr>
        <w:t xml:space="preserve">ele voorwaarden en modaliteiten van de verrichting </w:t>
      </w:r>
      <w:r w:rsidRPr="00911996">
        <w:rPr>
          <w:lang w:val="nl-BE"/>
        </w:rPr>
        <w:t>(</w:t>
      </w:r>
      <w:r w:rsidR="00C60283" w:rsidRPr="00911996">
        <w:rPr>
          <w:lang w:val="nl-BE"/>
        </w:rPr>
        <w:t>bijvoorbeeld periodieke terugbetalingen van het geleende kapitaal</w:t>
      </w:r>
      <w:r w:rsidRPr="00911996">
        <w:rPr>
          <w:lang w:val="nl-BE"/>
        </w:rPr>
        <w:t xml:space="preserve">) </w:t>
      </w:r>
      <w:r w:rsidR="00C60283" w:rsidRPr="00911996">
        <w:rPr>
          <w:lang w:val="nl-BE"/>
        </w:rPr>
        <w:t>moeten dus niet gerapporteerd worden in kolom</w:t>
      </w:r>
      <w:r w:rsidRPr="00911996">
        <w:rPr>
          <w:lang w:val="nl-BE"/>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1A753425"/>
    <w:multiLevelType w:val="hybridMultilevel"/>
    <w:tmpl w:val="7610E60C"/>
    <w:lvl w:ilvl="0" w:tplc="3732E5DC">
      <w:numFmt w:val="bullet"/>
      <w:lvlText w:val="-"/>
      <w:lvlJc w:val="left"/>
      <w:pPr>
        <w:ind w:left="720" w:hanging="360"/>
      </w:pPr>
      <w:rPr>
        <w:rFonts w:ascii="Arial" w:eastAsia="Times New Roman"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D4781"/>
    <w:multiLevelType w:val="hybridMultilevel"/>
    <w:tmpl w:val="BBCACF2A"/>
    <w:lvl w:ilvl="0" w:tplc="3732E5DC">
      <w:numFmt w:val="bullet"/>
      <w:lvlText w:val="-"/>
      <w:lvlJc w:val="left"/>
      <w:pPr>
        <w:ind w:left="720" w:hanging="360"/>
      </w:pPr>
      <w:rPr>
        <w:rFonts w:ascii="Arial" w:eastAsia="Times New Roman"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E35430"/>
    <w:multiLevelType w:val="hybridMultilevel"/>
    <w:tmpl w:val="1242ABEC"/>
    <w:lvl w:ilvl="0" w:tplc="3732E5DC">
      <w:numFmt w:val="bullet"/>
      <w:lvlText w:val="-"/>
      <w:lvlJc w:val="left"/>
      <w:pPr>
        <w:ind w:left="720" w:hanging="360"/>
      </w:pPr>
      <w:rPr>
        <w:rFonts w:ascii="Arial" w:eastAsia="Times New Roman"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8">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1">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A24A52"/>
    <w:multiLevelType w:val="hybridMultilevel"/>
    <w:tmpl w:val="40DCA6BC"/>
    <w:lvl w:ilvl="0" w:tplc="1604DF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B4998"/>
    <w:multiLevelType w:val="hybridMultilevel"/>
    <w:tmpl w:val="258A930E"/>
    <w:lvl w:ilvl="0" w:tplc="3732E5DC">
      <w:numFmt w:val="bullet"/>
      <w:lvlText w:val="-"/>
      <w:lvlJc w:val="left"/>
      <w:pPr>
        <w:ind w:left="1080" w:hanging="360"/>
      </w:pPr>
      <w:rPr>
        <w:rFonts w:ascii="Arial" w:eastAsia="Times New Roman" w:hAnsi="Arial" w:cs="Aria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2B7090"/>
    <w:multiLevelType w:val="hybridMultilevel"/>
    <w:tmpl w:val="DC729A2E"/>
    <w:lvl w:ilvl="0" w:tplc="3732E5DC">
      <w:numFmt w:val="bullet"/>
      <w:lvlText w:val="-"/>
      <w:lvlJc w:val="left"/>
      <w:pPr>
        <w:ind w:left="720" w:hanging="360"/>
      </w:pPr>
      <w:rPr>
        <w:rFonts w:ascii="Arial" w:eastAsia="Times New Roman"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935648"/>
    <w:multiLevelType w:val="hybridMultilevel"/>
    <w:tmpl w:val="0E0E793A"/>
    <w:lvl w:ilvl="0" w:tplc="F0429650">
      <w:start w:val="100"/>
      <w:numFmt w:val="bullet"/>
      <w:lvlText w:val=""/>
      <w:lvlJc w:val="left"/>
      <w:pPr>
        <w:ind w:left="720" w:hanging="360"/>
      </w:pPr>
      <w:rPr>
        <w:rFonts w:ascii="Symbol" w:eastAsia="Calibri" w:hAnsi="Symbol"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B56C15"/>
    <w:multiLevelType w:val="hybridMultilevel"/>
    <w:tmpl w:val="7964873A"/>
    <w:lvl w:ilvl="0" w:tplc="3732E5DC">
      <w:numFmt w:val="bullet"/>
      <w:lvlText w:val="-"/>
      <w:lvlJc w:val="left"/>
      <w:pPr>
        <w:ind w:left="720" w:hanging="360"/>
      </w:pPr>
      <w:rPr>
        <w:rFonts w:ascii="Arial" w:eastAsia="Times New Roman"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2">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7">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8">
    <w:nsid w:val="7C604330"/>
    <w:multiLevelType w:val="hybridMultilevel"/>
    <w:tmpl w:val="B92A1A6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FAB1FF9"/>
    <w:multiLevelType w:val="hybridMultilevel"/>
    <w:tmpl w:val="25AA5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2"/>
  </w:num>
  <w:num w:numId="12">
    <w:abstractNumId w:val="22"/>
  </w:num>
  <w:num w:numId="13">
    <w:abstractNumId w:val="35"/>
  </w:num>
  <w:num w:numId="14">
    <w:abstractNumId w:val="26"/>
  </w:num>
  <w:num w:numId="15">
    <w:abstractNumId w:val="21"/>
  </w:num>
  <w:num w:numId="16">
    <w:abstractNumId w:val="15"/>
  </w:num>
  <w:num w:numId="17">
    <w:abstractNumId w:val="36"/>
  </w:num>
  <w:num w:numId="18">
    <w:abstractNumId w:val="12"/>
  </w:num>
  <w:num w:numId="19">
    <w:abstractNumId w:val="17"/>
  </w:num>
  <w:num w:numId="20">
    <w:abstractNumId w:val="37"/>
  </w:num>
  <w:num w:numId="21">
    <w:abstractNumId w:val="11"/>
  </w:num>
  <w:num w:numId="22">
    <w:abstractNumId w:val="29"/>
  </w:num>
  <w:num w:numId="23">
    <w:abstractNumId w:val="33"/>
  </w:num>
  <w:num w:numId="24">
    <w:abstractNumId w:val="19"/>
  </w:num>
  <w:num w:numId="25">
    <w:abstractNumId w:val="18"/>
  </w:num>
  <w:num w:numId="26">
    <w:abstractNumId w:val="31"/>
  </w:num>
  <w:num w:numId="27">
    <w:abstractNumId w:val="10"/>
  </w:num>
  <w:num w:numId="28">
    <w:abstractNumId w:val="20"/>
  </w:num>
  <w:num w:numId="29">
    <w:abstractNumId w:val="34"/>
  </w:num>
  <w:num w:numId="30">
    <w:abstractNumId w:val="23"/>
  </w:num>
  <w:num w:numId="31">
    <w:abstractNumId w:val="24"/>
  </w:num>
  <w:num w:numId="32">
    <w:abstractNumId w:val="38"/>
  </w:num>
  <w:num w:numId="33">
    <w:abstractNumId w:val="27"/>
  </w:num>
  <w:num w:numId="34">
    <w:abstractNumId w:val="28"/>
  </w:num>
  <w:num w:numId="35">
    <w:abstractNumId w:val="39"/>
  </w:num>
  <w:num w:numId="36">
    <w:abstractNumId w:val="25"/>
  </w:num>
  <w:num w:numId="37">
    <w:abstractNumId w:val="30"/>
  </w:num>
  <w:num w:numId="38">
    <w:abstractNumId w:val="16"/>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74"/>
    <w:rsid w:val="0000104A"/>
    <w:rsid w:val="00024A9E"/>
    <w:rsid w:val="000327D2"/>
    <w:rsid w:val="0003333C"/>
    <w:rsid w:val="00036E81"/>
    <w:rsid w:val="00041F6B"/>
    <w:rsid w:val="0004319E"/>
    <w:rsid w:val="0004570B"/>
    <w:rsid w:val="00047C35"/>
    <w:rsid w:val="00051F2C"/>
    <w:rsid w:val="00053EEF"/>
    <w:rsid w:val="00062C1B"/>
    <w:rsid w:val="00064AC6"/>
    <w:rsid w:val="00071BE3"/>
    <w:rsid w:val="0008299D"/>
    <w:rsid w:val="00082FA7"/>
    <w:rsid w:val="000869C2"/>
    <w:rsid w:val="00090275"/>
    <w:rsid w:val="00096E84"/>
    <w:rsid w:val="00097598"/>
    <w:rsid w:val="000A1DA9"/>
    <w:rsid w:val="000A50B9"/>
    <w:rsid w:val="000B6441"/>
    <w:rsid w:val="000C35AA"/>
    <w:rsid w:val="000C37AB"/>
    <w:rsid w:val="000D10C0"/>
    <w:rsid w:val="000D3F17"/>
    <w:rsid w:val="000D405E"/>
    <w:rsid w:val="000E0090"/>
    <w:rsid w:val="000E2A68"/>
    <w:rsid w:val="000F1EB6"/>
    <w:rsid w:val="000F7268"/>
    <w:rsid w:val="000F7C34"/>
    <w:rsid w:val="001126F5"/>
    <w:rsid w:val="001131EC"/>
    <w:rsid w:val="00113486"/>
    <w:rsid w:val="00114821"/>
    <w:rsid w:val="00117F31"/>
    <w:rsid w:val="00124312"/>
    <w:rsid w:val="00124AA8"/>
    <w:rsid w:val="00133D4B"/>
    <w:rsid w:val="00145EF1"/>
    <w:rsid w:val="00147933"/>
    <w:rsid w:val="0014795B"/>
    <w:rsid w:val="001516F5"/>
    <w:rsid w:val="00152B94"/>
    <w:rsid w:val="0015337A"/>
    <w:rsid w:val="00154310"/>
    <w:rsid w:val="001548A9"/>
    <w:rsid w:val="00155349"/>
    <w:rsid w:val="00160D31"/>
    <w:rsid w:val="00167ACD"/>
    <w:rsid w:val="00172DAF"/>
    <w:rsid w:val="00175376"/>
    <w:rsid w:val="00175ADE"/>
    <w:rsid w:val="001763C2"/>
    <w:rsid w:val="001767CB"/>
    <w:rsid w:val="0018615D"/>
    <w:rsid w:val="00186EC7"/>
    <w:rsid w:val="0019158E"/>
    <w:rsid w:val="00197FEB"/>
    <w:rsid w:val="001A1D68"/>
    <w:rsid w:val="001A7DC7"/>
    <w:rsid w:val="001B4EEE"/>
    <w:rsid w:val="001B7F21"/>
    <w:rsid w:val="001D503F"/>
    <w:rsid w:val="001E2E31"/>
    <w:rsid w:val="001F1805"/>
    <w:rsid w:val="001F711D"/>
    <w:rsid w:val="00200D79"/>
    <w:rsid w:val="00202B0B"/>
    <w:rsid w:val="00204BE8"/>
    <w:rsid w:val="00212720"/>
    <w:rsid w:val="00215E02"/>
    <w:rsid w:val="00221231"/>
    <w:rsid w:val="00222E29"/>
    <w:rsid w:val="00223911"/>
    <w:rsid w:val="0022511B"/>
    <w:rsid w:val="002307B0"/>
    <w:rsid w:val="00231694"/>
    <w:rsid w:val="002333AF"/>
    <w:rsid w:val="00233828"/>
    <w:rsid w:val="002406B2"/>
    <w:rsid w:val="002477FA"/>
    <w:rsid w:val="002512CE"/>
    <w:rsid w:val="002554D2"/>
    <w:rsid w:val="00261D63"/>
    <w:rsid w:val="00264E51"/>
    <w:rsid w:val="002754A4"/>
    <w:rsid w:val="00275C1C"/>
    <w:rsid w:val="00276804"/>
    <w:rsid w:val="00277EDB"/>
    <w:rsid w:val="002859A3"/>
    <w:rsid w:val="00287538"/>
    <w:rsid w:val="0028790D"/>
    <w:rsid w:val="002A27F4"/>
    <w:rsid w:val="002B4AB2"/>
    <w:rsid w:val="002B5743"/>
    <w:rsid w:val="002D5723"/>
    <w:rsid w:val="002D75B3"/>
    <w:rsid w:val="002E0240"/>
    <w:rsid w:val="002E0731"/>
    <w:rsid w:val="002E10A2"/>
    <w:rsid w:val="002E15B9"/>
    <w:rsid w:val="002E409B"/>
    <w:rsid w:val="002E5144"/>
    <w:rsid w:val="002F1611"/>
    <w:rsid w:val="00302BE6"/>
    <w:rsid w:val="00306D32"/>
    <w:rsid w:val="003116AA"/>
    <w:rsid w:val="003135E6"/>
    <w:rsid w:val="00330A97"/>
    <w:rsid w:val="003364D4"/>
    <w:rsid w:val="00336912"/>
    <w:rsid w:val="003419C5"/>
    <w:rsid w:val="00352B22"/>
    <w:rsid w:val="00353178"/>
    <w:rsid w:val="00353E3D"/>
    <w:rsid w:val="00354956"/>
    <w:rsid w:val="00356EBB"/>
    <w:rsid w:val="003576E9"/>
    <w:rsid w:val="00362513"/>
    <w:rsid w:val="00365065"/>
    <w:rsid w:val="00365FFE"/>
    <w:rsid w:val="00377371"/>
    <w:rsid w:val="003802EE"/>
    <w:rsid w:val="0038095A"/>
    <w:rsid w:val="0038121D"/>
    <w:rsid w:val="00381F4A"/>
    <w:rsid w:val="00383392"/>
    <w:rsid w:val="00387716"/>
    <w:rsid w:val="00395199"/>
    <w:rsid w:val="00395A49"/>
    <w:rsid w:val="00397DDA"/>
    <w:rsid w:val="003B1662"/>
    <w:rsid w:val="003B7866"/>
    <w:rsid w:val="003D7096"/>
    <w:rsid w:val="003D7E24"/>
    <w:rsid w:val="003E4928"/>
    <w:rsid w:val="003F2836"/>
    <w:rsid w:val="003F6680"/>
    <w:rsid w:val="003F792F"/>
    <w:rsid w:val="004003CC"/>
    <w:rsid w:val="004024CD"/>
    <w:rsid w:val="00407822"/>
    <w:rsid w:val="00412C56"/>
    <w:rsid w:val="00424B04"/>
    <w:rsid w:val="0042595A"/>
    <w:rsid w:val="004275C8"/>
    <w:rsid w:val="004449B7"/>
    <w:rsid w:val="00450949"/>
    <w:rsid w:val="00452DF4"/>
    <w:rsid w:val="004540E1"/>
    <w:rsid w:val="00454C65"/>
    <w:rsid w:val="00456DEB"/>
    <w:rsid w:val="004619EE"/>
    <w:rsid w:val="00464101"/>
    <w:rsid w:val="004679FA"/>
    <w:rsid w:val="00477F18"/>
    <w:rsid w:val="00480E25"/>
    <w:rsid w:val="00485F3C"/>
    <w:rsid w:val="00492080"/>
    <w:rsid w:val="004A477F"/>
    <w:rsid w:val="004A4C5C"/>
    <w:rsid w:val="004B400F"/>
    <w:rsid w:val="004B6D47"/>
    <w:rsid w:val="004C14FA"/>
    <w:rsid w:val="004C2424"/>
    <w:rsid w:val="004D12DD"/>
    <w:rsid w:val="004D5A36"/>
    <w:rsid w:val="004E136D"/>
    <w:rsid w:val="004F04DA"/>
    <w:rsid w:val="004F0F6B"/>
    <w:rsid w:val="004F41BA"/>
    <w:rsid w:val="005001AC"/>
    <w:rsid w:val="0050062C"/>
    <w:rsid w:val="005033DA"/>
    <w:rsid w:val="0050792E"/>
    <w:rsid w:val="0051268A"/>
    <w:rsid w:val="0054148D"/>
    <w:rsid w:val="00545DE4"/>
    <w:rsid w:val="00552963"/>
    <w:rsid w:val="0055306B"/>
    <w:rsid w:val="0055492B"/>
    <w:rsid w:val="00557A3F"/>
    <w:rsid w:val="0056043D"/>
    <w:rsid w:val="005616A3"/>
    <w:rsid w:val="00561A9A"/>
    <w:rsid w:val="00567693"/>
    <w:rsid w:val="00570616"/>
    <w:rsid w:val="00571A24"/>
    <w:rsid w:val="0058065B"/>
    <w:rsid w:val="00582D56"/>
    <w:rsid w:val="00592469"/>
    <w:rsid w:val="00592957"/>
    <w:rsid w:val="005932C7"/>
    <w:rsid w:val="0059396D"/>
    <w:rsid w:val="005A3DA7"/>
    <w:rsid w:val="005B4C1C"/>
    <w:rsid w:val="005C080D"/>
    <w:rsid w:val="005C1B25"/>
    <w:rsid w:val="005C3450"/>
    <w:rsid w:val="005C3F84"/>
    <w:rsid w:val="005C51E3"/>
    <w:rsid w:val="005D7110"/>
    <w:rsid w:val="005D7363"/>
    <w:rsid w:val="005E33F6"/>
    <w:rsid w:val="005E3D50"/>
    <w:rsid w:val="005E42EF"/>
    <w:rsid w:val="005F18B0"/>
    <w:rsid w:val="00601A91"/>
    <w:rsid w:val="00604A79"/>
    <w:rsid w:val="006107D5"/>
    <w:rsid w:val="00610B4E"/>
    <w:rsid w:val="00611E02"/>
    <w:rsid w:val="00627AF2"/>
    <w:rsid w:val="0063089E"/>
    <w:rsid w:val="006316A4"/>
    <w:rsid w:val="00631E3C"/>
    <w:rsid w:val="00634558"/>
    <w:rsid w:val="00635AD7"/>
    <w:rsid w:val="00635DCE"/>
    <w:rsid w:val="006372C7"/>
    <w:rsid w:val="006376E3"/>
    <w:rsid w:val="00640214"/>
    <w:rsid w:val="00640290"/>
    <w:rsid w:val="00643E09"/>
    <w:rsid w:val="00646A63"/>
    <w:rsid w:val="006506E6"/>
    <w:rsid w:val="00651843"/>
    <w:rsid w:val="00652F99"/>
    <w:rsid w:val="00653A88"/>
    <w:rsid w:val="006602F1"/>
    <w:rsid w:val="006626A0"/>
    <w:rsid w:val="00667481"/>
    <w:rsid w:val="006703F5"/>
    <w:rsid w:val="0067198D"/>
    <w:rsid w:val="006738D2"/>
    <w:rsid w:val="0068065A"/>
    <w:rsid w:val="00683802"/>
    <w:rsid w:val="0068679D"/>
    <w:rsid w:val="0069769C"/>
    <w:rsid w:val="00697F48"/>
    <w:rsid w:val="006A0A4D"/>
    <w:rsid w:val="006A3829"/>
    <w:rsid w:val="006A522B"/>
    <w:rsid w:val="006B6BFC"/>
    <w:rsid w:val="006D7274"/>
    <w:rsid w:val="006E7D13"/>
    <w:rsid w:val="00702DA6"/>
    <w:rsid w:val="00706B32"/>
    <w:rsid w:val="0071004E"/>
    <w:rsid w:val="00714070"/>
    <w:rsid w:val="007148AA"/>
    <w:rsid w:val="00730DDA"/>
    <w:rsid w:val="00733829"/>
    <w:rsid w:val="00733DE9"/>
    <w:rsid w:val="00741E9C"/>
    <w:rsid w:val="007459B1"/>
    <w:rsid w:val="00750B57"/>
    <w:rsid w:val="00752FC4"/>
    <w:rsid w:val="007638E0"/>
    <w:rsid w:val="007654E7"/>
    <w:rsid w:val="00766F4D"/>
    <w:rsid w:val="0077019B"/>
    <w:rsid w:val="00773E81"/>
    <w:rsid w:val="00785B6F"/>
    <w:rsid w:val="00787495"/>
    <w:rsid w:val="00787601"/>
    <w:rsid w:val="007966E6"/>
    <w:rsid w:val="00796920"/>
    <w:rsid w:val="00797BED"/>
    <w:rsid w:val="007A1C59"/>
    <w:rsid w:val="007A1F21"/>
    <w:rsid w:val="007A3EF3"/>
    <w:rsid w:val="007A552B"/>
    <w:rsid w:val="007A6D1E"/>
    <w:rsid w:val="007B25F7"/>
    <w:rsid w:val="007B3970"/>
    <w:rsid w:val="007B793B"/>
    <w:rsid w:val="007B7C31"/>
    <w:rsid w:val="007C6D45"/>
    <w:rsid w:val="007E0494"/>
    <w:rsid w:val="007E0667"/>
    <w:rsid w:val="007E551B"/>
    <w:rsid w:val="007E71C9"/>
    <w:rsid w:val="007E7D82"/>
    <w:rsid w:val="007F0A8C"/>
    <w:rsid w:val="007F462A"/>
    <w:rsid w:val="007F5AF5"/>
    <w:rsid w:val="007F78DB"/>
    <w:rsid w:val="0080113A"/>
    <w:rsid w:val="00804480"/>
    <w:rsid w:val="00805AFA"/>
    <w:rsid w:val="0081015C"/>
    <w:rsid w:val="00810196"/>
    <w:rsid w:val="008113ED"/>
    <w:rsid w:val="00814FBE"/>
    <w:rsid w:val="00821F74"/>
    <w:rsid w:val="00822375"/>
    <w:rsid w:val="00824A23"/>
    <w:rsid w:val="00836523"/>
    <w:rsid w:val="00836C05"/>
    <w:rsid w:val="008437C4"/>
    <w:rsid w:val="00843F67"/>
    <w:rsid w:val="00847145"/>
    <w:rsid w:val="008503E8"/>
    <w:rsid w:val="00867041"/>
    <w:rsid w:val="00873636"/>
    <w:rsid w:val="008837CF"/>
    <w:rsid w:val="00896CFE"/>
    <w:rsid w:val="008977A1"/>
    <w:rsid w:val="008B2231"/>
    <w:rsid w:val="008C4032"/>
    <w:rsid w:val="008E5948"/>
    <w:rsid w:val="008E6931"/>
    <w:rsid w:val="008F0D01"/>
    <w:rsid w:val="0090354E"/>
    <w:rsid w:val="0090398E"/>
    <w:rsid w:val="00905D03"/>
    <w:rsid w:val="00911996"/>
    <w:rsid w:val="00914031"/>
    <w:rsid w:val="00932175"/>
    <w:rsid w:val="00935B26"/>
    <w:rsid w:val="00937808"/>
    <w:rsid w:val="00940C81"/>
    <w:rsid w:val="00942B19"/>
    <w:rsid w:val="00942EE2"/>
    <w:rsid w:val="009466D6"/>
    <w:rsid w:val="00950C45"/>
    <w:rsid w:val="00953C79"/>
    <w:rsid w:val="00954143"/>
    <w:rsid w:val="009600D3"/>
    <w:rsid w:val="00960C10"/>
    <w:rsid w:val="00962D88"/>
    <w:rsid w:val="00972158"/>
    <w:rsid w:val="00974952"/>
    <w:rsid w:val="00982198"/>
    <w:rsid w:val="00983714"/>
    <w:rsid w:val="00985229"/>
    <w:rsid w:val="00987DEA"/>
    <w:rsid w:val="00991E7A"/>
    <w:rsid w:val="009939BE"/>
    <w:rsid w:val="00994BF4"/>
    <w:rsid w:val="009A0346"/>
    <w:rsid w:val="009A140C"/>
    <w:rsid w:val="009B132A"/>
    <w:rsid w:val="009B6FA0"/>
    <w:rsid w:val="009C0BC7"/>
    <w:rsid w:val="009C4FA5"/>
    <w:rsid w:val="009D10D0"/>
    <w:rsid w:val="009D1225"/>
    <w:rsid w:val="009D15BD"/>
    <w:rsid w:val="009D277D"/>
    <w:rsid w:val="009D3040"/>
    <w:rsid w:val="009D3082"/>
    <w:rsid w:val="009D5760"/>
    <w:rsid w:val="009D674B"/>
    <w:rsid w:val="009D784B"/>
    <w:rsid w:val="009E0394"/>
    <w:rsid w:val="009E2A0A"/>
    <w:rsid w:val="009E56DB"/>
    <w:rsid w:val="009E6F0A"/>
    <w:rsid w:val="009F2672"/>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83C"/>
    <w:rsid w:val="00A55A96"/>
    <w:rsid w:val="00A56340"/>
    <w:rsid w:val="00A605D0"/>
    <w:rsid w:val="00A621A5"/>
    <w:rsid w:val="00A62501"/>
    <w:rsid w:val="00A679F2"/>
    <w:rsid w:val="00A709E5"/>
    <w:rsid w:val="00A7250C"/>
    <w:rsid w:val="00A73D60"/>
    <w:rsid w:val="00A876D8"/>
    <w:rsid w:val="00A912F7"/>
    <w:rsid w:val="00A969FF"/>
    <w:rsid w:val="00A973C8"/>
    <w:rsid w:val="00A9746E"/>
    <w:rsid w:val="00AA074E"/>
    <w:rsid w:val="00AB4D11"/>
    <w:rsid w:val="00AB5B67"/>
    <w:rsid w:val="00AB5F38"/>
    <w:rsid w:val="00AB6BD9"/>
    <w:rsid w:val="00AC619F"/>
    <w:rsid w:val="00AD204D"/>
    <w:rsid w:val="00AD2641"/>
    <w:rsid w:val="00AD721B"/>
    <w:rsid w:val="00AD7BAB"/>
    <w:rsid w:val="00AE028E"/>
    <w:rsid w:val="00AE0FA5"/>
    <w:rsid w:val="00AF6805"/>
    <w:rsid w:val="00AF77D2"/>
    <w:rsid w:val="00B04933"/>
    <w:rsid w:val="00B11BB2"/>
    <w:rsid w:val="00B13C7C"/>
    <w:rsid w:val="00B144C0"/>
    <w:rsid w:val="00B31A69"/>
    <w:rsid w:val="00B338D7"/>
    <w:rsid w:val="00B34FEF"/>
    <w:rsid w:val="00B352D4"/>
    <w:rsid w:val="00B402AF"/>
    <w:rsid w:val="00B404A0"/>
    <w:rsid w:val="00B41942"/>
    <w:rsid w:val="00B44C6F"/>
    <w:rsid w:val="00B44D45"/>
    <w:rsid w:val="00B46BAE"/>
    <w:rsid w:val="00B46E16"/>
    <w:rsid w:val="00B52F2E"/>
    <w:rsid w:val="00B614D1"/>
    <w:rsid w:val="00B63B89"/>
    <w:rsid w:val="00B661C8"/>
    <w:rsid w:val="00B75A56"/>
    <w:rsid w:val="00B80CFD"/>
    <w:rsid w:val="00B908B1"/>
    <w:rsid w:val="00B92424"/>
    <w:rsid w:val="00B97B40"/>
    <w:rsid w:val="00BC15B8"/>
    <w:rsid w:val="00BC351F"/>
    <w:rsid w:val="00BD79C8"/>
    <w:rsid w:val="00BD7A38"/>
    <w:rsid w:val="00BE0CD8"/>
    <w:rsid w:val="00BE2631"/>
    <w:rsid w:val="00BE39FF"/>
    <w:rsid w:val="00BF2391"/>
    <w:rsid w:val="00BF29ED"/>
    <w:rsid w:val="00BF5C8A"/>
    <w:rsid w:val="00C0402A"/>
    <w:rsid w:val="00C0490F"/>
    <w:rsid w:val="00C079B3"/>
    <w:rsid w:val="00C07EB1"/>
    <w:rsid w:val="00C220E1"/>
    <w:rsid w:val="00C24707"/>
    <w:rsid w:val="00C33CD7"/>
    <w:rsid w:val="00C34E1C"/>
    <w:rsid w:val="00C3632A"/>
    <w:rsid w:val="00C474DC"/>
    <w:rsid w:val="00C47857"/>
    <w:rsid w:val="00C5387A"/>
    <w:rsid w:val="00C55918"/>
    <w:rsid w:val="00C563FE"/>
    <w:rsid w:val="00C567AC"/>
    <w:rsid w:val="00C60283"/>
    <w:rsid w:val="00C61050"/>
    <w:rsid w:val="00C634C5"/>
    <w:rsid w:val="00C63581"/>
    <w:rsid w:val="00C637F0"/>
    <w:rsid w:val="00C641E4"/>
    <w:rsid w:val="00C66480"/>
    <w:rsid w:val="00C678E7"/>
    <w:rsid w:val="00C67931"/>
    <w:rsid w:val="00C753E9"/>
    <w:rsid w:val="00C81B69"/>
    <w:rsid w:val="00C84EA1"/>
    <w:rsid w:val="00C90176"/>
    <w:rsid w:val="00C9043A"/>
    <w:rsid w:val="00C92967"/>
    <w:rsid w:val="00C94B35"/>
    <w:rsid w:val="00C94EC8"/>
    <w:rsid w:val="00C961A9"/>
    <w:rsid w:val="00CA5A74"/>
    <w:rsid w:val="00CB0B88"/>
    <w:rsid w:val="00CB2202"/>
    <w:rsid w:val="00CB30C8"/>
    <w:rsid w:val="00CB4A52"/>
    <w:rsid w:val="00CC0365"/>
    <w:rsid w:val="00CC4296"/>
    <w:rsid w:val="00CC6550"/>
    <w:rsid w:val="00CE4899"/>
    <w:rsid w:val="00CE5D84"/>
    <w:rsid w:val="00CF6318"/>
    <w:rsid w:val="00CF63B4"/>
    <w:rsid w:val="00D00492"/>
    <w:rsid w:val="00D05113"/>
    <w:rsid w:val="00D0540B"/>
    <w:rsid w:val="00D06A39"/>
    <w:rsid w:val="00D231CE"/>
    <w:rsid w:val="00D25CC0"/>
    <w:rsid w:val="00D2603A"/>
    <w:rsid w:val="00D2703D"/>
    <w:rsid w:val="00D31CD3"/>
    <w:rsid w:val="00D32B1A"/>
    <w:rsid w:val="00D346B5"/>
    <w:rsid w:val="00D36C5D"/>
    <w:rsid w:val="00D423C7"/>
    <w:rsid w:val="00D527DE"/>
    <w:rsid w:val="00D556C0"/>
    <w:rsid w:val="00D62D9B"/>
    <w:rsid w:val="00D63DA6"/>
    <w:rsid w:val="00D650B1"/>
    <w:rsid w:val="00D718C9"/>
    <w:rsid w:val="00D7584A"/>
    <w:rsid w:val="00D75B6C"/>
    <w:rsid w:val="00D76923"/>
    <w:rsid w:val="00D82C98"/>
    <w:rsid w:val="00D84F45"/>
    <w:rsid w:val="00D850C8"/>
    <w:rsid w:val="00D86787"/>
    <w:rsid w:val="00DB31C8"/>
    <w:rsid w:val="00DC0B0F"/>
    <w:rsid w:val="00DC1B28"/>
    <w:rsid w:val="00DC3DB5"/>
    <w:rsid w:val="00DC727C"/>
    <w:rsid w:val="00DD1D39"/>
    <w:rsid w:val="00DD2826"/>
    <w:rsid w:val="00DF09B5"/>
    <w:rsid w:val="00DF3970"/>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6D82"/>
    <w:rsid w:val="00E471A8"/>
    <w:rsid w:val="00E65C86"/>
    <w:rsid w:val="00E66CEF"/>
    <w:rsid w:val="00E73749"/>
    <w:rsid w:val="00E759E4"/>
    <w:rsid w:val="00E77B8A"/>
    <w:rsid w:val="00E829D6"/>
    <w:rsid w:val="00E84305"/>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2264"/>
    <w:rsid w:val="00EE3C1C"/>
    <w:rsid w:val="00EE4966"/>
    <w:rsid w:val="00EE5676"/>
    <w:rsid w:val="00EF0101"/>
    <w:rsid w:val="00F01DE1"/>
    <w:rsid w:val="00F063BF"/>
    <w:rsid w:val="00F120C3"/>
    <w:rsid w:val="00F21513"/>
    <w:rsid w:val="00F24DB0"/>
    <w:rsid w:val="00F264D8"/>
    <w:rsid w:val="00F31133"/>
    <w:rsid w:val="00F32E26"/>
    <w:rsid w:val="00F35F9D"/>
    <w:rsid w:val="00F55AC8"/>
    <w:rsid w:val="00F57B63"/>
    <w:rsid w:val="00F62B97"/>
    <w:rsid w:val="00F63335"/>
    <w:rsid w:val="00F64E38"/>
    <w:rsid w:val="00F65486"/>
    <w:rsid w:val="00F70E39"/>
    <w:rsid w:val="00F747FC"/>
    <w:rsid w:val="00F76523"/>
    <w:rsid w:val="00F8549F"/>
    <w:rsid w:val="00F917ED"/>
    <w:rsid w:val="00FA14B8"/>
    <w:rsid w:val="00FA56DE"/>
    <w:rsid w:val="00FB5899"/>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2B4AB2"/>
    <w:pPr>
      <w:ind w:left="720"/>
      <w:contextualSpacing/>
    </w:pPr>
  </w:style>
  <w:style w:type="character" w:styleId="CommentReference">
    <w:name w:val="annotation reference"/>
    <w:basedOn w:val="DefaultParagraphFont"/>
    <w:rsid w:val="002B4AB2"/>
    <w:rPr>
      <w:sz w:val="16"/>
      <w:szCs w:val="16"/>
    </w:rPr>
  </w:style>
  <w:style w:type="paragraph" w:styleId="CommentText">
    <w:name w:val="annotation text"/>
    <w:basedOn w:val="Normal"/>
    <w:link w:val="CommentTextChar"/>
    <w:rsid w:val="002B4AB2"/>
    <w:pPr>
      <w:spacing w:line="240" w:lineRule="auto"/>
    </w:pPr>
  </w:style>
  <w:style w:type="character" w:customStyle="1" w:styleId="CommentTextChar">
    <w:name w:val="Comment Text Char"/>
    <w:basedOn w:val="DefaultParagraphFont"/>
    <w:link w:val="CommentText"/>
    <w:rsid w:val="002B4AB2"/>
    <w:rPr>
      <w:rFonts w:ascii="Arial" w:hAnsi="Arial"/>
      <w:lang w:val="en-GB" w:eastAsia="en-US"/>
    </w:rPr>
  </w:style>
  <w:style w:type="paragraph" w:styleId="CommentSubject">
    <w:name w:val="annotation subject"/>
    <w:basedOn w:val="CommentText"/>
    <w:next w:val="CommentText"/>
    <w:link w:val="CommentSubjectChar"/>
    <w:rsid w:val="002B4AB2"/>
    <w:rPr>
      <w:b/>
      <w:bCs/>
    </w:rPr>
  </w:style>
  <w:style w:type="character" w:customStyle="1" w:styleId="CommentSubjectChar">
    <w:name w:val="Comment Subject Char"/>
    <w:basedOn w:val="CommentTextChar"/>
    <w:link w:val="CommentSubject"/>
    <w:rsid w:val="002B4AB2"/>
    <w:rPr>
      <w:rFonts w:ascii="Arial" w:hAnsi="Arial"/>
      <w:b/>
      <w:bCs/>
      <w:lang w:val="en-GB" w:eastAsia="en-US"/>
    </w:rPr>
  </w:style>
  <w:style w:type="character" w:customStyle="1" w:styleId="FootnoteTextChar">
    <w:name w:val="Footnote Text Char"/>
    <w:basedOn w:val="DefaultParagraphFont"/>
    <w:link w:val="FootnoteText"/>
    <w:semiHidden/>
    <w:rsid w:val="00AD2641"/>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2B4AB2"/>
    <w:pPr>
      <w:ind w:left="720"/>
      <w:contextualSpacing/>
    </w:pPr>
  </w:style>
  <w:style w:type="character" w:styleId="CommentReference">
    <w:name w:val="annotation reference"/>
    <w:basedOn w:val="DefaultParagraphFont"/>
    <w:rsid w:val="002B4AB2"/>
    <w:rPr>
      <w:sz w:val="16"/>
      <w:szCs w:val="16"/>
    </w:rPr>
  </w:style>
  <w:style w:type="paragraph" w:styleId="CommentText">
    <w:name w:val="annotation text"/>
    <w:basedOn w:val="Normal"/>
    <w:link w:val="CommentTextChar"/>
    <w:rsid w:val="002B4AB2"/>
    <w:pPr>
      <w:spacing w:line="240" w:lineRule="auto"/>
    </w:pPr>
  </w:style>
  <w:style w:type="character" w:customStyle="1" w:styleId="CommentTextChar">
    <w:name w:val="Comment Text Char"/>
    <w:basedOn w:val="DefaultParagraphFont"/>
    <w:link w:val="CommentText"/>
    <w:rsid w:val="002B4AB2"/>
    <w:rPr>
      <w:rFonts w:ascii="Arial" w:hAnsi="Arial"/>
      <w:lang w:val="en-GB" w:eastAsia="en-US"/>
    </w:rPr>
  </w:style>
  <w:style w:type="paragraph" w:styleId="CommentSubject">
    <w:name w:val="annotation subject"/>
    <w:basedOn w:val="CommentText"/>
    <w:next w:val="CommentText"/>
    <w:link w:val="CommentSubjectChar"/>
    <w:rsid w:val="002B4AB2"/>
    <w:rPr>
      <w:b/>
      <w:bCs/>
    </w:rPr>
  </w:style>
  <w:style w:type="character" w:customStyle="1" w:styleId="CommentSubjectChar">
    <w:name w:val="Comment Subject Char"/>
    <w:basedOn w:val="CommentTextChar"/>
    <w:link w:val="CommentSubject"/>
    <w:rsid w:val="002B4AB2"/>
    <w:rPr>
      <w:rFonts w:ascii="Arial" w:hAnsi="Arial"/>
      <w:b/>
      <w:bCs/>
      <w:lang w:val="en-GB" w:eastAsia="en-US"/>
    </w:rPr>
  </w:style>
  <w:style w:type="character" w:customStyle="1" w:styleId="FootnoteTextChar">
    <w:name w:val="Footnote Text Char"/>
    <w:basedOn w:val="DefaultParagraphFont"/>
    <w:link w:val="FootnoteText"/>
    <w:semiHidden/>
    <w:rsid w:val="00AD264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7213">
      <w:bodyDiv w:val="1"/>
      <w:marLeft w:val="0"/>
      <w:marRight w:val="0"/>
      <w:marTop w:val="0"/>
      <w:marBottom w:val="0"/>
      <w:divBdr>
        <w:top w:val="none" w:sz="0" w:space="0" w:color="auto"/>
        <w:left w:val="none" w:sz="0" w:space="0" w:color="auto"/>
        <w:bottom w:val="none" w:sz="0" w:space="0" w:color="auto"/>
        <w:right w:val="none" w:sz="0" w:space="0" w:color="auto"/>
      </w:divBdr>
    </w:div>
    <w:div w:id="262424238">
      <w:bodyDiv w:val="1"/>
      <w:marLeft w:val="0"/>
      <w:marRight w:val="0"/>
      <w:marTop w:val="0"/>
      <w:marBottom w:val="0"/>
      <w:divBdr>
        <w:top w:val="none" w:sz="0" w:space="0" w:color="auto"/>
        <w:left w:val="none" w:sz="0" w:space="0" w:color="auto"/>
        <w:bottom w:val="none" w:sz="0" w:space="0" w:color="auto"/>
        <w:right w:val="none" w:sz="0" w:space="0" w:color="auto"/>
      </w:divBdr>
    </w:div>
    <w:div w:id="390006361">
      <w:bodyDiv w:val="1"/>
      <w:marLeft w:val="0"/>
      <w:marRight w:val="0"/>
      <w:marTop w:val="0"/>
      <w:marBottom w:val="0"/>
      <w:divBdr>
        <w:top w:val="none" w:sz="0" w:space="0" w:color="auto"/>
        <w:left w:val="none" w:sz="0" w:space="0" w:color="auto"/>
        <w:bottom w:val="none" w:sz="0" w:space="0" w:color="auto"/>
        <w:right w:val="none" w:sz="0" w:space="0" w:color="auto"/>
      </w:divBdr>
    </w:div>
    <w:div w:id="766735991">
      <w:bodyDiv w:val="1"/>
      <w:marLeft w:val="0"/>
      <w:marRight w:val="0"/>
      <w:marTop w:val="0"/>
      <w:marBottom w:val="0"/>
      <w:divBdr>
        <w:top w:val="none" w:sz="0" w:space="0" w:color="auto"/>
        <w:left w:val="none" w:sz="0" w:space="0" w:color="auto"/>
        <w:bottom w:val="none" w:sz="0" w:space="0" w:color="auto"/>
        <w:right w:val="none" w:sz="0" w:space="0" w:color="auto"/>
      </w:divBdr>
    </w:div>
    <w:div w:id="1022317511">
      <w:bodyDiv w:val="1"/>
      <w:marLeft w:val="0"/>
      <w:marRight w:val="0"/>
      <w:marTop w:val="0"/>
      <w:marBottom w:val="0"/>
      <w:divBdr>
        <w:top w:val="none" w:sz="0" w:space="0" w:color="auto"/>
        <w:left w:val="none" w:sz="0" w:space="0" w:color="auto"/>
        <w:bottom w:val="none" w:sz="0" w:space="0" w:color="auto"/>
        <w:right w:val="none" w:sz="0" w:space="0" w:color="auto"/>
      </w:divBdr>
    </w:div>
    <w:div w:id="16138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72CC-7FCD-401F-BD7A-61CD8990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14</TotalTime>
  <Pages>5</Pages>
  <Words>1801</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Parmentier Patrick</cp:lastModifiedBy>
  <cp:revision>12</cp:revision>
  <cp:lastPrinted>2017-07-07T06:43:00Z</cp:lastPrinted>
  <dcterms:created xsi:type="dcterms:W3CDTF">2017-06-15T10:31:00Z</dcterms:created>
  <dcterms:modified xsi:type="dcterms:W3CDTF">2017-07-07T06:44:00Z</dcterms:modified>
</cp:coreProperties>
</file>