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113" w:type="dxa"/>
        <w:tblLayout w:type="fixed"/>
        <w:tblCellMar>
          <w:left w:w="113" w:type="dxa"/>
          <w:right w:w="0" w:type="dxa"/>
        </w:tblCellMar>
        <w:tblLook w:val="01E0" w:firstRow="1" w:lastRow="1" w:firstColumn="1" w:lastColumn="1" w:noHBand="0" w:noVBand="0"/>
      </w:tblPr>
      <w:tblGrid>
        <w:gridCol w:w="6067"/>
        <w:gridCol w:w="1644"/>
        <w:gridCol w:w="2212"/>
      </w:tblGrid>
      <w:tr w:rsidR="009D0367" w:rsidRPr="00FE349E" w14:paraId="32217A25" w14:textId="77777777" w:rsidTr="00F71C3B">
        <w:trPr>
          <w:cantSplit/>
          <w:trHeight w:hRule="exact" w:val="1077"/>
        </w:trPr>
        <w:tc>
          <w:tcPr>
            <w:tcW w:w="6067" w:type="dxa"/>
            <w:vAlign w:val="center"/>
          </w:tcPr>
          <w:p w14:paraId="32217A1F" w14:textId="77777777" w:rsidR="009D0367" w:rsidRPr="00FE349E" w:rsidRDefault="009D0367" w:rsidP="007B7965">
            <w:pPr>
              <w:pStyle w:val="AdresseAdres"/>
              <w:spacing w:before="300"/>
              <w:rPr>
                <w:noProof w:val="0"/>
                <w:lang w:val="nl-BE"/>
              </w:rPr>
            </w:pPr>
            <w:bookmarkStart w:id="0" w:name="_GoBack"/>
            <w:bookmarkEnd w:id="0"/>
            <w:r w:rsidRPr="00FE349E">
              <w:rPr>
                <w:noProof w:val="0"/>
                <w:lang w:val="nl-BE"/>
              </w:rPr>
              <w:t>de Berlaimontlaan 14 – BE-1000 Brussel</w:t>
            </w:r>
          </w:p>
          <w:p w14:paraId="32217A20" w14:textId="028D5F15" w:rsidR="009D0367" w:rsidRPr="00FE349E" w:rsidRDefault="009D0367" w:rsidP="00C67902">
            <w:pPr>
              <w:pStyle w:val="AdresseAdres"/>
              <w:rPr>
                <w:noProof w:val="0"/>
                <w:lang w:val="nl-BE"/>
              </w:rPr>
            </w:pPr>
            <w:r w:rsidRPr="00FE349E">
              <w:rPr>
                <w:noProof w:val="0"/>
                <w:lang w:val="nl-BE"/>
              </w:rPr>
              <w:t xml:space="preserve">tel. +32 2 221 </w:t>
            </w:r>
            <w:r w:rsidR="00A50A1F">
              <w:rPr>
                <w:noProof w:val="0"/>
                <w:lang w:val="nl-BE"/>
              </w:rPr>
              <w:t>24 33</w:t>
            </w:r>
            <w:r w:rsidRPr="00FE349E">
              <w:rPr>
                <w:noProof w:val="0"/>
                <w:lang w:val="nl-BE"/>
              </w:rPr>
              <w:t xml:space="preserve"> – fax + 32 2 221 </w:t>
            </w:r>
            <w:r w:rsidR="00A50A1F">
              <w:rPr>
                <w:noProof w:val="0"/>
                <w:lang w:val="nl-BE"/>
              </w:rPr>
              <w:t>31 04</w:t>
            </w:r>
          </w:p>
          <w:p w14:paraId="32217A21" w14:textId="77777777" w:rsidR="009D0367" w:rsidRPr="00FE349E" w:rsidRDefault="009D0367" w:rsidP="00C67902">
            <w:pPr>
              <w:pStyle w:val="AdresseAdres"/>
              <w:rPr>
                <w:noProof w:val="0"/>
                <w:lang w:val="nl-BE"/>
              </w:rPr>
            </w:pPr>
            <w:r w:rsidRPr="00FE349E">
              <w:rPr>
                <w:noProof w:val="0"/>
                <w:lang w:val="nl-BE"/>
              </w:rPr>
              <w:t>ondernemingsnummer: 0203.201.340</w:t>
            </w:r>
          </w:p>
          <w:p w14:paraId="32217A22" w14:textId="77777777" w:rsidR="009D0367" w:rsidRPr="002908E7" w:rsidRDefault="009D0367" w:rsidP="00C67902">
            <w:pPr>
              <w:pStyle w:val="AdresseAdres"/>
              <w:rPr>
                <w:noProof w:val="0"/>
                <w:lang w:val="fr-BE"/>
              </w:rPr>
            </w:pPr>
            <w:r w:rsidRPr="002908E7">
              <w:rPr>
                <w:noProof w:val="0"/>
                <w:lang w:val="fr-BE"/>
              </w:rPr>
              <w:t>RPR Brussel</w:t>
            </w:r>
          </w:p>
          <w:p w14:paraId="32217A23" w14:textId="77777777" w:rsidR="009D0367" w:rsidRPr="001D7934" w:rsidRDefault="009D0367" w:rsidP="009D0367">
            <w:pPr>
              <w:pStyle w:val="AdresseAdres"/>
              <w:rPr>
                <w:noProof w:val="0"/>
                <w:lang w:val="fr-BE"/>
              </w:rPr>
            </w:pPr>
            <w:r w:rsidRPr="001D7934">
              <w:rPr>
                <w:noProof w:val="0"/>
                <w:lang w:val="fr-BE"/>
              </w:rPr>
              <w:t>www.nbb.be</w:t>
            </w:r>
          </w:p>
        </w:tc>
        <w:tc>
          <w:tcPr>
            <w:tcW w:w="3856" w:type="dxa"/>
            <w:gridSpan w:val="2"/>
            <w:shd w:val="clear" w:color="auto" w:fill="auto"/>
            <w:vAlign w:val="center"/>
          </w:tcPr>
          <w:p w14:paraId="32217A24" w14:textId="77777777" w:rsidR="009D0367" w:rsidRPr="00FE349E" w:rsidRDefault="009D0367" w:rsidP="00682F2F">
            <w:pPr>
              <w:spacing w:line="260" w:lineRule="atLeast"/>
              <w:rPr>
                <w:sz w:val="16"/>
                <w:szCs w:val="16"/>
              </w:rPr>
            </w:pPr>
            <w:r w:rsidRPr="00FE349E">
              <w:rPr>
                <w:noProof/>
                <w:sz w:val="16"/>
                <w:szCs w:val="16"/>
                <w:lang w:eastAsia="nl-BE"/>
              </w:rPr>
              <w:drawing>
                <wp:inline distT="0" distB="0" distL="0" distR="0" wp14:anchorId="32217A90" wp14:editId="32217A91">
                  <wp:extent cx="2343150" cy="581025"/>
                  <wp:effectExtent l="19050" t="0" r="0" b="0"/>
                  <wp:docPr id="6" name="Picture 6" descr="BNB EU Bil N&amp;B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B EU Bil N&amp;B Pos"/>
                          <pic:cNvPicPr>
                            <a:picLocks noChangeAspect="1" noChangeArrowheads="1"/>
                          </pic:cNvPicPr>
                        </pic:nvPicPr>
                        <pic:blipFill>
                          <a:blip r:embed="rId12" cstate="print"/>
                          <a:srcRect/>
                          <a:stretch>
                            <a:fillRect/>
                          </a:stretch>
                        </pic:blipFill>
                        <pic:spPr bwMode="auto">
                          <a:xfrm>
                            <a:off x="0" y="0"/>
                            <a:ext cx="2343150" cy="581025"/>
                          </a:xfrm>
                          <a:prstGeom prst="rect">
                            <a:avLst/>
                          </a:prstGeom>
                          <a:noFill/>
                          <a:ln w="9525">
                            <a:noFill/>
                            <a:miter lim="800000"/>
                            <a:headEnd/>
                            <a:tailEnd/>
                          </a:ln>
                        </pic:spPr>
                      </pic:pic>
                    </a:graphicData>
                  </a:graphic>
                </wp:inline>
              </w:drawing>
            </w:r>
          </w:p>
        </w:tc>
      </w:tr>
      <w:tr w:rsidR="009D0367" w:rsidRPr="00FE349E" w14:paraId="32217A28" w14:textId="77777777" w:rsidTr="00F71C3B">
        <w:trPr>
          <w:cantSplit/>
          <w:trHeight w:hRule="exact" w:val="850"/>
        </w:trPr>
        <w:tc>
          <w:tcPr>
            <w:tcW w:w="6067" w:type="dxa"/>
            <w:shd w:val="clear" w:color="auto" w:fill="auto"/>
          </w:tcPr>
          <w:p w14:paraId="32217A26" w14:textId="77777777" w:rsidR="009D0367" w:rsidRPr="00FE349E" w:rsidRDefault="009D0367" w:rsidP="00682F2F">
            <w:pPr>
              <w:pStyle w:val="AdresseAdres"/>
              <w:tabs>
                <w:tab w:val="center" w:pos="4678"/>
                <w:tab w:val="right" w:pos="9356"/>
              </w:tabs>
              <w:spacing w:line="260" w:lineRule="atLeast"/>
              <w:rPr>
                <w:noProof w:val="0"/>
                <w:sz w:val="16"/>
                <w:lang w:val="nl-BE"/>
              </w:rPr>
            </w:pPr>
          </w:p>
        </w:tc>
        <w:tc>
          <w:tcPr>
            <w:tcW w:w="3856" w:type="dxa"/>
            <w:gridSpan w:val="2"/>
            <w:shd w:val="clear" w:color="auto" w:fill="auto"/>
            <w:vAlign w:val="bottom"/>
          </w:tcPr>
          <w:p w14:paraId="32217A27" w14:textId="77777777" w:rsidR="009D0367" w:rsidRPr="00FE349E" w:rsidRDefault="009D0367" w:rsidP="007B7965">
            <w:pPr>
              <w:pStyle w:val="TitreTitel"/>
              <w:keepLines/>
              <w:tabs>
                <w:tab w:val="left" w:pos="284"/>
                <w:tab w:val="right" w:leader="dot" w:pos="9639"/>
              </w:tabs>
              <w:spacing w:after="170"/>
              <w:ind w:left="397" w:right="567" w:hanging="397"/>
              <w:rPr>
                <w:noProof w:val="0"/>
                <w:lang w:val="nl-BE"/>
              </w:rPr>
            </w:pPr>
            <w:r w:rsidRPr="00FE349E">
              <w:rPr>
                <w:noProof w:val="0"/>
                <w:lang w:val="nl-BE"/>
              </w:rPr>
              <w:t>Circulaire</w:t>
            </w:r>
          </w:p>
        </w:tc>
      </w:tr>
      <w:tr w:rsidR="009D0367" w:rsidRPr="00FE349E" w14:paraId="32217A2B" w14:textId="77777777" w:rsidTr="00F71C3B">
        <w:trPr>
          <w:cantSplit/>
          <w:trHeight w:hRule="exact" w:val="794"/>
        </w:trPr>
        <w:tc>
          <w:tcPr>
            <w:tcW w:w="6067" w:type="dxa"/>
            <w:vMerge w:val="restart"/>
            <w:shd w:val="clear" w:color="auto" w:fill="auto"/>
          </w:tcPr>
          <w:p w14:paraId="32217A29" w14:textId="77777777" w:rsidR="009D0367" w:rsidRPr="00FE349E" w:rsidRDefault="009D0367" w:rsidP="00C67902">
            <w:pPr>
              <w:pStyle w:val="AdresseAdres"/>
              <w:rPr>
                <w:noProof w:val="0"/>
                <w:lang w:val="nl-BE"/>
              </w:rPr>
            </w:pPr>
          </w:p>
        </w:tc>
        <w:tc>
          <w:tcPr>
            <w:tcW w:w="3856" w:type="dxa"/>
            <w:gridSpan w:val="2"/>
          </w:tcPr>
          <w:p w14:paraId="32217A2A" w14:textId="4F42404B" w:rsidR="009D0367" w:rsidRPr="00FE349E" w:rsidRDefault="009D0367" w:rsidP="00682F2F">
            <w:pPr>
              <w:spacing w:line="260" w:lineRule="atLeast"/>
            </w:pPr>
            <w:r w:rsidRPr="00FE349E">
              <w:t xml:space="preserve">Brussel, </w:t>
            </w:r>
            <w:r w:rsidR="00A50A1F">
              <w:t>18 september</w:t>
            </w:r>
            <w:r w:rsidRPr="00FE349E">
              <w:t xml:space="preserve"> 2018</w:t>
            </w:r>
          </w:p>
        </w:tc>
      </w:tr>
      <w:tr w:rsidR="009D0367" w:rsidRPr="00FE349E" w14:paraId="32217A2F" w14:textId="77777777" w:rsidTr="00F71C3B">
        <w:trPr>
          <w:cantSplit/>
          <w:trHeight w:hRule="exact" w:val="198"/>
        </w:trPr>
        <w:tc>
          <w:tcPr>
            <w:tcW w:w="6067" w:type="dxa"/>
            <w:vMerge/>
          </w:tcPr>
          <w:p w14:paraId="32217A2C" w14:textId="77777777" w:rsidR="009D0367" w:rsidRPr="00FE349E" w:rsidRDefault="009D0367" w:rsidP="00682F2F">
            <w:pPr>
              <w:spacing w:line="260" w:lineRule="atLeast"/>
            </w:pPr>
          </w:p>
        </w:tc>
        <w:tc>
          <w:tcPr>
            <w:tcW w:w="1644" w:type="dxa"/>
            <w:vAlign w:val="center"/>
          </w:tcPr>
          <w:p w14:paraId="32217A2D" w14:textId="77777777" w:rsidR="009D0367" w:rsidRPr="00FE349E" w:rsidRDefault="009D0367" w:rsidP="00682F2F">
            <w:pPr>
              <w:pStyle w:val="BoiteVakje"/>
              <w:rPr>
                <w:lang w:val="nl-BE"/>
              </w:rPr>
            </w:pPr>
          </w:p>
        </w:tc>
        <w:tc>
          <w:tcPr>
            <w:tcW w:w="2212" w:type="dxa"/>
            <w:vAlign w:val="center"/>
          </w:tcPr>
          <w:p w14:paraId="32217A2E" w14:textId="77777777" w:rsidR="009D0367" w:rsidRPr="00FE349E" w:rsidRDefault="009D0367" w:rsidP="00682F2F">
            <w:pPr>
              <w:pStyle w:val="BoiteVakje"/>
              <w:rPr>
                <w:sz w:val="16"/>
                <w:szCs w:val="16"/>
                <w:lang w:val="nl-BE"/>
              </w:rPr>
            </w:pPr>
          </w:p>
        </w:tc>
      </w:tr>
      <w:tr w:rsidR="009D0367" w:rsidRPr="00FE349E" w14:paraId="32217A33" w14:textId="77777777" w:rsidTr="00F71C3B">
        <w:trPr>
          <w:cantSplit/>
          <w:trHeight w:hRule="exact" w:val="198"/>
        </w:trPr>
        <w:tc>
          <w:tcPr>
            <w:tcW w:w="6067" w:type="dxa"/>
            <w:vMerge/>
          </w:tcPr>
          <w:p w14:paraId="32217A30" w14:textId="77777777" w:rsidR="009D0367" w:rsidRPr="00FE349E" w:rsidRDefault="009D0367" w:rsidP="00682F2F">
            <w:pPr>
              <w:tabs>
                <w:tab w:val="left" w:pos="1276"/>
                <w:tab w:val="left" w:pos="2268"/>
              </w:tabs>
              <w:spacing w:line="260" w:lineRule="atLeast"/>
            </w:pPr>
          </w:p>
        </w:tc>
        <w:tc>
          <w:tcPr>
            <w:tcW w:w="1644" w:type="dxa"/>
            <w:vAlign w:val="center"/>
          </w:tcPr>
          <w:p w14:paraId="32217A31" w14:textId="77777777" w:rsidR="009D0367" w:rsidRPr="00FE349E" w:rsidRDefault="009D0367" w:rsidP="00682F2F">
            <w:pPr>
              <w:pStyle w:val="BoiteVakje"/>
              <w:rPr>
                <w:lang w:val="nl-BE"/>
              </w:rPr>
            </w:pPr>
            <w:r w:rsidRPr="00FE349E">
              <w:rPr>
                <w:lang w:val="nl-BE"/>
              </w:rPr>
              <w:t xml:space="preserve">Kenmerk: </w:t>
            </w:r>
            <w:r w:rsidRPr="00FE349E">
              <w:rPr>
                <w:vanish/>
                <w:color w:val="FF0000"/>
                <w:lang w:val="nl-BE"/>
              </w:rPr>
              <w:t>---------------&gt;</w:t>
            </w:r>
          </w:p>
        </w:tc>
        <w:tc>
          <w:tcPr>
            <w:tcW w:w="2212" w:type="dxa"/>
            <w:vAlign w:val="center"/>
          </w:tcPr>
          <w:p w14:paraId="32217A32" w14:textId="64F5117F" w:rsidR="009D0367" w:rsidRPr="00FE349E" w:rsidRDefault="009D0367" w:rsidP="00682F2F">
            <w:pPr>
              <w:pStyle w:val="BoitetexteVakjetekst"/>
              <w:rPr>
                <w:lang w:val="nl-BE"/>
              </w:rPr>
            </w:pPr>
            <w:r w:rsidRPr="00FE349E">
              <w:rPr>
                <w:lang w:val="nl-BE"/>
              </w:rPr>
              <w:t>NBB_2018</w:t>
            </w:r>
            <w:r w:rsidR="00A50A1F">
              <w:rPr>
                <w:lang w:val="nl-BE"/>
              </w:rPr>
              <w:t>_25</w:t>
            </w:r>
          </w:p>
        </w:tc>
      </w:tr>
      <w:tr w:rsidR="009D0367" w:rsidRPr="00FE349E" w14:paraId="32217A36" w14:textId="77777777" w:rsidTr="00F71C3B">
        <w:trPr>
          <w:cantSplit/>
          <w:trHeight w:hRule="exact" w:val="198"/>
        </w:trPr>
        <w:tc>
          <w:tcPr>
            <w:tcW w:w="6067" w:type="dxa"/>
            <w:vMerge/>
          </w:tcPr>
          <w:p w14:paraId="32217A34" w14:textId="77777777" w:rsidR="009D0367" w:rsidRPr="00FE349E" w:rsidRDefault="009D0367" w:rsidP="00682F2F">
            <w:pPr>
              <w:spacing w:line="260" w:lineRule="atLeast"/>
            </w:pPr>
          </w:p>
        </w:tc>
        <w:tc>
          <w:tcPr>
            <w:tcW w:w="3856" w:type="dxa"/>
            <w:gridSpan w:val="2"/>
            <w:vAlign w:val="center"/>
          </w:tcPr>
          <w:p w14:paraId="32217A35" w14:textId="77777777" w:rsidR="009D0367" w:rsidRPr="00FE349E" w:rsidRDefault="009D0367" w:rsidP="00682F2F">
            <w:pPr>
              <w:pStyle w:val="BoiteVakje"/>
              <w:rPr>
                <w:sz w:val="16"/>
                <w:szCs w:val="16"/>
                <w:lang w:val="nl-BE"/>
              </w:rPr>
            </w:pPr>
          </w:p>
        </w:tc>
      </w:tr>
      <w:tr w:rsidR="009D0367" w:rsidRPr="00FE349E" w14:paraId="32217A39" w14:textId="77777777" w:rsidTr="00F71C3B">
        <w:trPr>
          <w:cantSplit/>
          <w:trHeight w:hRule="exact" w:val="198"/>
        </w:trPr>
        <w:tc>
          <w:tcPr>
            <w:tcW w:w="6067" w:type="dxa"/>
            <w:vMerge w:val="restart"/>
          </w:tcPr>
          <w:p w14:paraId="32217A37" w14:textId="77777777" w:rsidR="009D0367" w:rsidRPr="00FE349E" w:rsidRDefault="009D0367" w:rsidP="00C67902">
            <w:pPr>
              <w:pStyle w:val="AdresseAdres"/>
              <w:rPr>
                <w:noProof w:val="0"/>
                <w:lang w:val="nl-BE"/>
              </w:rPr>
            </w:pPr>
          </w:p>
        </w:tc>
        <w:tc>
          <w:tcPr>
            <w:tcW w:w="3856" w:type="dxa"/>
            <w:gridSpan w:val="2"/>
            <w:vAlign w:val="center"/>
          </w:tcPr>
          <w:p w14:paraId="32217A38" w14:textId="15C7B498" w:rsidR="009D0367" w:rsidRPr="00FE349E" w:rsidRDefault="009D0367" w:rsidP="004E6FD5">
            <w:pPr>
              <w:pStyle w:val="BoiteVakje"/>
              <w:rPr>
                <w:lang w:val="nl-BE"/>
              </w:rPr>
            </w:pPr>
            <w:r w:rsidRPr="00FE349E">
              <w:rPr>
                <w:lang w:val="nl-BE"/>
              </w:rPr>
              <w:t>uw correspondent</w:t>
            </w:r>
            <w:r w:rsidR="00A50A1F">
              <w:rPr>
                <w:lang w:val="nl-BE"/>
              </w:rPr>
              <w:t>en</w:t>
            </w:r>
            <w:r w:rsidRPr="00FE349E">
              <w:rPr>
                <w:lang w:val="nl-BE"/>
              </w:rPr>
              <w:t xml:space="preserve">: </w:t>
            </w:r>
            <w:r w:rsidRPr="00FE349E">
              <w:rPr>
                <w:rFonts w:cs="Arial"/>
                <w:vanish/>
                <w:color w:val="FF0000"/>
                <w:lang w:val="nl-BE"/>
              </w:rPr>
              <w:t>plaats de naam hieronder</w:t>
            </w:r>
          </w:p>
        </w:tc>
      </w:tr>
      <w:tr w:rsidR="009D0367" w:rsidRPr="00FE349E" w14:paraId="32217A3C" w14:textId="77777777" w:rsidTr="00F71C3B">
        <w:trPr>
          <w:cantSplit/>
          <w:trHeight w:hRule="exact" w:val="57"/>
        </w:trPr>
        <w:tc>
          <w:tcPr>
            <w:tcW w:w="6067" w:type="dxa"/>
            <w:vMerge/>
          </w:tcPr>
          <w:p w14:paraId="32217A3A" w14:textId="77777777" w:rsidR="009D0367" w:rsidRPr="00FE349E" w:rsidRDefault="009D0367" w:rsidP="00682F2F">
            <w:pPr>
              <w:spacing w:line="260" w:lineRule="atLeast"/>
            </w:pPr>
          </w:p>
        </w:tc>
        <w:tc>
          <w:tcPr>
            <w:tcW w:w="3856" w:type="dxa"/>
            <w:gridSpan w:val="2"/>
            <w:vAlign w:val="center"/>
          </w:tcPr>
          <w:p w14:paraId="32217A3B" w14:textId="77777777" w:rsidR="009D0367" w:rsidRPr="00FE349E" w:rsidRDefault="009D0367" w:rsidP="00682F2F">
            <w:pPr>
              <w:pStyle w:val="BoiteVakje"/>
              <w:rPr>
                <w:lang w:val="nl-BE"/>
              </w:rPr>
            </w:pPr>
          </w:p>
        </w:tc>
      </w:tr>
      <w:tr w:rsidR="009D0367" w:rsidRPr="00FE349E" w14:paraId="32217A3F" w14:textId="77777777" w:rsidTr="00F71C3B">
        <w:trPr>
          <w:cantSplit/>
          <w:trHeight w:val="198"/>
        </w:trPr>
        <w:tc>
          <w:tcPr>
            <w:tcW w:w="6067" w:type="dxa"/>
            <w:vMerge/>
          </w:tcPr>
          <w:p w14:paraId="32217A3D" w14:textId="77777777" w:rsidR="009D0367" w:rsidRPr="00FE349E" w:rsidRDefault="009D0367" w:rsidP="00682F2F">
            <w:pPr>
              <w:spacing w:line="260" w:lineRule="atLeast"/>
            </w:pPr>
          </w:p>
        </w:tc>
        <w:tc>
          <w:tcPr>
            <w:tcW w:w="3856" w:type="dxa"/>
            <w:gridSpan w:val="2"/>
            <w:vAlign w:val="center"/>
          </w:tcPr>
          <w:p w14:paraId="32217A3E" w14:textId="421616E2" w:rsidR="009D0367" w:rsidRPr="00FE349E" w:rsidRDefault="00A50A1F" w:rsidP="00682F2F">
            <w:pPr>
              <w:pStyle w:val="BoiteVakje"/>
              <w:rPr>
                <w:lang w:val="nl-BE"/>
              </w:rPr>
            </w:pPr>
            <w:r>
              <w:t>Catherine Terrier / Nicolas Strypstein</w:t>
            </w:r>
          </w:p>
        </w:tc>
      </w:tr>
      <w:tr w:rsidR="009D0367" w:rsidRPr="00BB595F" w14:paraId="32217A42" w14:textId="77777777" w:rsidTr="00F71C3B">
        <w:trPr>
          <w:cantSplit/>
          <w:trHeight w:val="198"/>
        </w:trPr>
        <w:tc>
          <w:tcPr>
            <w:tcW w:w="6067" w:type="dxa"/>
            <w:vMerge/>
          </w:tcPr>
          <w:p w14:paraId="32217A40" w14:textId="77777777" w:rsidR="009D0367" w:rsidRPr="00FE349E" w:rsidRDefault="009D0367" w:rsidP="00682F2F">
            <w:pPr>
              <w:spacing w:line="260" w:lineRule="atLeast"/>
            </w:pPr>
          </w:p>
        </w:tc>
        <w:tc>
          <w:tcPr>
            <w:tcW w:w="3856" w:type="dxa"/>
            <w:gridSpan w:val="2"/>
            <w:vAlign w:val="center"/>
          </w:tcPr>
          <w:p w14:paraId="32217A41" w14:textId="78933AA6" w:rsidR="009D0367" w:rsidRPr="001D7934" w:rsidRDefault="00A50A1F" w:rsidP="00682F2F">
            <w:pPr>
              <w:pStyle w:val="BoiteVakje"/>
              <w:rPr>
                <w:lang w:val="en-US"/>
              </w:rPr>
            </w:pPr>
            <w:r>
              <w:t>tél. +32 2 221 45 32 / 44 74</w:t>
            </w:r>
          </w:p>
        </w:tc>
      </w:tr>
      <w:tr w:rsidR="00A50A1F" w:rsidRPr="002908E7" w14:paraId="32217A45" w14:textId="77777777" w:rsidTr="00F71C3B">
        <w:trPr>
          <w:cantSplit/>
          <w:trHeight w:val="198"/>
        </w:trPr>
        <w:tc>
          <w:tcPr>
            <w:tcW w:w="6067" w:type="dxa"/>
            <w:vMerge/>
          </w:tcPr>
          <w:p w14:paraId="32217A43" w14:textId="77777777" w:rsidR="00A50A1F" w:rsidRPr="001D7934" w:rsidRDefault="00A50A1F" w:rsidP="00A50A1F">
            <w:pPr>
              <w:pStyle w:val="SujetOnderwerp"/>
              <w:rPr>
                <w:b w:val="0"/>
                <w:noProof w:val="0"/>
                <w:sz w:val="16"/>
                <w:lang w:val="en-US"/>
              </w:rPr>
            </w:pPr>
          </w:p>
        </w:tc>
        <w:tc>
          <w:tcPr>
            <w:tcW w:w="3856" w:type="dxa"/>
            <w:gridSpan w:val="2"/>
            <w:vAlign w:val="center"/>
          </w:tcPr>
          <w:p w14:paraId="32217A44" w14:textId="62FCA0A9" w:rsidR="00A50A1F" w:rsidRPr="002908E7" w:rsidRDefault="00FB4626" w:rsidP="00A50A1F">
            <w:pPr>
              <w:pStyle w:val="BoiteVakje"/>
              <w:rPr>
                <w:b/>
                <w:lang w:val="en-US"/>
              </w:rPr>
            </w:pPr>
            <w:hyperlink r:id="rId13" w:history="1">
              <w:r w:rsidR="00A50A1F" w:rsidRPr="002908E7">
                <w:rPr>
                  <w:lang w:val="en-US"/>
                </w:rPr>
                <w:t>catherine.terrier@nbb.be</w:t>
              </w:r>
            </w:hyperlink>
            <w:r w:rsidR="00A50A1F" w:rsidRPr="002908E7">
              <w:rPr>
                <w:lang w:val="en-US"/>
              </w:rPr>
              <w:t xml:space="preserve"> / nicolas.strypstein@nbb.be </w:t>
            </w:r>
          </w:p>
        </w:tc>
      </w:tr>
      <w:tr w:rsidR="00A50A1F" w:rsidRPr="002908E7" w14:paraId="32217A47" w14:textId="77777777" w:rsidTr="00F71C3B">
        <w:trPr>
          <w:cantSplit/>
          <w:trHeight w:hRule="exact" w:val="1191"/>
        </w:trPr>
        <w:tc>
          <w:tcPr>
            <w:tcW w:w="9923" w:type="dxa"/>
            <w:gridSpan w:val="3"/>
            <w:tcMar>
              <w:top w:w="113" w:type="dxa"/>
            </w:tcMar>
            <w:vAlign w:val="bottom"/>
          </w:tcPr>
          <w:p w14:paraId="32217A46" w14:textId="77777777" w:rsidR="00A50A1F" w:rsidRPr="002908E7" w:rsidRDefault="00A50A1F" w:rsidP="00A50A1F">
            <w:pPr>
              <w:pStyle w:val="SujetOnderwerp"/>
              <w:rPr>
                <w:noProof w:val="0"/>
                <w:lang w:val="en-US"/>
              </w:rPr>
            </w:pPr>
          </w:p>
        </w:tc>
      </w:tr>
      <w:tr w:rsidR="00A50A1F" w:rsidRPr="00FE349E" w14:paraId="32217A49" w14:textId="77777777" w:rsidTr="00F71C3B">
        <w:trPr>
          <w:cantSplit/>
          <w:trHeight w:hRule="exact" w:val="566"/>
        </w:trPr>
        <w:tc>
          <w:tcPr>
            <w:tcW w:w="9923" w:type="dxa"/>
            <w:gridSpan w:val="3"/>
            <w:vAlign w:val="center"/>
          </w:tcPr>
          <w:p w14:paraId="32217A48" w14:textId="77777777" w:rsidR="00A50A1F" w:rsidRPr="00EB577B" w:rsidRDefault="00A50A1F" w:rsidP="00A50A1F">
            <w:pPr>
              <w:spacing w:line="260" w:lineRule="atLeast"/>
              <w:jc w:val="both"/>
              <w:rPr>
                <w:b/>
              </w:rPr>
            </w:pPr>
            <w:r w:rsidRPr="00EB577B">
              <w:rPr>
                <w:b/>
              </w:rPr>
              <w:t>Geschiktheid van bestuurders, leden van het directiecomité, verantwoordelijken van onafhankelijke controlefuncties en effectieve leiders van financiële instellingen</w:t>
            </w:r>
          </w:p>
        </w:tc>
      </w:tr>
    </w:tbl>
    <w:p w14:paraId="32217A4A" w14:textId="77777777" w:rsidR="009D0367" w:rsidRPr="00FE349E" w:rsidRDefault="009D0367" w:rsidP="00682F2F"/>
    <w:p w14:paraId="32217A4B" w14:textId="77777777" w:rsidR="009D0367" w:rsidRPr="00A50A1F" w:rsidRDefault="009D0367" w:rsidP="00682F2F">
      <w:pPr>
        <w:pStyle w:val="Sous-titreOndertitel"/>
      </w:pPr>
      <w:r w:rsidRPr="00A50A1F">
        <w:t>Toepassingsveld</w:t>
      </w:r>
    </w:p>
    <w:p w14:paraId="7BF043B9" w14:textId="0B24C3E8" w:rsidR="00F449D1" w:rsidRPr="00A50A1F" w:rsidRDefault="00F449D1" w:rsidP="00F449D1">
      <w:pPr>
        <w:pStyle w:val="ListParagraph"/>
        <w:numPr>
          <w:ilvl w:val="0"/>
          <w:numId w:val="37"/>
        </w:numPr>
        <w:jc w:val="both"/>
        <w:rPr>
          <w:i/>
          <w:sz w:val="22"/>
          <w:szCs w:val="22"/>
        </w:rPr>
      </w:pPr>
      <w:r w:rsidRPr="00A50A1F">
        <w:rPr>
          <w:i/>
          <w:sz w:val="22"/>
          <w:szCs w:val="22"/>
        </w:rPr>
        <w:t xml:space="preserve">kredietinstellingen, beursvennootschappen, betalingsinstellingen en instellingen voor elektronisch geld naar Belgisch recht, en de bijkantoren van voornoemde instellingen in het buitenland, </w:t>
      </w:r>
    </w:p>
    <w:p w14:paraId="4B62F86F" w14:textId="77777777" w:rsidR="00F449D1" w:rsidRPr="00A50A1F" w:rsidRDefault="00F449D1" w:rsidP="00F449D1">
      <w:pPr>
        <w:pStyle w:val="ListParagraph"/>
        <w:numPr>
          <w:ilvl w:val="0"/>
          <w:numId w:val="37"/>
        </w:numPr>
        <w:jc w:val="both"/>
        <w:rPr>
          <w:i/>
          <w:sz w:val="22"/>
          <w:szCs w:val="22"/>
        </w:rPr>
      </w:pPr>
      <w:r w:rsidRPr="00A50A1F">
        <w:rPr>
          <w:i/>
          <w:sz w:val="22"/>
          <w:szCs w:val="22"/>
        </w:rPr>
        <w:t xml:space="preserve">in België gevestigde bijkantoren van kredietinstellingen, beursvennootschappen, betalingsinstellingen en instellingen voor elektronisch geld die geen lid zijn van de Europese Economische Ruimte, </w:t>
      </w:r>
    </w:p>
    <w:p w14:paraId="2EE18747" w14:textId="77777777" w:rsidR="00F449D1" w:rsidRPr="00A50A1F" w:rsidRDefault="00F449D1" w:rsidP="00F449D1">
      <w:pPr>
        <w:pStyle w:val="ListParagraph"/>
        <w:numPr>
          <w:ilvl w:val="0"/>
          <w:numId w:val="37"/>
        </w:numPr>
        <w:jc w:val="both"/>
        <w:rPr>
          <w:i/>
          <w:sz w:val="22"/>
          <w:szCs w:val="22"/>
        </w:rPr>
      </w:pPr>
      <w:r w:rsidRPr="00A50A1F">
        <w:rPr>
          <w:i/>
          <w:sz w:val="22"/>
          <w:szCs w:val="22"/>
        </w:rPr>
        <w:t>vereffeningsinstellingen en met vereffeningsinstellingen gelijkgestelde instellingen naar Belgisch recht en de bijkantoren van voornoemde instellingen in het buitenland,</w:t>
      </w:r>
    </w:p>
    <w:p w14:paraId="1D0F772D" w14:textId="77777777" w:rsidR="00F449D1" w:rsidRPr="00A50A1F" w:rsidRDefault="00F449D1" w:rsidP="00F449D1">
      <w:pPr>
        <w:pStyle w:val="ListParagraph"/>
        <w:numPr>
          <w:ilvl w:val="0"/>
          <w:numId w:val="37"/>
        </w:numPr>
        <w:jc w:val="both"/>
        <w:rPr>
          <w:rFonts w:cs="Arial"/>
          <w:i/>
          <w:sz w:val="22"/>
          <w:szCs w:val="22"/>
        </w:rPr>
      </w:pPr>
      <w:r w:rsidRPr="00A50A1F">
        <w:rPr>
          <w:rFonts w:cs="Arial"/>
          <w:i/>
          <w:sz w:val="22"/>
          <w:szCs w:val="22"/>
        </w:rPr>
        <w:t>centrale effectenbewaarinstellingen, hun ondersteuning verlenende instellingen en depositobanken naar Belgisch recht, en de bijkantoren van voornoemde instellingen in het buitenland,</w:t>
      </w:r>
    </w:p>
    <w:p w14:paraId="755BBEA7" w14:textId="77777777" w:rsidR="00F449D1" w:rsidRPr="00A50A1F" w:rsidRDefault="00F449D1" w:rsidP="00F449D1">
      <w:pPr>
        <w:pStyle w:val="ListParagraph"/>
        <w:numPr>
          <w:ilvl w:val="0"/>
          <w:numId w:val="37"/>
        </w:numPr>
        <w:jc w:val="both"/>
        <w:rPr>
          <w:rFonts w:cs="Arial"/>
          <w:i/>
          <w:sz w:val="22"/>
          <w:szCs w:val="22"/>
        </w:rPr>
      </w:pPr>
      <w:r w:rsidRPr="00A50A1F">
        <w:rPr>
          <w:rFonts w:cs="Arial"/>
          <w:i/>
          <w:sz w:val="22"/>
          <w:szCs w:val="22"/>
        </w:rPr>
        <w:t>in België gevestigde bijkantoren van instellingen die ondersteuning verlenen aan centrale effectenbewaarinstellingen, depositobanken, vereffeningsinstellingen en met vereffeningsinstellingen gelijkgestelde instellingen, die geen lid zijn van de Europese Economische Ruimte,</w:t>
      </w:r>
    </w:p>
    <w:p w14:paraId="5BAE0D8B" w14:textId="68845309" w:rsidR="00F449D1" w:rsidRPr="00A50A1F" w:rsidRDefault="00F449D1" w:rsidP="00F449D1">
      <w:pPr>
        <w:pStyle w:val="ListParagraph"/>
        <w:numPr>
          <w:ilvl w:val="0"/>
          <w:numId w:val="37"/>
        </w:numPr>
        <w:jc w:val="both"/>
        <w:rPr>
          <w:i/>
          <w:sz w:val="22"/>
          <w:szCs w:val="22"/>
        </w:rPr>
      </w:pPr>
      <w:r w:rsidRPr="00A50A1F">
        <w:rPr>
          <w:i/>
          <w:sz w:val="22"/>
          <w:szCs w:val="22"/>
        </w:rPr>
        <w:t xml:space="preserve">(her)verzekeringsondernemingen en hun bijkantoren in het buitenland, alsook in België gevestigde bijkantoren van dergelijke ondernemingen die ressorteren onder staten die geen lid zijn van de Europese Economische Ruimte, </w:t>
      </w:r>
    </w:p>
    <w:p w14:paraId="3F4A7785" w14:textId="3B4EEE60" w:rsidR="00F449D1" w:rsidRPr="00A50A1F" w:rsidRDefault="00F449D1" w:rsidP="00F449D1">
      <w:pPr>
        <w:pStyle w:val="ListParagraph"/>
        <w:numPr>
          <w:ilvl w:val="0"/>
          <w:numId w:val="37"/>
        </w:numPr>
        <w:jc w:val="both"/>
        <w:rPr>
          <w:i/>
          <w:sz w:val="22"/>
          <w:szCs w:val="22"/>
        </w:rPr>
      </w:pPr>
      <w:r w:rsidRPr="00A50A1F">
        <w:rPr>
          <w:i/>
          <w:sz w:val="22"/>
          <w:szCs w:val="22"/>
        </w:rPr>
        <w:t>(gemengde) financiële holdings en verzekeringsholdings.</w:t>
      </w:r>
    </w:p>
    <w:p w14:paraId="669C7238" w14:textId="77777777" w:rsidR="0069170F" w:rsidRPr="00A50A1F" w:rsidRDefault="0069170F" w:rsidP="00DA16CD">
      <w:pPr>
        <w:jc w:val="both"/>
        <w:rPr>
          <w:i/>
          <w:sz w:val="22"/>
          <w:szCs w:val="22"/>
        </w:rPr>
      </w:pPr>
    </w:p>
    <w:p w14:paraId="32217A4E" w14:textId="77777777" w:rsidR="009D0367" w:rsidRPr="00A50A1F" w:rsidRDefault="009D0367" w:rsidP="00DA16CD">
      <w:pPr>
        <w:jc w:val="both"/>
        <w:rPr>
          <w:i/>
          <w:sz w:val="22"/>
          <w:szCs w:val="22"/>
          <w:u w:val="single"/>
        </w:rPr>
      </w:pPr>
      <w:r w:rsidRPr="00A50A1F">
        <w:rPr>
          <w:i/>
          <w:sz w:val="22"/>
          <w:szCs w:val="22"/>
          <w:u w:val="single"/>
        </w:rPr>
        <w:t>Samenvatting/Doelstelling</w:t>
      </w:r>
    </w:p>
    <w:p w14:paraId="4ABF99B5" w14:textId="2633FC50" w:rsidR="00777713" w:rsidRPr="00A50A1F" w:rsidRDefault="00512317" w:rsidP="00DA16CD">
      <w:pPr>
        <w:jc w:val="both"/>
        <w:rPr>
          <w:i/>
          <w:sz w:val="22"/>
          <w:szCs w:val="22"/>
        </w:rPr>
      </w:pPr>
      <w:r w:rsidRPr="00A50A1F">
        <w:rPr>
          <w:i/>
          <w:sz w:val="22"/>
          <w:szCs w:val="22"/>
        </w:rPr>
        <w:t xml:space="preserve">Deze circulaire </w:t>
      </w:r>
      <w:r w:rsidR="00126494" w:rsidRPr="00A50A1F">
        <w:rPr>
          <w:i/>
          <w:sz w:val="22"/>
          <w:szCs w:val="22"/>
        </w:rPr>
        <w:t>voert enerzijds een “fit &amp; proper”</w:t>
      </w:r>
      <w:r w:rsidR="003442F7" w:rsidRPr="00A50A1F">
        <w:rPr>
          <w:i/>
          <w:sz w:val="22"/>
          <w:szCs w:val="22"/>
        </w:rPr>
        <w:t>-</w:t>
      </w:r>
      <w:r w:rsidR="00126494" w:rsidRPr="00A50A1F">
        <w:rPr>
          <w:i/>
          <w:sz w:val="22"/>
          <w:szCs w:val="22"/>
        </w:rPr>
        <w:t xml:space="preserve">handboek in ter vervanging van </w:t>
      </w:r>
      <w:r w:rsidR="00126494" w:rsidRPr="00A50A1F">
        <w:rPr>
          <w:i/>
          <w:iCs/>
          <w:sz w:val="22"/>
          <w:szCs w:val="22"/>
          <w:lang w:eastAsia="nl-BE"/>
        </w:rPr>
        <w:t>circulaire NBB_2013_02 d</w:t>
      </w:r>
      <w:r w:rsidR="00301BEF" w:rsidRPr="00A50A1F">
        <w:rPr>
          <w:i/>
          <w:iCs/>
          <w:sz w:val="22"/>
          <w:szCs w:val="22"/>
          <w:lang w:eastAsia="nl-BE"/>
        </w:rPr>
        <w:t>.</w:t>
      </w:r>
      <w:r w:rsidR="00126494" w:rsidRPr="00A50A1F">
        <w:rPr>
          <w:i/>
          <w:iCs/>
          <w:sz w:val="22"/>
          <w:szCs w:val="22"/>
          <w:lang w:eastAsia="nl-BE"/>
        </w:rPr>
        <w:t xml:space="preserve">d. 17 juni 2013 inzake de standaarden van deskundigheid en professionele betrouwbaarheid voor de leden van het directiecomité, bestuurders, verantwoordelijken van onafhankelijke controlefuncties en effectieve leiders van financiële instellingen, en </w:t>
      </w:r>
      <w:r w:rsidRPr="00A50A1F">
        <w:rPr>
          <w:i/>
          <w:sz w:val="22"/>
          <w:szCs w:val="22"/>
        </w:rPr>
        <w:t xml:space="preserve">zet </w:t>
      </w:r>
      <w:r w:rsidR="00126494" w:rsidRPr="00A50A1F">
        <w:rPr>
          <w:i/>
          <w:sz w:val="22"/>
          <w:szCs w:val="22"/>
        </w:rPr>
        <w:t>anderzijds</w:t>
      </w:r>
      <w:r w:rsidR="005940F1" w:rsidRPr="00A50A1F">
        <w:rPr>
          <w:i/>
          <w:sz w:val="22"/>
          <w:szCs w:val="22"/>
        </w:rPr>
        <w:t xml:space="preserve"> </w:t>
      </w:r>
      <w:r w:rsidRPr="00A50A1F">
        <w:rPr>
          <w:i/>
          <w:sz w:val="22"/>
          <w:szCs w:val="22"/>
        </w:rPr>
        <w:t>de richtsnoeren van de Europese Bankautoriteit (EBA) van 26 september 2017 voor het beoordelen van de geschiktheid van leden van het leidinggevend orgaan en medewerkers met een sleutelfunctie om</w:t>
      </w:r>
      <w:r w:rsidR="00163225" w:rsidRPr="00A50A1F">
        <w:rPr>
          <w:i/>
          <w:sz w:val="22"/>
          <w:szCs w:val="22"/>
        </w:rPr>
        <w:t xml:space="preserve"> in het Belgische prudentiële kader</w:t>
      </w:r>
      <w:r w:rsidR="00126494" w:rsidRPr="00A50A1F">
        <w:rPr>
          <w:i/>
          <w:sz w:val="22"/>
          <w:szCs w:val="22"/>
        </w:rPr>
        <w:t>.</w:t>
      </w:r>
      <w:r w:rsidR="005940F1" w:rsidRPr="00A50A1F">
        <w:rPr>
          <w:i/>
          <w:sz w:val="22"/>
          <w:szCs w:val="22"/>
        </w:rPr>
        <w:t xml:space="preserve"> </w:t>
      </w:r>
    </w:p>
    <w:p w14:paraId="5401D2DB" w14:textId="77777777" w:rsidR="00777713" w:rsidRPr="00A50A1F" w:rsidRDefault="00777713" w:rsidP="00DA16CD">
      <w:pPr>
        <w:jc w:val="both"/>
        <w:rPr>
          <w:i/>
          <w:sz w:val="22"/>
          <w:szCs w:val="22"/>
        </w:rPr>
      </w:pPr>
    </w:p>
    <w:p w14:paraId="32217A50" w14:textId="473E509B" w:rsidR="00126494" w:rsidRPr="00A50A1F" w:rsidRDefault="00CA6254" w:rsidP="00DA16CD">
      <w:pPr>
        <w:jc w:val="both"/>
        <w:rPr>
          <w:i/>
          <w:sz w:val="22"/>
          <w:szCs w:val="22"/>
        </w:rPr>
      </w:pPr>
      <w:r w:rsidRPr="00A50A1F">
        <w:rPr>
          <w:i/>
          <w:sz w:val="22"/>
          <w:szCs w:val="22"/>
        </w:rPr>
        <w:lastRenderedPageBreak/>
        <w:t xml:space="preserve">Specifiek voor de verzekeringssector, </w:t>
      </w:r>
      <w:r w:rsidR="00777713" w:rsidRPr="00A50A1F">
        <w:rPr>
          <w:i/>
          <w:sz w:val="22"/>
          <w:szCs w:val="22"/>
        </w:rPr>
        <w:t xml:space="preserve">zet deze circulaire, via het voormelde handboek, tevens de </w:t>
      </w:r>
      <w:r w:rsidR="00777713" w:rsidRPr="00A50A1F">
        <w:rPr>
          <w:rFonts w:cs="Arial"/>
          <w:i/>
          <w:sz w:val="22"/>
          <w:szCs w:val="22"/>
        </w:rPr>
        <w:t xml:space="preserve">richtlijnen 11 tot 14 van </w:t>
      </w:r>
      <w:r w:rsidR="00AB2E45" w:rsidRPr="00A50A1F">
        <w:rPr>
          <w:rFonts w:cs="Arial"/>
          <w:i/>
          <w:sz w:val="22"/>
          <w:szCs w:val="22"/>
        </w:rPr>
        <w:t xml:space="preserve">de </w:t>
      </w:r>
      <w:r w:rsidR="00777713" w:rsidRPr="00A50A1F">
        <w:rPr>
          <w:rFonts w:cs="Arial"/>
          <w:i/>
          <w:sz w:val="22"/>
          <w:szCs w:val="22"/>
        </w:rPr>
        <w:t>EIOPA</w:t>
      </w:r>
      <w:r w:rsidR="00FD2B0A" w:rsidRPr="00A50A1F">
        <w:rPr>
          <w:rFonts w:cs="Arial"/>
          <w:i/>
          <w:sz w:val="22"/>
          <w:szCs w:val="22"/>
        </w:rPr>
        <w:t>-</w:t>
      </w:r>
      <w:r w:rsidR="00777713" w:rsidRPr="00A50A1F">
        <w:rPr>
          <w:rFonts w:cs="Arial"/>
          <w:i/>
          <w:sz w:val="22"/>
          <w:szCs w:val="22"/>
        </w:rPr>
        <w:t>richtsnoeren voor het governancesysteem van 14</w:t>
      </w:r>
      <w:r w:rsidR="00D73405">
        <w:rPr>
          <w:rFonts w:cs="Arial"/>
          <w:i/>
          <w:sz w:val="22"/>
          <w:szCs w:val="22"/>
        </w:rPr>
        <w:t> </w:t>
      </w:r>
      <w:r w:rsidR="00777713" w:rsidRPr="00A50A1F">
        <w:rPr>
          <w:rFonts w:cs="Arial"/>
          <w:i/>
          <w:sz w:val="22"/>
          <w:szCs w:val="22"/>
        </w:rPr>
        <w:t>september</w:t>
      </w:r>
      <w:r w:rsidR="00D73405">
        <w:rPr>
          <w:rFonts w:cs="Arial"/>
          <w:i/>
          <w:sz w:val="22"/>
          <w:szCs w:val="22"/>
        </w:rPr>
        <w:t> </w:t>
      </w:r>
      <w:r w:rsidR="00777713" w:rsidRPr="00A50A1F">
        <w:rPr>
          <w:rFonts w:cs="Arial"/>
          <w:i/>
          <w:sz w:val="22"/>
          <w:szCs w:val="22"/>
        </w:rPr>
        <w:t>2015 om in het Belgische prudentiële kader.</w:t>
      </w:r>
    </w:p>
    <w:p w14:paraId="32217A51" w14:textId="77777777" w:rsidR="00126494" w:rsidRPr="00A50A1F" w:rsidRDefault="00126494" w:rsidP="00DA16CD">
      <w:pPr>
        <w:jc w:val="both"/>
        <w:rPr>
          <w:i/>
          <w:sz w:val="22"/>
          <w:szCs w:val="22"/>
        </w:rPr>
      </w:pPr>
    </w:p>
    <w:p w14:paraId="32217A52" w14:textId="69BECD62" w:rsidR="00512317" w:rsidRPr="00A50A1F" w:rsidRDefault="00957DEA" w:rsidP="00DA16CD">
      <w:pPr>
        <w:jc w:val="both"/>
        <w:rPr>
          <w:i/>
          <w:sz w:val="22"/>
          <w:szCs w:val="22"/>
        </w:rPr>
      </w:pPr>
      <w:r w:rsidRPr="00A50A1F">
        <w:rPr>
          <w:i/>
          <w:sz w:val="22"/>
          <w:szCs w:val="22"/>
        </w:rPr>
        <w:t xml:space="preserve">Om redenen van coherentie en level playing field wordt gestreefd naar een zo groot mogelijke cross-sectorale benadering van de geschiktheidsvereisten, waarbij tezelfdertijd rekening wordt gehouden met de nationale en internationale sectorspecifieke vereisten </w:t>
      </w:r>
      <w:r w:rsidR="003442F7" w:rsidRPr="00A50A1F">
        <w:rPr>
          <w:i/>
          <w:sz w:val="22"/>
          <w:szCs w:val="22"/>
        </w:rPr>
        <w:t xml:space="preserve">die </w:t>
      </w:r>
      <w:r w:rsidRPr="00A50A1F">
        <w:rPr>
          <w:i/>
          <w:sz w:val="22"/>
          <w:szCs w:val="22"/>
        </w:rPr>
        <w:t xml:space="preserve">van toepassing </w:t>
      </w:r>
      <w:r w:rsidR="003442F7" w:rsidRPr="00A50A1F">
        <w:rPr>
          <w:i/>
          <w:sz w:val="22"/>
          <w:szCs w:val="22"/>
        </w:rPr>
        <w:t xml:space="preserve">zijn </w:t>
      </w:r>
      <w:r w:rsidRPr="00A50A1F">
        <w:rPr>
          <w:i/>
          <w:sz w:val="22"/>
          <w:szCs w:val="22"/>
        </w:rPr>
        <w:t xml:space="preserve">op de verschillende soorten instellingen onder toezicht. Bijgevolg is het handboek </w:t>
      </w:r>
      <w:r w:rsidR="00EC593A" w:rsidRPr="00A50A1F">
        <w:rPr>
          <w:i/>
          <w:sz w:val="22"/>
          <w:szCs w:val="22"/>
        </w:rPr>
        <w:t xml:space="preserve">enerzijds </w:t>
      </w:r>
      <w:r w:rsidRPr="00A50A1F">
        <w:rPr>
          <w:i/>
          <w:sz w:val="22"/>
          <w:szCs w:val="22"/>
        </w:rPr>
        <w:t>gericht aan alle financiële instellingen vermeld in het toepassingsgebied, doch bevat het</w:t>
      </w:r>
      <w:r w:rsidR="00EC593A" w:rsidRPr="00A50A1F">
        <w:rPr>
          <w:i/>
          <w:sz w:val="22"/>
          <w:szCs w:val="22"/>
        </w:rPr>
        <w:t xml:space="preserve"> anderzijds</w:t>
      </w:r>
      <w:r w:rsidRPr="00A50A1F">
        <w:rPr>
          <w:i/>
          <w:sz w:val="22"/>
          <w:szCs w:val="22"/>
        </w:rPr>
        <w:t xml:space="preserve"> verschillende hoof</w:t>
      </w:r>
      <w:r w:rsidR="00601C26" w:rsidRPr="00A50A1F">
        <w:rPr>
          <w:i/>
          <w:sz w:val="22"/>
          <w:szCs w:val="22"/>
        </w:rPr>
        <w:t>d</w:t>
      </w:r>
      <w:r w:rsidRPr="00A50A1F">
        <w:rPr>
          <w:i/>
          <w:sz w:val="22"/>
          <w:szCs w:val="22"/>
        </w:rPr>
        <w:t xml:space="preserve">stukken die een allesomvattend en op zichzelf staand overzicht bieden van de geschiktheidsvereisten </w:t>
      </w:r>
      <w:r w:rsidR="003442F7" w:rsidRPr="00A50A1F">
        <w:rPr>
          <w:i/>
          <w:sz w:val="22"/>
          <w:szCs w:val="22"/>
        </w:rPr>
        <w:t xml:space="preserve">die </w:t>
      </w:r>
      <w:r w:rsidRPr="00A50A1F">
        <w:rPr>
          <w:i/>
          <w:sz w:val="22"/>
          <w:szCs w:val="22"/>
        </w:rPr>
        <w:t xml:space="preserve">van toepassing </w:t>
      </w:r>
      <w:r w:rsidR="003442F7" w:rsidRPr="00A50A1F">
        <w:rPr>
          <w:i/>
          <w:sz w:val="22"/>
          <w:szCs w:val="22"/>
        </w:rPr>
        <w:t xml:space="preserve">zijn </w:t>
      </w:r>
      <w:r w:rsidRPr="00A50A1F">
        <w:rPr>
          <w:i/>
          <w:sz w:val="22"/>
          <w:szCs w:val="22"/>
        </w:rPr>
        <w:t>op de</w:t>
      </w:r>
      <w:r w:rsidR="00EC593A" w:rsidRPr="00A50A1F">
        <w:rPr>
          <w:i/>
          <w:sz w:val="22"/>
          <w:szCs w:val="22"/>
        </w:rPr>
        <w:t xml:space="preserve"> verschillende types instellingen</w:t>
      </w:r>
      <w:r w:rsidRPr="00A50A1F">
        <w:rPr>
          <w:i/>
          <w:sz w:val="22"/>
          <w:szCs w:val="22"/>
        </w:rPr>
        <w:t xml:space="preserve">. </w:t>
      </w:r>
      <w:r w:rsidR="00EC593A" w:rsidRPr="00A50A1F">
        <w:rPr>
          <w:i/>
          <w:sz w:val="22"/>
          <w:szCs w:val="22"/>
        </w:rPr>
        <w:t>Op deze wijze beoogt h</w:t>
      </w:r>
      <w:r w:rsidR="00126494" w:rsidRPr="00A50A1F">
        <w:rPr>
          <w:i/>
          <w:iCs/>
          <w:color w:val="000000"/>
          <w:sz w:val="22"/>
          <w:szCs w:val="22"/>
          <w:lang w:eastAsia="nl-BE"/>
        </w:rPr>
        <w:t>et handboek</w:t>
      </w:r>
      <w:r w:rsidR="00075DD5">
        <w:rPr>
          <w:i/>
          <w:iCs/>
          <w:color w:val="000000"/>
          <w:sz w:val="22"/>
          <w:szCs w:val="22"/>
          <w:lang w:eastAsia="nl-BE"/>
        </w:rPr>
        <w:t>, dat online consulteerbaar is</w:t>
      </w:r>
      <w:r w:rsidR="00126494" w:rsidRPr="00A50A1F">
        <w:rPr>
          <w:i/>
          <w:iCs/>
          <w:color w:val="000000"/>
          <w:sz w:val="22"/>
          <w:szCs w:val="22"/>
          <w:lang w:eastAsia="nl-BE"/>
        </w:rPr>
        <w:t xml:space="preserve">, de instellingen, via interactieve verwijzingen (links), op een gebruiksvriendelijke manier wegwijs te maken </w:t>
      </w:r>
      <w:r w:rsidR="003442F7" w:rsidRPr="00A50A1F">
        <w:rPr>
          <w:i/>
          <w:iCs/>
          <w:color w:val="000000"/>
          <w:sz w:val="22"/>
          <w:szCs w:val="22"/>
          <w:lang w:eastAsia="nl-BE"/>
        </w:rPr>
        <w:t>in</w:t>
      </w:r>
      <w:r w:rsidR="00126494" w:rsidRPr="00A50A1F">
        <w:rPr>
          <w:i/>
          <w:iCs/>
          <w:color w:val="000000"/>
          <w:sz w:val="22"/>
          <w:szCs w:val="22"/>
          <w:lang w:eastAsia="nl-BE"/>
        </w:rPr>
        <w:t xml:space="preserve"> het geheel van de </w:t>
      </w:r>
      <w:r w:rsidR="00097FD5" w:rsidRPr="00A50A1F">
        <w:rPr>
          <w:i/>
          <w:iCs/>
          <w:color w:val="000000"/>
          <w:sz w:val="22"/>
          <w:szCs w:val="22"/>
          <w:lang w:eastAsia="nl-BE"/>
        </w:rPr>
        <w:t xml:space="preserve">meest relevante </w:t>
      </w:r>
      <w:r w:rsidR="00EC593A" w:rsidRPr="00A50A1F">
        <w:rPr>
          <w:i/>
          <w:iCs/>
          <w:color w:val="000000"/>
          <w:sz w:val="22"/>
          <w:szCs w:val="22"/>
          <w:lang w:eastAsia="nl-BE"/>
        </w:rPr>
        <w:t xml:space="preserve">toepasselijke </w:t>
      </w:r>
      <w:r w:rsidR="00126494" w:rsidRPr="00A50A1F">
        <w:rPr>
          <w:i/>
          <w:iCs/>
          <w:color w:val="000000"/>
          <w:sz w:val="22"/>
          <w:szCs w:val="22"/>
          <w:lang w:eastAsia="nl-BE"/>
        </w:rPr>
        <w:t>beleidsdocumenten</w:t>
      </w:r>
      <w:r w:rsidR="00423E89" w:rsidRPr="00A50A1F">
        <w:rPr>
          <w:i/>
          <w:sz w:val="22"/>
          <w:szCs w:val="22"/>
        </w:rPr>
        <w:t>.</w:t>
      </w:r>
      <w:r w:rsidR="00721249" w:rsidRPr="00A50A1F">
        <w:rPr>
          <w:i/>
          <w:sz w:val="22"/>
          <w:szCs w:val="22"/>
        </w:rPr>
        <w:t xml:space="preserve"> </w:t>
      </w:r>
    </w:p>
    <w:p w14:paraId="731AE88E" w14:textId="51438E80" w:rsidR="00C312EF" w:rsidRPr="00A50A1F" w:rsidRDefault="00C312EF" w:rsidP="00DA16CD">
      <w:pPr>
        <w:jc w:val="both"/>
        <w:rPr>
          <w:i/>
          <w:sz w:val="22"/>
          <w:szCs w:val="22"/>
        </w:rPr>
      </w:pPr>
    </w:p>
    <w:p w14:paraId="387F46D1" w14:textId="62C49D5B" w:rsidR="00A562C0" w:rsidRPr="00A50A1F" w:rsidRDefault="00170EDE" w:rsidP="00DA16CD">
      <w:pPr>
        <w:jc w:val="both"/>
        <w:rPr>
          <w:i/>
          <w:iCs/>
          <w:sz w:val="22"/>
          <w:szCs w:val="22"/>
          <w:lang w:eastAsia="nl-BE"/>
        </w:rPr>
      </w:pPr>
      <w:r w:rsidRPr="00A50A1F">
        <w:rPr>
          <w:i/>
          <w:sz w:val="22"/>
          <w:szCs w:val="22"/>
        </w:rPr>
        <w:t>De</w:t>
      </w:r>
      <w:r w:rsidR="00163225" w:rsidRPr="00A50A1F">
        <w:rPr>
          <w:i/>
          <w:sz w:val="22"/>
          <w:szCs w:val="22"/>
        </w:rPr>
        <w:t xml:space="preserve"> </w:t>
      </w:r>
      <w:r w:rsidRPr="00A50A1F">
        <w:rPr>
          <w:i/>
          <w:sz w:val="22"/>
          <w:szCs w:val="22"/>
        </w:rPr>
        <w:t>EBA</w:t>
      </w:r>
      <w:r w:rsidR="00FD2B0A" w:rsidRPr="00A50A1F">
        <w:rPr>
          <w:i/>
          <w:sz w:val="22"/>
          <w:szCs w:val="22"/>
        </w:rPr>
        <w:t>-</w:t>
      </w:r>
      <w:r w:rsidR="00163225" w:rsidRPr="00A50A1F">
        <w:rPr>
          <w:i/>
          <w:sz w:val="22"/>
          <w:szCs w:val="22"/>
        </w:rPr>
        <w:t xml:space="preserve">richtsnoeren </w:t>
      </w:r>
      <w:r w:rsidRPr="00A50A1F">
        <w:rPr>
          <w:i/>
          <w:sz w:val="22"/>
          <w:szCs w:val="22"/>
        </w:rPr>
        <w:t xml:space="preserve">EBA/GL/2017/12 </w:t>
      </w:r>
      <w:r w:rsidR="00163225" w:rsidRPr="00A50A1F">
        <w:rPr>
          <w:i/>
          <w:sz w:val="22"/>
          <w:szCs w:val="22"/>
        </w:rPr>
        <w:t>werden op 26 september 2017 gepubliceerd</w:t>
      </w:r>
      <w:r w:rsidR="00862FBC" w:rsidRPr="00A50A1F">
        <w:rPr>
          <w:i/>
          <w:sz w:val="22"/>
          <w:szCs w:val="22"/>
        </w:rPr>
        <w:t xml:space="preserve"> en vervangen</w:t>
      </w:r>
      <w:r w:rsidR="007F0D60" w:rsidRPr="00A50A1F">
        <w:rPr>
          <w:i/>
          <w:sz w:val="22"/>
          <w:szCs w:val="22"/>
        </w:rPr>
        <w:t xml:space="preserve"> met ingang </w:t>
      </w:r>
      <w:r w:rsidR="00301BEF" w:rsidRPr="00A50A1F">
        <w:rPr>
          <w:i/>
          <w:sz w:val="22"/>
          <w:szCs w:val="22"/>
        </w:rPr>
        <w:t xml:space="preserve">van </w:t>
      </w:r>
      <w:r w:rsidR="007F0D60" w:rsidRPr="00A50A1F">
        <w:rPr>
          <w:i/>
          <w:sz w:val="22"/>
          <w:szCs w:val="22"/>
        </w:rPr>
        <w:t xml:space="preserve">30 juni 2018 de </w:t>
      </w:r>
      <w:r w:rsidR="00862FBC" w:rsidRPr="00A50A1F">
        <w:rPr>
          <w:i/>
          <w:sz w:val="22"/>
          <w:szCs w:val="22"/>
        </w:rPr>
        <w:t>EBA GL 2012/06</w:t>
      </w:r>
      <w:r w:rsidR="007F0D60" w:rsidRPr="00A50A1F">
        <w:rPr>
          <w:i/>
          <w:sz w:val="22"/>
          <w:szCs w:val="22"/>
        </w:rPr>
        <w:t xml:space="preserve"> van 22 november 2012</w:t>
      </w:r>
      <w:r w:rsidR="00163225" w:rsidRPr="00A50A1F">
        <w:rPr>
          <w:i/>
          <w:iCs/>
          <w:sz w:val="22"/>
          <w:szCs w:val="22"/>
          <w:lang w:eastAsia="nl-BE"/>
        </w:rPr>
        <w:t>. De richtsnoeren fungeren als leidraad v</w:t>
      </w:r>
      <w:r w:rsidR="007F0D60" w:rsidRPr="00A50A1F">
        <w:rPr>
          <w:i/>
          <w:iCs/>
          <w:sz w:val="22"/>
          <w:szCs w:val="22"/>
          <w:lang w:eastAsia="nl-BE"/>
        </w:rPr>
        <w:t>oor het concrete toezicht op de</w:t>
      </w:r>
      <w:r w:rsidR="00862FBC" w:rsidRPr="00A50A1F">
        <w:rPr>
          <w:i/>
          <w:iCs/>
          <w:sz w:val="22"/>
          <w:szCs w:val="22"/>
          <w:lang w:eastAsia="nl-BE"/>
        </w:rPr>
        <w:t xml:space="preserve"> </w:t>
      </w:r>
      <w:r w:rsidR="007F0D60" w:rsidRPr="00A50A1F">
        <w:rPr>
          <w:i/>
          <w:iCs/>
          <w:sz w:val="22"/>
          <w:szCs w:val="22"/>
          <w:lang w:eastAsia="nl-BE"/>
        </w:rPr>
        <w:t>g</w:t>
      </w:r>
      <w:r w:rsidR="00862FBC" w:rsidRPr="00A50A1F">
        <w:rPr>
          <w:i/>
          <w:iCs/>
          <w:sz w:val="22"/>
          <w:szCs w:val="22"/>
          <w:lang w:eastAsia="nl-BE"/>
        </w:rPr>
        <w:t xml:space="preserve">eschiktheid van leden van het leidinggevend orgaan en medewerkers met een sleutelfunctie </w:t>
      </w:r>
      <w:r w:rsidR="00163225" w:rsidRPr="00A50A1F">
        <w:rPr>
          <w:i/>
          <w:iCs/>
          <w:sz w:val="22"/>
          <w:szCs w:val="22"/>
          <w:lang w:eastAsia="nl-BE"/>
        </w:rPr>
        <w:t xml:space="preserve">van financiële instellingen, net zoals dit bij de </w:t>
      </w:r>
      <w:r w:rsidR="00862FBC" w:rsidRPr="00A50A1F">
        <w:rPr>
          <w:i/>
          <w:iCs/>
          <w:sz w:val="22"/>
          <w:szCs w:val="22"/>
          <w:lang w:eastAsia="nl-BE"/>
        </w:rPr>
        <w:t>vor</w:t>
      </w:r>
      <w:r w:rsidR="007F0D60" w:rsidRPr="00A50A1F">
        <w:rPr>
          <w:i/>
          <w:iCs/>
          <w:sz w:val="22"/>
          <w:szCs w:val="22"/>
          <w:lang w:eastAsia="nl-BE"/>
        </w:rPr>
        <w:t>ige EBA</w:t>
      </w:r>
      <w:r w:rsidR="00FD2B0A" w:rsidRPr="00A50A1F">
        <w:rPr>
          <w:i/>
          <w:iCs/>
          <w:sz w:val="22"/>
          <w:szCs w:val="22"/>
          <w:lang w:eastAsia="nl-BE"/>
        </w:rPr>
        <w:t>-</w:t>
      </w:r>
      <w:r w:rsidR="007F0D60" w:rsidRPr="00A50A1F">
        <w:rPr>
          <w:i/>
          <w:iCs/>
          <w:sz w:val="22"/>
          <w:szCs w:val="22"/>
          <w:lang w:eastAsia="nl-BE"/>
        </w:rPr>
        <w:t>richtsnoeren</w:t>
      </w:r>
      <w:r w:rsidR="00862FBC" w:rsidRPr="00A50A1F">
        <w:rPr>
          <w:i/>
          <w:iCs/>
          <w:sz w:val="22"/>
          <w:szCs w:val="22"/>
          <w:lang w:eastAsia="nl-BE"/>
        </w:rPr>
        <w:t xml:space="preserve"> het geval was. </w:t>
      </w:r>
      <w:r w:rsidR="00163225" w:rsidRPr="00A50A1F">
        <w:rPr>
          <w:i/>
          <w:iCs/>
          <w:sz w:val="22"/>
          <w:szCs w:val="22"/>
          <w:lang w:eastAsia="nl-BE"/>
        </w:rPr>
        <w:t xml:space="preserve">De </w:t>
      </w:r>
      <w:r w:rsidR="00721249" w:rsidRPr="00A50A1F">
        <w:rPr>
          <w:i/>
          <w:iCs/>
          <w:sz w:val="22"/>
          <w:szCs w:val="22"/>
          <w:lang w:eastAsia="nl-BE"/>
        </w:rPr>
        <w:t>financiële instel</w:t>
      </w:r>
      <w:r w:rsidR="00163225" w:rsidRPr="00A50A1F">
        <w:rPr>
          <w:i/>
          <w:iCs/>
          <w:sz w:val="22"/>
          <w:szCs w:val="22"/>
          <w:lang w:eastAsia="nl-BE"/>
        </w:rPr>
        <w:t xml:space="preserve">lingen </w:t>
      </w:r>
      <w:r w:rsidR="00721249" w:rsidRPr="00A50A1F">
        <w:rPr>
          <w:i/>
          <w:iCs/>
          <w:sz w:val="22"/>
          <w:szCs w:val="22"/>
          <w:lang w:eastAsia="nl-BE"/>
        </w:rPr>
        <w:t>die uitdrukkelijk geviseerd worden door deze EBA</w:t>
      </w:r>
      <w:r w:rsidR="00FD2B0A" w:rsidRPr="00A50A1F">
        <w:rPr>
          <w:i/>
          <w:iCs/>
          <w:sz w:val="22"/>
          <w:szCs w:val="22"/>
          <w:lang w:eastAsia="nl-BE"/>
        </w:rPr>
        <w:t>-</w:t>
      </w:r>
      <w:r w:rsidR="00721249" w:rsidRPr="00A50A1F">
        <w:rPr>
          <w:i/>
          <w:iCs/>
          <w:sz w:val="22"/>
          <w:szCs w:val="22"/>
          <w:lang w:eastAsia="nl-BE"/>
        </w:rPr>
        <w:t xml:space="preserve">richtsnoeren </w:t>
      </w:r>
      <w:r w:rsidR="00163225" w:rsidRPr="00A50A1F">
        <w:rPr>
          <w:i/>
          <w:iCs/>
          <w:sz w:val="22"/>
          <w:szCs w:val="22"/>
          <w:lang w:eastAsia="nl-BE"/>
        </w:rPr>
        <w:t xml:space="preserve">dienen daarom, als </w:t>
      </w:r>
      <w:r w:rsidR="00862FBC" w:rsidRPr="00A50A1F">
        <w:rPr>
          <w:i/>
          <w:iCs/>
          <w:sz w:val="22"/>
          <w:szCs w:val="22"/>
          <w:lang w:eastAsia="nl-BE"/>
        </w:rPr>
        <w:t>invulling en verduidelijking van</w:t>
      </w:r>
      <w:r w:rsidR="00163225" w:rsidRPr="00A50A1F">
        <w:rPr>
          <w:i/>
          <w:iCs/>
          <w:sz w:val="22"/>
          <w:szCs w:val="22"/>
          <w:lang w:eastAsia="nl-BE"/>
        </w:rPr>
        <w:t xml:space="preserve"> de</w:t>
      </w:r>
      <w:r w:rsidR="00862FBC" w:rsidRPr="00A50A1F">
        <w:rPr>
          <w:i/>
          <w:iCs/>
          <w:sz w:val="22"/>
          <w:szCs w:val="22"/>
          <w:lang w:eastAsia="nl-BE"/>
        </w:rPr>
        <w:t xml:space="preserve"> </w:t>
      </w:r>
      <w:r w:rsidR="00163225" w:rsidRPr="00A50A1F">
        <w:rPr>
          <w:i/>
          <w:iCs/>
          <w:sz w:val="22"/>
          <w:szCs w:val="22"/>
          <w:lang w:eastAsia="nl-BE"/>
        </w:rPr>
        <w:t>wettelijke bepalingen omtrent</w:t>
      </w:r>
      <w:r w:rsidR="00862FBC" w:rsidRPr="00A50A1F">
        <w:rPr>
          <w:i/>
          <w:iCs/>
          <w:sz w:val="22"/>
          <w:szCs w:val="22"/>
          <w:lang w:eastAsia="nl-BE"/>
        </w:rPr>
        <w:t xml:space="preserve"> de geschiktheid</w:t>
      </w:r>
      <w:r w:rsidR="00CE540D" w:rsidRPr="00A50A1F">
        <w:rPr>
          <w:i/>
          <w:iCs/>
          <w:sz w:val="22"/>
          <w:szCs w:val="22"/>
          <w:lang w:eastAsia="nl-BE"/>
        </w:rPr>
        <w:t xml:space="preserve"> van voornoemde personen</w:t>
      </w:r>
      <w:r w:rsidR="007F0D60" w:rsidRPr="00A50A1F">
        <w:rPr>
          <w:i/>
          <w:iCs/>
          <w:sz w:val="22"/>
          <w:szCs w:val="22"/>
          <w:lang w:eastAsia="nl-BE"/>
        </w:rPr>
        <w:t>,</w:t>
      </w:r>
      <w:r w:rsidR="00163225" w:rsidRPr="00A50A1F">
        <w:rPr>
          <w:i/>
          <w:iCs/>
          <w:sz w:val="22"/>
          <w:szCs w:val="22"/>
          <w:lang w:eastAsia="nl-BE"/>
        </w:rPr>
        <w:t xml:space="preserve"> deze richtsnoeren toe te passen en na</w:t>
      </w:r>
      <w:r w:rsidR="00862FBC" w:rsidRPr="00A50A1F">
        <w:rPr>
          <w:i/>
          <w:iCs/>
          <w:sz w:val="22"/>
          <w:szCs w:val="22"/>
          <w:lang w:eastAsia="nl-BE"/>
        </w:rPr>
        <w:t xml:space="preserve"> </w:t>
      </w:r>
      <w:r w:rsidR="00163225" w:rsidRPr="00A50A1F">
        <w:rPr>
          <w:i/>
          <w:iCs/>
          <w:sz w:val="22"/>
          <w:szCs w:val="22"/>
          <w:lang w:eastAsia="nl-BE"/>
        </w:rPr>
        <w:t>te leven.</w:t>
      </w:r>
    </w:p>
    <w:p w14:paraId="32217A57" w14:textId="4B28BC53" w:rsidR="009D0367" w:rsidRPr="00A50A1F" w:rsidRDefault="004F0108" w:rsidP="005228A1">
      <w:pPr>
        <w:jc w:val="both"/>
        <w:rPr>
          <w:i/>
          <w:iCs/>
          <w:sz w:val="22"/>
          <w:szCs w:val="22"/>
          <w:lang w:eastAsia="nl-BE"/>
        </w:rPr>
      </w:pPr>
      <w:r w:rsidRPr="00A50A1F">
        <w:rPr>
          <w:i/>
          <w:iCs/>
          <w:sz w:val="22"/>
          <w:szCs w:val="22"/>
          <w:lang w:eastAsia="nl-BE"/>
        </w:rPr>
        <w:t xml:space="preserve"> </w:t>
      </w:r>
    </w:p>
    <w:p w14:paraId="385EBFA7" w14:textId="10AC51A8" w:rsidR="00A50A1F" w:rsidRDefault="00A50A1F">
      <w:pPr>
        <w:tabs>
          <w:tab w:val="clear" w:pos="284"/>
        </w:tabs>
        <w:spacing w:line="240" w:lineRule="auto"/>
      </w:pPr>
      <w:r>
        <w:br w:type="page"/>
      </w:r>
    </w:p>
    <w:p w14:paraId="32217A58" w14:textId="3FF0F108" w:rsidR="009D0367" w:rsidRPr="003D01F2" w:rsidRDefault="009D0367" w:rsidP="00A50A1F">
      <w:pPr>
        <w:spacing w:line="240" w:lineRule="auto"/>
        <w:jc w:val="both"/>
      </w:pPr>
      <w:r w:rsidRPr="003D01F2">
        <w:lastRenderedPageBreak/>
        <w:t>Geachte mevrouw</w:t>
      </w:r>
    </w:p>
    <w:p w14:paraId="32217A59" w14:textId="6C426DBE" w:rsidR="009D0367" w:rsidRPr="003D01F2" w:rsidRDefault="009D0367" w:rsidP="00A50A1F">
      <w:pPr>
        <w:spacing w:line="240" w:lineRule="auto"/>
        <w:jc w:val="both"/>
      </w:pPr>
      <w:r w:rsidRPr="003D01F2">
        <w:t>Geachte heer</w:t>
      </w:r>
    </w:p>
    <w:p w14:paraId="32217A5B" w14:textId="400E38EA" w:rsidR="003D01F2" w:rsidRPr="003D01F2" w:rsidRDefault="003D01F2" w:rsidP="00A50A1F">
      <w:pPr>
        <w:pStyle w:val="Default"/>
        <w:spacing w:before="200" w:line="240" w:lineRule="atLeast"/>
        <w:jc w:val="both"/>
        <w:rPr>
          <w:rFonts w:ascii="Arial" w:hAnsi="Arial" w:cs="Arial"/>
          <w:color w:val="auto"/>
          <w:sz w:val="20"/>
          <w:szCs w:val="20"/>
          <w:lang w:val="nl-BE"/>
        </w:rPr>
      </w:pPr>
      <w:r w:rsidRPr="003D01F2">
        <w:rPr>
          <w:rFonts w:ascii="Arial" w:hAnsi="Arial" w:cs="Arial"/>
          <w:color w:val="auto"/>
          <w:sz w:val="20"/>
          <w:szCs w:val="20"/>
          <w:lang w:val="nl-BE"/>
        </w:rPr>
        <w:t xml:space="preserve">De verschillende toezichtswetten </w:t>
      </w:r>
      <w:r w:rsidR="003442F7">
        <w:rPr>
          <w:rFonts w:ascii="Arial" w:hAnsi="Arial" w:cs="Arial"/>
          <w:color w:val="auto"/>
          <w:sz w:val="20"/>
          <w:szCs w:val="20"/>
          <w:lang w:val="nl-BE"/>
        </w:rPr>
        <w:t xml:space="preserve">die </w:t>
      </w:r>
      <w:r w:rsidRPr="003D01F2">
        <w:rPr>
          <w:rFonts w:ascii="Arial" w:hAnsi="Arial" w:cs="Arial"/>
          <w:color w:val="auto"/>
          <w:sz w:val="20"/>
          <w:szCs w:val="20"/>
          <w:lang w:val="nl-BE"/>
        </w:rPr>
        <w:t xml:space="preserve">van toepassing </w:t>
      </w:r>
      <w:r w:rsidR="003442F7">
        <w:rPr>
          <w:rFonts w:ascii="Arial" w:hAnsi="Arial" w:cs="Arial"/>
          <w:color w:val="auto"/>
          <w:sz w:val="20"/>
          <w:szCs w:val="20"/>
          <w:lang w:val="nl-BE"/>
        </w:rPr>
        <w:t xml:space="preserve">zijn </w:t>
      </w:r>
      <w:r w:rsidRPr="003D01F2">
        <w:rPr>
          <w:rFonts w:ascii="Arial" w:hAnsi="Arial" w:cs="Arial"/>
          <w:color w:val="auto"/>
          <w:sz w:val="20"/>
          <w:szCs w:val="20"/>
          <w:lang w:val="nl-BE"/>
        </w:rPr>
        <w:t>op financiële instellingen schrijven voor dat de bestuurders, leden van het directiecomité, verantwoordelijken van onafhankelijke controlefuncties en effectieve leiders bij deze instellingen over de voor hun functie vereiste deskundigheid en professionele betrouwbaarheid dienen te beschikken. De geschiktheidsbeoordeling van deze personen wordt vaak omschreven als de beoordeling van hun zogenaamde "fit &amp; proper"</w:t>
      </w:r>
      <w:r w:rsidR="003442F7">
        <w:rPr>
          <w:rFonts w:ascii="Arial" w:hAnsi="Arial" w:cs="Arial"/>
          <w:color w:val="auto"/>
          <w:sz w:val="20"/>
          <w:szCs w:val="20"/>
          <w:lang w:val="nl-BE"/>
        </w:rPr>
        <w:t>-</w:t>
      </w:r>
      <w:r w:rsidRPr="003D01F2">
        <w:rPr>
          <w:rFonts w:ascii="Arial" w:hAnsi="Arial" w:cs="Arial"/>
          <w:color w:val="auto"/>
          <w:sz w:val="20"/>
          <w:szCs w:val="20"/>
          <w:lang w:val="nl-BE"/>
        </w:rPr>
        <w:t>karakter.</w:t>
      </w:r>
    </w:p>
    <w:p w14:paraId="32217A5D" w14:textId="27E3A07C" w:rsidR="003D01F2" w:rsidRPr="003D01F2" w:rsidRDefault="003D01F2" w:rsidP="00A50A1F">
      <w:pPr>
        <w:pStyle w:val="Default"/>
        <w:spacing w:before="200" w:line="240" w:lineRule="atLeast"/>
        <w:jc w:val="both"/>
        <w:rPr>
          <w:rFonts w:ascii="Arial" w:hAnsi="Arial" w:cs="Arial"/>
          <w:color w:val="auto"/>
          <w:sz w:val="20"/>
          <w:szCs w:val="20"/>
          <w:lang w:val="nl-BE"/>
        </w:rPr>
      </w:pPr>
      <w:r w:rsidRPr="003D01F2">
        <w:rPr>
          <w:rFonts w:ascii="Arial" w:hAnsi="Arial" w:cs="Arial"/>
          <w:color w:val="auto"/>
          <w:sz w:val="20"/>
          <w:szCs w:val="20"/>
          <w:lang w:val="nl-BE"/>
        </w:rPr>
        <w:t>Mede ten gevolge van de financiële crisis die in 2008 in alle hevigheid uitbrak en de ermee gepaard gaande verhoogde noodzaak om een optimale leiding van de financiële instellingen te verzekeren, is het onderwerp "geschiktheid" de laatste jaren bijzonder actueel. Zowel op internationaal, Europees, en nationaal niveau kwam hierover een denkproces op gang en werden diverse acties ondernomen.</w:t>
      </w:r>
    </w:p>
    <w:p w14:paraId="32217A5F" w14:textId="77777777" w:rsidR="003D01F2" w:rsidRPr="003D01F2" w:rsidRDefault="003D01F2" w:rsidP="00A50A1F">
      <w:pPr>
        <w:pStyle w:val="Default"/>
        <w:spacing w:before="200" w:line="240" w:lineRule="atLeast"/>
        <w:jc w:val="both"/>
        <w:rPr>
          <w:rFonts w:ascii="Arial" w:hAnsi="Arial" w:cs="Arial"/>
          <w:color w:val="auto"/>
          <w:sz w:val="20"/>
          <w:szCs w:val="20"/>
          <w:lang w:val="nl-BE"/>
        </w:rPr>
      </w:pPr>
      <w:r w:rsidRPr="003D01F2">
        <w:rPr>
          <w:rFonts w:ascii="Arial" w:hAnsi="Arial" w:cs="Arial"/>
          <w:color w:val="auto"/>
          <w:sz w:val="20"/>
          <w:szCs w:val="20"/>
          <w:lang w:val="nl-BE"/>
        </w:rPr>
        <w:t>Verschillende van deze initiatieven zijn inmiddels uitgemond in regelgevende of beleidsdocumenten die in het nationale kader dienen te worden geïmplementeerd. Derhalve is, voor een goed overzicht van het geheel, een bepaalde vorm van codificatie aangewezen.</w:t>
      </w:r>
    </w:p>
    <w:p w14:paraId="32217A61" w14:textId="2E6ADC6A" w:rsidR="00B614D1" w:rsidRPr="003D01F2" w:rsidRDefault="004F0108" w:rsidP="00A50A1F">
      <w:pPr>
        <w:tabs>
          <w:tab w:val="clear" w:pos="284"/>
        </w:tabs>
        <w:spacing w:before="200" w:line="240" w:lineRule="atLeast"/>
        <w:jc w:val="both"/>
      </w:pPr>
      <w:r w:rsidRPr="003D01F2">
        <w:t>Deze circulaire</w:t>
      </w:r>
      <w:r w:rsidR="005228A1">
        <w:t xml:space="preserve"> vervult meerdere</w:t>
      </w:r>
      <w:r w:rsidR="003D01F2">
        <w:t xml:space="preserve"> doelstelling</w:t>
      </w:r>
      <w:r w:rsidR="005228A1">
        <w:t>en</w:t>
      </w:r>
      <w:r w:rsidR="003D01F2">
        <w:t>.</w:t>
      </w:r>
    </w:p>
    <w:p w14:paraId="32217A63" w14:textId="6291144E" w:rsidR="003D01F2" w:rsidRPr="00D31E35" w:rsidRDefault="003D01F2" w:rsidP="00A50A1F">
      <w:pPr>
        <w:tabs>
          <w:tab w:val="clear" w:pos="284"/>
        </w:tabs>
        <w:autoSpaceDE w:val="0"/>
        <w:autoSpaceDN w:val="0"/>
        <w:adjustRightInd w:val="0"/>
        <w:spacing w:before="200" w:line="240" w:lineRule="atLeast"/>
        <w:jc w:val="both"/>
        <w:rPr>
          <w:rFonts w:cs="Arial"/>
        </w:rPr>
      </w:pPr>
      <w:r>
        <w:rPr>
          <w:rFonts w:cs="Arial"/>
        </w:rPr>
        <w:t>Vooreerst</w:t>
      </w:r>
      <w:r w:rsidRPr="003D01F2">
        <w:rPr>
          <w:rFonts w:cs="Arial"/>
        </w:rPr>
        <w:t xml:space="preserve"> </w:t>
      </w:r>
      <w:r>
        <w:rPr>
          <w:rFonts w:cs="Arial"/>
        </w:rPr>
        <w:t xml:space="preserve">voert zij </w:t>
      </w:r>
      <w:r w:rsidRPr="003D01F2">
        <w:rPr>
          <w:rFonts w:cs="Arial"/>
        </w:rPr>
        <w:t>een “fit &amp; proper”</w:t>
      </w:r>
      <w:r w:rsidR="003442F7">
        <w:rPr>
          <w:rFonts w:cs="Arial"/>
        </w:rPr>
        <w:t>-</w:t>
      </w:r>
      <w:r w:rsidRPr="003D01F2">
        <w:rPr>
          <w:rFonts w:cs="Arial"/>
        </w:rPr>
        <w:t>handboek in</w:t>
      </w:r>
      <w:r w:rsidR="00C846EC" w:rsidRPr="00C846EC">
        <w:rPr>
          <w:rFonts w:cs="Arial"/>
          <w:iCs/>
          <w:color w:val="000000"/>
          <w:lang w:eastAsia="nl-BE"/>
        </w:rPr>
        <w:t xml:space="preserve"> </w:t>
      </w:r>
      <w:r w:rsidR="00C846EC">
        <w:rPr>
          <w:rFonts w:cs="Arial"/>
          <w:iCs/>
          <w:color w:val="000000"/>
          <w:lang w:eastAsia="nl-BE"/>
        </w:rPr>
        <w:t xml:space="preserve">dat </w:t>
      </w:r>
      <w:r w:rsidR="00C846EC" w:rsidRPr="00C846EC">
        <w:rPr>
          <w:rFonts w:cs="Arial"/>
          <w:iCs/>
          <w:color w:val="000000"/>
          <w:lang w:eastAsia="nl-BE"/>
        </w:rPr>
        <w:t xml:space="preserve">tot doel </w:t>
      </w:r>
      <w:r w:rsidR="00C846EC">
        <w:rPr>
          <w:rFonts w:cs="Arial"/>
          <w:iCs/>
          <w:color w:val="000000"/>
          <w:lang w:eastAsia="nl-BE"/>
        </w:rPr>
        <w:t xml:space="preserve">heeft </w:t>
      </w:r>
      <w:r w:rsidR="00C846EC" w:rsidRPr="00C846EC">
        <w:rPr>
          <w:rFonts w:cs="Arial"/>
          <w:iCs/>
          <w:color w:val="000000"/>
          <w:lang w:eastAsia="nl-BE"/>
        </w:rPr>
        <w:t xml:space="preserve">de instellingen, via interactieve verwijzingen (links), op een gebruiksvriendelijke manier wegwijs te maken </w:t>
      </w:r>
      <w:r w:rsidR="003442F7">
        <w:rPr>
          <w:rFonts w:cs="Arial"/>
          <w:iCs/>
          <w:color w:val="000000"/>
          <w:lang w:eastAsia="nl-BE"/>
        </w:rPr>
        <w:t>in</w:t>
      </w:r>
      <w:r w:rsidR="00C846EC" w:rsidRPr="00C846EC">
        <w:rPr>
          <w:rFonts w:cs="Arial"/>
          <w:iCs/>
          <w:color w:val="000000"/>
          <w:lang w:eastAsia="nl-BE"/>
        </w:rPr>
        <w:t xml:space="preserve"> het geheel van de </w:t>
      </w:r>
      <w:r w:rsidR="00C846EC">
        <w:rPr>
          <w:rFonts w:cs="Arial"/>
          <w:iCs/>
          <w:color w:val="000000"/>
          <w:lang w:eastAsia="nl-BE"/>
        </w:rPr>
        <w:t xml:space="preserve">nationale en internationale </w:t>
      </w:r>
      <w:r w:rsidR="00C846EC" w:rsidRPr="00C846EC">
        <w:rPr>
          <w:rFonts w:cs="Arial"/>
          <w:iCs/>
          <w:color w:val="000000"/>
          <w:lang w:eastAsia="nl-BE"/>
        </w:rPr>
        <w:t>beleidsdocumenten</w:t>
      </w:r>
      <w:r w:rsidR="00C846EC">
        <w:rPr>
          <w:rFonts w:cs="Arial"/>
          <w:iCs/>
          <w:color w:val="000000"/>
          <w:lang w:eastAsia="nl-BE"/>
        </w:rPr>
        <w:t xml:space="preserve"> betreffende de professionele geschiktheid van voornoemde personen</w:t>
      </w:r>
      <w:r w:rsidR="00C846EC">
        <w:rPr>
          <w:rFonts w:cs="Arial"/>
        </w:rPr>
        <w:t xml:space="preserve">. </w:t>
      </w:r>
      <w:r w:rsidR="00C846EC" w:rsidRPr="00C846EC">
        <w:rPr>
          <w:rFonts w:cs="Arial"/>
          <w:iCs/>
          <w:color w:val="000000"/>
          <w:lang w:eastAsia="nl-BE"/>
        </w:rPr>
        <w:t xml:space="preserve">Het handboek, </w:t>
      </w:r>
      <w:r w:rsidR="00C846EC">
        <w:rPr>
          <w:rFonts w:cs="Arial"/>
          <w:iCs/>
          <w:color w:val="000000"/>
          <w:lang w:eastAsia="nl-BE"/>
        </w:rPr>
        <w:t>is online consulteerbaar, en</w:t>
      </w:r>
      <w:r w:rsidR="00C846EC">
        <w:rPr>
          <w:rFonts w:cs="Arial"/>
        </w:rPr>
        <w:t xml:space="preserve"> vervangt tevens </w:t>
      </w:r>
      <w:r w:rsidRPr="003D01F2">
        <w:rPr>
          <w:rFonts w:cs="Arial"/>
          <w:iCs/>
          <w:lang w:eastAsia="nl-BE"/>
        </w:rPr>
        <w:t>circulaire NBB_2013_02 dd. 17</w:t>
      </w:r>
      <w:r w:rsidR="00D73405">
        <w:rPr>
          <w:rFonts w:cs="Arial"/>
          <w:iCs/>
          <w:lang w:eastAsia="nl-BE"/>
        </w:rPr>
        <w:t> </w:t>
      </w:r>
      <w:r w:rsidRPr="003D01F2">
        <w:rPr>
          <w:rFonts w:cs="Arial"/>
          <w:iCs/>
          <w:lang w:eastAsia="nl-BE"/>
        </w:rPr>
        <w:t>juni</w:t>
      </w:r>
      <w:r w:rsidR="00D73405">
        <w:rPr>
          <w:rFonts w:cs="Arial"/>
          <w:iCs/>
          <w:lang w:eastAsia="nl-BE"/>
        </w:rPr>
        <w:t> </w:t>
      </w:r>
      <w:r w:rsidRPr="003D01F2">
        <w:rPr>
          <w:rFonts w:cs="Arial"/>
          <w:iCs/>
          <w:lang w:eastAsia="nl-BE"/>
        </w:rPr>
        <w:t>2013 inzake de standaarden van deskundigheid en professionele betrouwbaarheid voor de leden van het directiecomité, bestuurders, verantwoordelijken van onafhankelijke controlefuncties en effectieve leiders van financië</w:t>
      </w:r>
      <w:r>
        <w:rPr>
          <w:rFonts w:cs="Arial"/>
          <w:iCs/>
          <w:lang w:eastAsia="nl-BE"/>
        </w:rPr>
        <w:t>le instellingen</w:t>
      </w:r>
      <w:r w:rsidRPr="00D31E35">
        <w:rPr>
          <w:rFonts w:cs="Arial"/>
          <w:iCs/>
          <w:lang w:eastAsia="nl-BE"/>
        </w:rPr>
        <w:t xml:space="preserve">. </w:t>
      </w:r>
      <w:r w:rsidR="00D31E35" w:rsidRPr="00D31E35">
        <w:t>Het handboek is gericht aan alle financiële instellingen vermeld in het toepassingsgebied, en bevat verschillende hoof</w:t>
      </w:r>
      <w:r w:rsidR="00845931">
        <w:t>d</w:t>
      </w:r>
      <w:r w:rsidR="00D31E35" w:rsidRPr="00D31E35">
        <w:t xml:space="preserve">stukken die de geschiktheidsvereisten oplijsten </w:t>
      </w:r>
      <w:r w:rsidR="003442F7">
        <w:t xml:space="preserve">die </w:t>
      </w:r>
      <w:r w:rsidR="00D31E35" w:rsidRPr="00D31E35">
        <w:t xml:space="preserve">van toepassing </w:t>
      </w:r>
      <w:r w:rsidR="003442F7">
        <w:t xml:space="preserve">zijn </w:t>
      </w:r>
      <w:r w:rsidR="00D31E35" w:rsidRPr="00D31E35">
        <w:t xml:space="preserve">op de </w:t>
      </w:r>
      <w:r w:rsidR="003442F7">
        <w:t xml:space="preserve">verschillende </w:t>
      </w:r>
      <w:r w:rsidR="00D31E35" w:rsidRPr="00D31E35">
        <w:t>soorten instellingen.</w:t>
      </w:r>
    </w:p>
    <w:p w14:paraId="32217A65" w14:textId="68341A8F" w:rsidR="003D01F2" w:rsidRPr="001F7C90" w:rsidRDefault="003D01F2" w:rsidP="00A50A1F">
      <w:pPr>
        <w:tabs>
          <w:tab w:val="clear" w:pos="284"/>
        </w:tabs>
        <w:autoSpaceDE w:val="0"/>
        <w:autoSpaceDN w:val="0"/>
        <w:adjustRightInd w:val="0"/>
        <w:spacing w:before="200" w:line="240" w:lineRule="atLeast"/>
        <w:jc w:val="both"/>
      </w:pPr>
      <w:r>
        <w:rPr>
          <w:rFonts w:cs="Arial"/>
          <w:iCs/>
          <w:lang w:eastAsia="nl-BE"/>
        </w:rPr>
        <w:t>Daarnaast</w:t>
      </w:r>
      <w:r w:rsidRPr="003D01F2">
        <w:rPr>
          <w:rFonts w:cs="Arial"/>
          <w:iCs/>
          <w:lang w:eastAsia="nl-BE"/>
        </w:rPr>
        <w:t xml:space="preserve"> </w:t>
      </w:r>
      <w:r w:rsidRPr="003D01F2">
        <w:rPr>
          <w:rFonts w:cs="Arial"/>
        </w:rPr>
        <w:t xml:space="preserve">zet </w:t>
      </w:r>
      <w:r w:rsidR="00C846EC">
        <w:rPr>
          <w:rFonts w:cs="Arial"/>
        </w:rPr>
        <w:t>deze circulaire tevens</w:t>
      </w:r>
      <w:r w:rsidRPr="003D01F2">
        <w:rPr>
          <w:rFonts w:cs="Arial"/>
        </w:rPr>
        <w:t xml:space="preserve"> de richtsnoeren</w:t>
      </w:r>
      <w:r w:rsidR="00B83DD1">
        <w:rPr>
          <w:rFonts w:cs="Arial"/>
        </w:rPr>
        <w:t xml:space="preserve"> EBA/GL/2017/12</w:t>
      </w:r>
      <w:r w:rsidRPr="003D01F2">
        <w:rPr>
          <w:rFonts w:cs="Arial"/>
        </w:rPr>
        <w:t xml:space="preserve"> van </w:t>
      </w:r>
      <w:r w:rsidR="00B83DD1">
        <w:rPr>
          <w:rFonts w:cs="Arial"/>
        </w:rPr>
        <w:t>de Europese Bankautoriteit (EBA)</w:t>
      </w:r>
      <w:r w:rsidRPr="003D01F2">
        <w:rPr>
          <w:rFonts w:cs="Arial"/>
        </w:rPr>
        <w:t xml:space="preserve"> van 26 september 2017 voor het beoordelen van de geschiktheid van leden van het leidinggevend orgaan en medewerkers met een sleutelfunctie om in het Belgische prudentiële kader.</w:t>
      </w:r>
      <w:r w:rsidR="00D31E35">
        <w:rPr>
          <w:rFonts w:cs="Arial"/>
        </w:rPr>
        <w:t xml:space="preserve"> Deze richtsnoeren zijn uitdrukkelijk gericht aan de kredietinstellingen, </w:t>
      </w:r>
      <w:r w:rsidR="00130D36">
        <w:rPr>
          <w:rFonts w:cs="Arial"/>
        </w:rPr>
        <w:t>belegginsondernemingen</w:t>
      </w:r>
      <w:r w:rsidR="001F7C90">
        <w:rPr>
          <w:rFonts w:cs="Arial"/>
        </w:rPr>
        <w:t>,</w:t>
      </w:r>
      <w:r w:rsidR="00D31E35">
        <w:rPr>
          <w:rFonts w:cs="Arial"/>
        </w:rPr>
        <w:t xml:space="preserve"> </w:t>
      </w:r>
      <w:r w:rsidR="001F7C90">
        <w:t>financiële holdings en gemengde financiële holdings</w:t>
      </w:r>
      <w:r w:rsidR="00D31E35">
        <w:rPr>
          <w:rFonts w:cs="Arial"/>
        </w:rPr>
        <w:t>.</w:t>
      </w:r>
      <w:r w:rsidR="00C846EC">
        <w:rPr>
          <w:rFonts w:cs="Arial"/>
        </w:rPr>
        <w:t xml:space="preserve"> De circulaire omvat, als bijlage en in hun geheel, de door de EBA uitgewerkte richtsnoeren in het Nederlands. De bijlage bij deze circulaire is beschikbaar op de website van de Nationale Bank van België.</w:t>
      </w:r>
    </w:p>
    <w:p w14:paraId="32217A68" w14:textId="562E8288" w:rsidR="00345973" w:rsidRPr="00130D36" w:rsidRDefault="00777713" w:rsidP="00A50A1F">
      <w:pPr>
        <w:spacing w:before="200" w:line="240" w:lineRule="atLeast"/>
        <w:jc w:val="both"/>
      </w:pPr>
      <w:r w:rsidRPr="00777713">
        <w:t xml:space="preserve">Wat de verzekeringssector betreft, zet deze circulaire, via het voormelde handboek, tevens de </w:t>
      </w:r>
      <w:r w:rsidRPr="00777713">
        <w:rPr>
          <w:rFonts w:cs="Arial"/>
        </w:rPr>
        <w:t xml:space="preserve">richtlijnen 11 tot 14 van de </w:t>
      </w:r>
      <w:r w:rsidR="00130D36" w:rsidRPr="00777713">
        <w:rPr>
          <w:rFonts w:cs="Arial"/>
        </w:rPr>
        <w:t>richtsnoeren voor het governancesysteem van 14 september 2015</w:t>
      </w:r>
      <w:r w:rsidR="00130D36">
        <w:rPr>
          <w:rFonts w:cs="Arial"/>
        </w:rPr>
        <w:t>,</w:t>
      </w:r>
      <w:r w:rsidR="00130D36" w:rsidRPr="00777713">
        <w:rPr>
          <w:rFonts w:cs="Arial"/>
        </w:rPr>
        <w:t xml:space="preserve"> </w:t>
      </w:r>
      <w:r w:rsidR="00130D36">
        <w:rPr>
          <w:rFonts w:cs="Arial"/>
        </w:rPr>
        <w:t>uitgevaardigd door de Europese Verzekeringsautoriteit (EI</w:t>
      </w:r>
      <w:r w:rsidR="002C25D5">
        <w:rPr>
          <w:rFonts w:cs="Arial"/>
        </w:rPr>
        <w:t>O</w:t>
      </w:r>
      <w:r w:rsidR="00130D36">
        <w:rPr>
          <w:rFonts w:cs="Arial"/>
        </w:rPr>
        <w:t>PA)</w:t>
      </w:r>
      <w:r w:rsidR="00130D36" w:rsidRPr="00777713">
        <w:rPr>
          <w:rFonts w:cs="Arial"/>
        </w:rPr>
        <w:t xml:space="preserve"> om in het Belgische prudentiële kader</w:t>
      </w:r>
      <w:r w:rsidR="00130D36">
        <w:rPr>
          <w:rFonts w:cs="Arial"/>
        </w:rPr>
        <w:t>.</w:t>
      </w:r>
    </w:p>
    <w:p w14:paraId="32217A6A" w14:textId="77777777" w:rsidR="004F0108" w:rsidRDefault="00B170C1" w:rsidP="00A50A1F">
      <w:pPr>
        <w:pStyle w:val="ListParagraph"/>
        <w:numPr>
          <w:ilvl w:val="0"/>
          <w:numId w:val="31"/>
        </w:numPr>
        <w:tabs>
          <w:tab w:val="clear" w:pos="284"/>
        </w:tabs>
        <w:spacing w:before="200" w:line="240" w:lineRule="atLeast"/>
        <w:jc w:val="both"/>
        <w:rPr>
          <w:b/>
        </w:rPr>
      </w:pPr>
      <w:r w:rsidRPr="00B170C1">
        <w:rPr>
          <w:b/>
        </w:rPr>
        <w:t>Handboek</w:t>
      </w:r>
    </w:p>
    <w:p w14:paraId="32217A6C" w14:textId="4D853C0E" w:rsidR="006E714E" w:rsidRDefault="006E714E" w:rsidP="00A50A1F">
      <w:pPr>
        <w:autoSpaceDE w:val="0"/>
        <w:autoSpaceDN w:val="0"/>
        <w:adjustRightInd w:val="0"/>
        <w:spacing w:before="200" w:line="240" w:lineRule="atLeast"/>
        <w:jc w:val="both"/>
        <w:rPr>
          <w:rFonts w:cs="Arial"/>
        </w:rPr>
      </w:pPr>
      <w:r w:rsidRPr="009F1B8A">
        <w:rPr>
          <w:rFonts w:cs="Arial"/>
          <w:color w:val="000000"/>
        </w:rPr>
        <w:t xml:space="preserve">Het handboek </w:t>
      </w:r>
      <w:r>
        <w:rPr>
          <w:rFonts w:cs="Arial"/>
          <w:color w:val="000000"/>
        </w:rPr>
        <w:t>bestaat uit 5 hoof</w:t>
      </w:r>
      <w:r w:rsidR="00651BD7">
        <w:rPr>
          <w:rFonts w:cs="Arial"/>
          <w:color w:val="000000"/>
        </w:rPr>
        <w:t>d</w:t>
      </w:r>
      <w:r>
        <w:rPr>
          <w:rFonts w:cs="Arial"/>
          <w:color w:val="000000"/>
        </w:rPr>
        <w:t xml:space="preserve">stukken, en </w:t>
      </w:r>
      <w:r w:rsidRPr="009F1B8A">
        <w:rPr>
          <w:rFonts w:cs="Arial"/>
          <w:color w:val="000000"/>
        </w:rPr>
        <w:t>strekt ertoe alle toepass</w:t>
      </w:r>
      <w:r>
        <w:rPr>
          <w:rFonts w:cs="Arial"/>
          <w:color w:val="000000"/>
        </w:rPr>
        <w:t xml:space="preserve">elijke beleidsdocumenten betreffende geschiktheid (Europese regelgeving, Belgische </w:t>
      </w:r>
      <w:r w:rsidRPr="009F1B8A">
        <w:rPr>
          <w:rFonts w:cs="Arial"/>
          <w:color w:val="000000"/>
        </w:rPr>
        <w:t>wet</w:t>
      </w:r>
      <w:r>
        <w:rPr>
          <w:rFonts w:cs="Arial"/>
          <w:color w:val="000000"/>
        </w:rPr>
        <w:t>geving</w:t>
      </w:r>
      <w:r w:rsidRPr="009F1B8A">
        <w:rPr>
          <w:rFonts w:cs="Arial"/>
          <w:color w:val="000000"/>
        </w:rPr>
        <w:t xml:space="preserve">, </w:t>
      </w:r>
      <w:r>
        <w:rPr>
          <w:rFonts w:cs="Arial"/>
          <w:color w:val="000000"/>
        </w:rPr>
        <w:t>voorbereidende parlementaire werkzaamheden</w:t>
      </w:r>
      <w:r w:rsidRPr="009F1B8A">
        <w:rPr>
          <w:rFonts w:cs="Arial"/>
          <w:color w:val="000000"/>
        </w:rPr>
        <w:t>, reglementen, circulaires, internationale standaarden</w:t>
      </w:r>
      <w:r>
        <w:rPr>
          <w:rFonts w:cs="Arial"/>
          <w:color w:val="000000"/>
        </w:rPr>
        <w:t>, etc..</w:t>
      </w:r>
      <w:r w:rsidRPr="009F1B8A">
        <w:rPr>
          <w:rFonts w:cs="Arial"/>
          <w:color w:val="000000"/>
        </w:rPr>
        <w:t xml:space="preserve">) te bundelen en deze, indien nuttig, extra toe te lichten. Daarnaast bevat het handboek ook toelichting bij thema’s die niet als zodanig het voorwerp uitmaken van specifieke beleidsdocumenten. Verder spreekt het voor zich dat </w:t>
      </w:r>
      <w:r>
        <w:rPr>
          <w:rFonts w:cs="Arial"/>
          <w:color w:val="000000"/>
        </w:rPr>
        <w:t xml:space="preserve">beleidsdocumenten </w:t>
      </w:r>
      <w:r w:rsidRPr="009F1B8A">
        <w:rPr>
          <w:rFonts w:cs="Arial"/>
        </w:rPr>
        <w:t>die niet in dit handboek aan bod ko</w:t>
      </w:r>
      <w:r>
        <w:rPr>
          <w:rFonts w:cs="Arial"/>
        </w:rPr>
        <w:t>men van toepassing blijven, en het handboek tevens</w:t>
      </w:r>
      <w:r w:rsidRPr="009F1B8A">
        <w:rPr>
          <w:rFonts w:cs="Arial"/>
        </w:rPr>
        <w:t xml:space="preserve"> de </w:t>
      </w:r>
      <w:r>
        <w:rPr>
          <w:rFonts w:cs="Arial"/>
        </w:rPr>
        <w:t>geschiktheids</w:t>
      </w:r>
      <w:r w:rsidRPr="009F1B8A">
        <w:rPr>
          <w:rFonts w:cs="Arial"/>
        </w:rPr>
        <w:t>bevo</w:t>
      </w:r>
      <w:r>
        <w:rPr>
          <w:rFonts w:cs="Arial"/>
        </w:rPr>
        <w:t>egdheden</w:t>
      </w:r>
      <w:r w:rsidRPr="009F1B8A">
        <w:rPr>
          <w:rFonts w:cs="Arial"/>
        </w:rPr>
        <w:t xml:space="preserve"> van andere toezichthoudende overheden (bv. de FSMA) onverlet</w:t>
      </w:r>
      <w:r>
        <w:rPr>
          <w:rFonts w:cs="Arial"/>
        </w:rPr>
        <w:t xml:space="preserve"> laat.</w:t>
      </w:r>
    </w:p>
    <w:p w14:paraId="32217A6E" w14:textId="77777777" w:rsidR="006E714E" w:rsidRDefault="006E714E" w:rsidP="00A50A1F">
      <w:pPr>
        <w:autoSpaceDE w:val="0"/>
        <w:autoSpaceDN w:val="0"/>
        <w:adjustRightInd w:val="0"/>
        <w:spacing w:before="200" w:line="240" w:lineRule="atLeast"/>
        <w:jc w:val="both"/>
        <w:rPr>
          <w:rFonts w:cs="Arial"/>
        </w:rPr>
      </w:pPr>
      <w:r w:rsidRPr="009F1B8A">
        <w:rPr>
          <w:rFonts w:cs="Arial"/>
        </w:rPr>
        <w:t>Het handboek vervangt geenszins de onderliggende beleidsdocumenten. Wanneer deze laatste wijzigingen ondergaan, zal dit tevens resulteren in een aanpassing van het handboek. Aangezien het in beginsel een online publicatie betreft, is het de bedoeling dat het handboek “leeft”, zonder dat daartoe telkens de referentie en naam diene</w:t>
      </w:r>
      <w:r>
        <w:rPr>
          <w:rFonts w:cs="Arial"/>
        </w:rPr>
        <w:t>n aangepast te worden, zoals bijvoorbeeld</w:t>
      </w:r>
      <w:r w:rsidRPr="009F1B8A">
        <w:rPr>
          <w:rFonts w:cs="Arial"/>
        </w:rPr>
        <w:t xml:space="preserve"> voor circulaires het geval is. Eventuele aanpassingen zullen wel steeds ter kennis worden gebracht van de instellingen. Daarnaast zullen ze worden toegelicht in een afzonderlijke rubriek, met vermelding van de datum van de aanpassing.</w:t>
      </w:r>
    </w:p>
    <w:p w14:paraId="32217A70" w14:textId="6A2A6B77" w:rsidR="006E714E" w:rsidRDefault="006E714E" w:rsidP="00A50A1F">
      <w:pPr>
        <w:autoSpaceDE w:val="0"/>
        <w:autoSpaceDN w:val="0"/>
        <w:adjustRightInd w:val="0"/>
        <w:spacing w:before="200" w:line="240" w:lineRule="atLeast"/>
        <w:jc w:val="both"/>
        <w:rPr>
          <w:rFonts w:cs="Arial"/>
          <w:color w:val="000000"/>
        </w:rPr>
      </w:pPr>
      <w:r w:rsidRPr="009F1B8A">
        <w:rPr>
          <w:rFonts w:cs="Arial"/>
        </w:rPr>
        <w:t xml:space="preserve">De structuur van </w:t>
      </w:r>
      <w:r>
        <w:rPr>
          <w:rFonts w:cs="Arial"/>
        </w:rPr>
        <w:t xml:space="preserve">het handboek is opgebouwd rond het toepassingsgebied </w:t>
      </w:r>
      <w:r w:rsidRPr="00983CC3">
        <w:rPr>
          <w:rFonts w:cs="Arial"/>
          <w:i/>
        </w:rPr>
        <w:t>ratione personae</w:t>
      </w:r>
      <w:r>
        <w:rPr>
          <w:rFonts w:cs="Arial"/>
        </w:rPr>
        <w:t>: de hoofdstukken 2, 3 en 4 bevatten elk een overzicht van de voor de betrokken financiële instellingen relevante wet</w:t>
      </w:r>
      <w:r w:rsidR="003442F7">
        <w:rPr>
          <w:rFonts w:cs="Arial"/>
        </w:rPr>
        <w:t>s</w:t>
      </w:r>
      <w:r>
        <w:rPr>
          <w:rFonts w:cs="Arial"/>
        </w:rPr>
        <w:t>teksten en beleidsdocumenten inzake deskundigheid en professionele betrouwbaarheid</w:t>
      </w:r>
      <w:r w:rsidRPr="009F1B8A">
        <w:rPr>
          <w:rFonts w:cs="Arial"/>
        </w:rPr>
        <w:t xml:space="preserve">. </w:t>
      </w:r>
    </w:p>
    <w:p w14:paraId="4AF5323F" w14:textId="29564A61" w:rsidR="00556064" w:rsidRDefault="006E714E" w:rsidP="00A50A1F">
      <w:pPr>
        <w:autoSpaceDE w:val="0"/>
        <w:autoSpaceDN w:val="0"/>
        <w:adjustRightInd w:val="0"/>
        <w:spacing w:before="200" w:line="240" w:lineRule="atLeast"/>
        <w:jc w:val="both"/>
        <w:rPr>
          <w:rFonts w:cs="Arial"/>
        </w:rPr>
      </w:pPr>
      <w:r>
        <w:rPr>
          <w:rFonts w:cs="Arial"/>
        </w:rPr>
        <w:lastRenderedPageBreak/>
        <w:t>Zoals hoger vermeld, verwijst het handboek tevens naar diverse beleidsdocume</w:t>
      </w:r>
      <w:r w:rsidR="001F7C90">
        <w:rPr>
          <w:rFonts w:cs="Arial"/>
        </w:rPr>
        <w:t>nten. Daarbij wordt – voor de betrokken instellingen</w:t>
      </w:r>
      <w:r>
        <w:rPr>
          <w:rFonts w:cs="Arial"/>
        </w:rPr>
        <w:t xml:space="preserve"> - bij</w:t>
      </w:r>
      <w:r w:rsidR="00D63B8E">
        <w:rPr>
          <w:rFonts w:cs="Arial"/>
        </w:rPr>
        <w:t xml:space="preserve">zondere aandacht geschonken aan </w:t>
      </w:r>
      <w:r>
        <w:rPr>
          <w:rFonts w:cs="Arial"/>
        </w:rPr>
        <w:t>de EBA/GL/2017/12 (cf. infra)</w:t>
      </w:r>
      <w:r w:rsidR="00D63B8E">
        <w:rPr>
          <w:rFonts w:cs="Arial"/>
        </w:rPr>
        <w:t xml:space="preserve">, </w:t>
      </w:r>
      <w:r w:rsidR="000177F2">
        <w:rPr>
          <w:rFonts w:cs="Arial"/>
        </w:rPr>
        <w:t>en</w:t>
      </w:r>
      <w:r w:rsidR="00D63B8E">
        <w:rPr>
          <w:rFonts w:cs="Arial"/>
        </w:rPr>
        <w:t xml:space="preserve"> </w:t>
      </w:r>
      <w:r w:rsidR="000177F2">
        <w:rPr>
          <w:rFonts w:cs="Arial"/>
        </w:rPr>
        <w:t>de door de Europese Central</w:t>
      </w:r>
      <w:r w:rsidR="003442F7">
        <w:rPr>
          <w:rFonts w:cs="Arial"/>
        </w:rPr>
        <w:t>e</w:t>
      </w:r>
      <w:r w:rsidR="000177F2">
        <w:rPr>
          <w:rFonts w:cs="Arial"/>
        </w:rPr>
        <w:t xml:space="preserve"> Bank (ECB) </w:t>
      </w:r>
      <w:r w:rsidR="00D63B8E">
        <w:rPr>
          <w:rFonts w:cs="Arial"/>
        </w:rPr>
        <w:t>in mei 2018</w:t>
      </w:r>
      <w:r>
        <w:rPr>
          <w:rFonts w:cs="Arial"/>
        </w:rPr>
        <w:t xml:space="preserve"> </w:t>
      </w:r>
      <w:r w:rsidR="000177F2">
        <w:rPr>
          <w:rFonts w:cs="Arial"/>
        </w:rPr>
        <w:t xml:space="preserve">gepubliceerde </w:t>
      </w:r>
      <w:r>
        <w:rPr>
          <w:rFonts w:cs="Arial"/>
        </w:rPr>
        <w:t xml:space="preserve">Gids voor de beoordeling van de deskundigheid en betrouwbaarheid </w:t>
      </w:r>
      <w:r w:rsidR="00D63B8E">
        <w:rPr>
          <w:rFonts w:cs="Arial"/>
        </w:rPr>
        <w:t>(“GTM</w:t>
      </w:r>
      <w:r w:rsidR="003442F7">
        <w:rPr>
          <w:rFonts w:cs="Arial"/>
        </w:rPr>
        <w:t>-</w:t>
      </w:r>
      <w:r w:rsidR="00D63B8E">
        <w:rPr>
          <w:rFonts w:cs="Arial"/>
        </w:rPr>
        <w:t>Gids”).</w:t>
      </w:r>
      <w:r>
        <w:rPr>
          <w:rFonts w:cs="Arial"/>
        </w:rPr>
        <w:t xml:space="preserve"> </w:t>
      </w:r>
      <w:r w:rsidR="000C0531">
        <w:rPr>
          <w:rFonts w:cs="Arial"/>
        </w:rPr>
        <w:t xml:space="preserve">Zowel de </w:t>
      </w:r>
      <w:r>
        <w:rPr>
          <w:rFonts w:cs="Arial"/>
        </w:rPr>
        <w:t xml:space="preserve">NBB </w:t>
      </w:r>
      <w:r w:rsidR="000C0531">
        <w:rPr>
          <w:rFonts w:cs="Arial"/>
        </w:rPr>
        <w:t>als</w:t>
      </w:r>
      <w:r w:rsidR="000177F2">
        <w:rPr>
          <w:rFonts w:cs="Arial"/>
        </w:rPr>
        <w:t xml:space="preserve"> de</w:t>
      </w:r>
      <w:r>
        <w:rPr>
          <w:rFonts w:cs="Arial"/>
        </w:rPr>
        <w:t xml:space="preserve"> ECB zullen </w:t>
      </w:r>
      <w:r w:rsidR="000177F2">
        <w:rPr>
          <w:rFonts w:cs="Arial"/>
        </w:rPr>
        <w:t>zich in de praktijk</w:t>
      </w:r>
      <w:r>
        <w:rPr>
          <w:rFonts w:cs="Arial"/>
        </w:rPr>
        <w:t xml:space="preserve"> laten leiden door deze GTM</w:t>
      </w:r>
      <w:r w:rsidR="003442F7">
        <w:rPr>
          <w:rFonts w:cs="Arial"/>
        </w:rPr>
        <w:t>-</w:t>
      </w:r>
      <w:r>
        <w:rPr>
          <w:rFonts w:cs="Arial"/>
        </w:rPr>
        <w:t>Gids, en bevelen de betrokken instellingen aan om hiermee rekening te houden.</w:t>
      </w:r>
      <w:r w:rsidR="00556064" w:rsidRPr="00556064">
        <w:rPr>
          <w:rFonts w:cs="Arial"/>
        </w:rPr>
        <w:t xml:space="preserve"> </w:t>
      </w:r>
    </w:p>
    <w:p w14:paraId="32217A72" w14:textId="7003E7BB" w:rsidR="006E714E" w:rsidRDefault="001F7C90" w:rsidP="00A50A1F">
      <w:pPr>
        <w:autoSpaceDE w:val="0"/>
        <w:autoSpaceDN w:val="0"/>
        <w:adjustRightInd w:val="0"/>
        <w:spacing w:before="200" w:line="240" w:lineRule="atLeast"/>
        <w:jc w:val="both"/>
        <w:rPr>
          <w:rFonts w:cs="Arial"/>
        </w:rPr>
      </w:pPr>
      <w:r>
        <w:rPr>
          <w:rFonts w:cs="Arial"/>
        </w:rPr>
        <w:t>S</w:t>
      </w:r>
      <w:r w:rsidR="00957802">
        <w:rPr>
          <w:rFonts w:cs="Arial"/>
        </w:rPr>
        <w:t>pecifiek</w:t>
      </w:r>
      <w:r>
        <w:rPr>
          <w:rFonts w:cs="Arial"/>
        </w:rPr>
        <w:t xml:space="preserve"> wat</w:t>
      </w:r>
      <w:r w:rsidR="00957802">
        <w:rPr>
          <w:rFonts w:cs="Arial"/>
        </w:rPr>
        <w:t xml:space="preserve"> de verzekeringssector betreft, </w:t>
      </w:r>
      <w:r w:rsidR="00556064">
        <w:rPr>
          <w:rFonts w:cs="Arial"/>
        </w:rPr>
        <w:t xml:space="preserve">verwijst het handboek </w:t>
      </w:r>
      <w:r w:rsidR="00957802">
        <w:rPr>
          <w:rFonts w:cs="Arial"/>
        </w:rPr>
        <w:t xml:space="preserve">voorts </w:t>
      </w:r>
      <w:r w:rsidR="00556064">
        <w:rPr>
          <w:rFonts w:cs="Arial"/>
        </w:rPr>
        <w:t xml:space="preserve">naar </w:t>
      </w:r>
      <w:r w:rsidR="00957802">
        <w:rPr>
          <w:rFonts w:cs="Arial"/>
        </w:rPr>
        <w:t xml:space="preserve">een aantal voor de </w:t>
      </w:r>
      <w:r w:rsidR="00556064">
        <w:rPr>
          <w:rFonts w:cs="Arial"/>
        </w:rPr>
        <w:t xml:space="preserve">sector relevante </w:t>
      </w:r>
      <w:r w:rsidR="00957802">
        <w:rPr>
          <w:rFonts w:cs="Arial"/>
        </w:rPr>
        <w:t xml:space="preserve">nationale en internationale </w:t>
      </w:r>
      <w:r w:rsidR="00556064">
        <w:rPr>
          <w:rFonts w:cs="Arial"/>
        </w:rPr>
        <w:t xml:space="preserve">beleidsdocumenten, waaronder de richtlijnen 11 tot 14 van </w:t>
      </w:r>
      <w:r w:rsidR="00957802">
        <w:rPr>
          <w:rFonts w:cs="Arial"/>
        </w:rPr>
        <w:t>de</w:t>
      </w:r>
      <w:r w:rsidR="00556064">
        <w:rPr>
          <w:rFonts w:cs="Arial"/>
        </w:rPr>
        <w:t xml:space="preserve"> EIOPA</w:t>
      </w:r>
      <w:r w:rsidR="004642A5">
        <w:rPr>
          <w:rFonts w:cs="Arial"/>
        </w:rPr>
        <w:noBreakHyphen/>
      </w:r>
      <w:r w:rsidR="00957802">
        <w:rPr>
          <w:rFonts w:cs="Arial"/>
        </w:rPr>
        <w:t>richtsnoeren</w:t>
      </w:r>
      <w:r w:rsidR="00556064">
        <w:rPr>
          <w:rFonts w:cs="Arial"/>
        </w:rPr>
        <w:t xml:space="preserve"> </w:t>
      </w:r>
      <w:r w:rsidR="00957802">
        <w:rPr>
          <w:rFonts w:cs="Arial"/>
        </w:rPr>
        <w:t>voor het governancesysteem d.d. 14 september 2015</w:t>
      </w:r>
      <w:r w:rsidR="00556064">
        <w:rPr>
          <w:rFonts w:cs="Arial"/>
        </w:rPr>
        <w:t>.</w:t>
      </w:r>
    </w:p>
    <w:p w14:paraId="32217A74" w14:textId="77777777" w:rsidR="003A142C" w:rsidRDefault="002A01BF" w:rsidP="00A50A1F">
      <w:pPr>
        <w:pStyle w:val="ListParagraph"/>
        <w:numPr>
          <w:ilvl w:val="0"/>
          <w:numId w:val="31"/>
        </w:numPr>
        <w:tabs>
          <w:tab w:val="clear" w:pos="284"/>
        </w:tabs>
        <w:autoSpaceDE w:val="0"/>
        <w:autoSpaceDN w:val="0"/>
        <w:adjustRightInd w:val="0"/>
        <w:spacing w:before="200" w:line="240" w:lineRule="atLeast"/>
        <w:jc w:val="both"/>
        <w:rPr>
          <w:rFonts w:ascii="ArialMT" w:hAnsi="ArialMT" w:cs="ArialMT"/>
          <w:b/>
          <w:lang w:eastAsia="nl-BE"/>
        </w:rPr>
      </w:pPr>
      <w:r w:rsidRPr="002A01BF">
        <w:rPr>
          <w:rFonts w:ascii="ArialMT" w:hAnsi="ArialMT" w:cs="ArialMT"/>
          <w:b/>
          <w:lang w:eastAsia="nl-BE"/>
        </w:rPr>
        <w:t>EBA/GL/2017/12</w:t>
      </w:r>
      <w:r>
        <w:rPr>
          <w:rFonts w:ascii="ArialMT" w:hAnsi="ArialMT" w:cs="ArialMT"/>
          <w:b/>
          <w:lang w:eastAsia="nl-BE"/>
        </w:rPr>
        <w:t xml:space="preserve"> voor het beoordelen van de geschiktheid van leden van het leidinggevend orgaan en medewerkers met een sleutelfunctie</w:t>
      </w:r>
    </w:p>
    <w:p w14:paraId="32217A76" w14:textId="77777777" w:rsidR="003A142C" w:rsidRDefault="006E714E" w:rsidP="00A50A1F">
      <w:pPr>
        <w:tabs>
          <w:tab w:val="clear" w:pos="284"/>
        </w:tabs>
        <w:autoSpaceDE w:val="0"/>
        <w:autoSpaceDN w:val="0"/>
        <w:adjustRightInd w:val="0"/>
        <w:spacing w:before="200" w:line="240" w:lineRule="atLeast"/>
        <w:jc w:val="both"/>
      </w:pPr>
      <w:r>
        <w:t>Richtlijnen 2013/36/EU</w:t>
      </w:r>
      <w:r>
        <w:rPr>
          <w:rStyle w:val="FootnoteReference"/>
          <w:rFonts w:cs="Arial"/>
        </w:rPr>
        <w:footnoteReference w:id="2"/>
      </w:r>
      <w:r>
        <w:t xml:space="preserve"> (“CRD IV”) en 2014/65/EU</w:t>
      </w:r>
      <w:r>
        <w:rPr>
          <w:rStyle w:val="FootnoteReference"/>
          <w:rFonts w:cs="Arial"/>
        </w:rPr>
        <w:footnoteReference w:id="3"/>
      </w:r>
      <w:r>
        <w:t xml:space="preserve"> (“MIFID II”) bevatten diverse bepalingen die aan de EBA de bevoegdheid verlenen om richtsnoeren uit te vaardigen betreffende de individuele en - desgevallend - collectieve geschiktheidsvereisten van leden van het leidinggevend orgaan en medewerkers met een sleutelfunctie bij kredietinstellingen, beleggingsondernemingen, financiële holdings en gemengde financiële holdings.</w:t>
      </w:r>
    </w:p>
    <w:p w14:paraId="32217A78" w14:textId="77777777" w:rsidR="00A67EF7" w:rsidRPr="003A142C" w:rsidRDefault="006E714E" w:rsidP="00A50A1F">
      <w:pPr>
        <w:tabs>
          <w:tab w:val="clear" w:pos="284"/>
        </w:tabs>
        <w:autoSpaceDE w:val="0"/>
        <w:autoSpaceDN w:val="0"/>
        <w:adjustRightInd w:val="0"/>
        <w:spacing w:before="200" w:line="240" w:lineRule="atLeast"/>
        <w:jc w:val="both"/>
        <w:rPr>
          <w:rFonts w:ascii="ArialMT" w:hAnsi="ArialMT" w:cs="ArialMT"/>
          <w:b/>
          <w:lang w:eastAsia="nl-BE"/>
        </w:rPr>
      </w:pPr>
      <w:r>
        <w:t xml:space="preserve">In dit kader heeft de EBA op 26 september 2017 de richtsnoeren EBA/GL/2017/12 uitgevaardigd, die vanaf 30 juni 2018 dienen te worden toegepast. </w:t>
      </w:r>
    </w:p>
    <w:p w14:paraId="32217A7A" w14:textId="3A58830F" w:rsidR="00A67EF7" w:rsidRDefault="00A67EF7" w:rsidP="00A50A1F">
      <w:pPr>
        <w:spacing w:before="200" w:line="240" w:lineRule="atLeast"/>
        <w:jc w:val="both"/>
      </w:pPr>
      <w:r>
        <w:t>De NBB zal zich bij haar concrete toezicht op de geschiktheidsvereisten laten leiden door deze richtsn</w:t>
      </w:r>
      <w:r w:rsidR="001D1E99">
        <w:t>oeren. D</w:t>
      </w:r>
      <w:r>
        <w:t xml:space="preserve">e geviseerde instellingen </w:t>
      </w:r>
      <w:r w:rsidR="001D1E99">
        <w:t xml:space="preserve">dienen </w:t>
      </w:r>
      <w:r>
        <w:t>daarom, als invulling en verduidelijking van de wettelijke bepalingen betreffende de geschiktheidsvereisten, deze richtsnoeren toe te passen en na te</w:t>
      </w:r>
      <w:r w:rsidR="009371CD">
        <w:t xml:space="preserve"> leven</w:t>
      </w:r>
      <w:r w:rsidR="001D1E99">
        <w:t>, tenzij uitdrukkelijk anders bepaald door de wet</w:t>
      </w:r>
      <w:r w:rsidR="009371CD">
        <w:t xml:space="preserve">. </w:t>
      </w:r>
      <w:r w:rsidR="001D1E99">
        <w:t>Wat dit laatste betreft wordt gewezen op het volgende:</w:t>
      </w:r>
    </w:p>
    <w:p w14:paraId="32217A7C" w14:textId="68A435E9" w:rsidR="002B3ECC" w:rsidRPr="006436E1" w:rsidRDefault="001D1E99" w:rsidP="00A50A1F">
      <w:pPr>
        <w:pStyle w:val="ListParagraph"/>
        <w:numPr>
          <w:ilvl w:val="0"/>
          <w:numId w:val="35"/>
        </w:numPr>
        <w:spacing w:before="200" w:line="240" w:lineRule="atLeast"/>
        <w:jc w:val="both"/>
      </w:pPr>
      <w:r>
        <w:t>Bij d</w:t>
      </w:r>
      <w:r w:rsidR="002B3ECC">
        <w:t>e berekening van de kwantitatieve beperkingen inzake de bestuursmandaten,</w:t>
      </w:r>
      <w:r>
        <w:t xml:space="preserve"> hanteren</w:t>
      </w:r>
      <w:r w:rsidR="00AB48E7">
        <w:t xml:space="preserve"> de EBA</w:t>
      </w:r>
      <w:r w:rsidR="00987165">
        <w:t>-</w:t>
      </w:r>
      <w:r w:rsidR="00AB48E7">
        <w:t xml:space="preserve">richtsnoeren een </w:t>
      </w:r>
      <w:r>
        <w:t xml:space="preserve">wijze van berekening </w:t>
      </w:r>
      <w:r w:rsidR="002B3ECC">
        <w:t>voor de samentelling van verschillende mandaten die binnen eenzelfde groep worden uitgeoefend</w:t>
      </w:r>
      <w:r>
        <w:t xml:space="preserve"> </w:t>
      </w:r>
      <w:r w:rsidR="00AB48E7">
        <w:t>die</w:t>
      </w:r>
      <w:r>
        <w:t xml:space="preserve"> verschilt van de specifieke regels voorgeschreven door</w:t>
      </w:r>
      <w:r w:rsidR="002B3ECC">
        <w:t xml:space="preserve"> artikel 62, § 9 van </w:t>
      </w:r>
      <w:r w:rsidR="002B3ECC" w:rsidRPr="00AB48E7">
        <w:t>de Bankwet</w:t>
      </w:r>
      <w:r w:rsidR="00AB48E7" w:rsidRPr="00AB48E7">
        <w:rPr>
          <w:rStyle w:val="FootnoteReference"/>
        </w:rPr>
        <w:footnoteReference w:id="4"/>
      </w:r>
      <w:r w:rsidR="002B3ECC" w:rsidRPr="00AB48E7">
        <w:t>.</w:t>
      </w:r>
    </w:p>
    <w:p w14:paraId="32217A7D" w14:textId="77777777" w:rsidR="002B3ECC" w:rsidRDefault="002B3ECC" w:rsidP="00A50A1F">
      <w:pPr>
        <w:spacing w:line="240" w:lineRule="auto"/>
        <w:ind w:left="567"/>
        <w:jc w:val="both"/>
      </w:pPr>
    </w:p>
    <w:p w14:paraId="372C4ECE" w14:textId="1F5D4EAE" w:rsidR="00583102" w:rsidRDefault="00583102" w:rsidP="00A50A1F">
      <w:pPr>
        <w:pStyle w:val="ListParagraph"/>
        <w:numPr>
          <w:ilvl w:val="0"/>
          <w:numId w:val="36"/>
        </w:numPr>
        <w:spacing w:line="240" w:lineRule="auto"/>
        <w:ind w:left="641" w:hanging="357"/>
        <w:jc w:val="both"/>
      </w:pPr>
      <w:r>
        <w:t xml:space="preserve">De formele onafhankelijkheidscriteria neergelegd in de toezichtswetten verwijzen naar de onafhankelijkheidscriteria als bepaald in artikel 526ter van het Wetboek </w:t>
      </w:r>
      <w:r w:rsidR="00987165">
        <w:t xml:space="preserve">van </w:t>
      </w:r>
      <w:r>
        <w:t xml:space="preserve">Vennootschappen. Deze criteria stemmen niet volledig overeen (zowel ruimer als beperkter) met de </w:t>
      </w:r>
      <w:r w:rsidRPr="003A142C">
        <w:t xml:space="preserve">criteria die in </w:t>
      </w:r>
      <w:r>
        <w:t>§§</w:t>
      </w:r>
      <w:r w:rsidR="004642A5">
        <w:t> </w:t>
      </w:r>
      <w:r>
        <w:t>91</w:t>
      </w:r>
      <w:r w:rsidR="004642A5">
        <w:noBreakHyphen/>
      </w:r>
      <w:r>
        <w:t xml:space="preserve">93 van </w:t>
      </w:r>
      <w:r w:rsidRPr="003A142C">
        <w:t>de EBA</w:t>
      </w:r>
      <w:r w:rsidR="00FD2B0A">
        <w:t>-</w:t>
      </w:r>
      <w:r w:rsidRPr="003A142C">
        <w:t xml:space="preserve">richtsnoeren worden gehanteerd voor de beoordeling van het “onafhankelijk zijn”. In de mate dat de </w:t>
      </w:r>
      <w:r>
        <w:t>EBA</w:t>
      </w:r>
      <w:r w:rsidR="00FD2B0A">
        <w:t>-</w:t>
      </w:r>
      <w:r>
        <w:t>richtsnoeren</w:t>
      </w:r>
      <w:r w:rsidRPr="003A142C">
        <w:t xml:space="preserve"> </w:t>
      </w:r>
      <w:r w:rsidR="00987165">
        <w:t xml:space="preserve">in </w:t>
      </w:r>
      <w:r w:rsidRPr="003A142C">
        <w:t>bijkomende onafhankelijkheidsvoorwaarden voorzien ten opzichte van hetgeen vereist wo</w:t>
      </w:r>
      <w:r>
        <w:t xml:space="preserve">rdt </w:t>
      </w:r>
      <w:r w:rsidR="00987165">
        <w:t xml:space="preserve">in </w:t>
      </w:r>
      <w:r>
        <w:t xml:space="preserve">artikel 526ter van het Wetboek </w:t>
      </w:r>
      <w:r w:rsidR="00987165">
        <w:t xml:space="preserve">van </w:t>
      </w:r>
      <w:r>
        <w:t>Vennootschappen</w:t>
      </w:r>
      <w:r w:rsidRPr="003A142C">
        <w:t xml:space="preserve">, dienen deze bijkomende voorwaarden </w:t>
      </w:r>
      <w:r>
        <w:t xml:space="preserve">derhalve </w:t>
      </w:r>
      <w:r w:rsidRPr="003A142C">
        <w:t>beschouwd te worden als een (aanbevolen) goede praktijk</w:t>
      </w:r>
      <w:r>
        <w:t xml:space="preserve"> (i.e. toepassing op grond van een zogenaamde “comply or explain”</w:t>
      </w:r>
      <w:r w:rsidR="00987165">
        <w:t>-</w:t>
      </w:r>
      <w:r>
        <w:t>basis)</w:t>
      </w:r>
      <w:r w:rsidRPr="003A142C">
        <w:t xml:space="preserve">, eerder dan </w:t>
      </w:r>
      <w:r w:rsidR="00987165">
        <w:t xml:space="preserve">als </w:t>
      </w:r>
      <w:r w:rsidRPr="003A142C">
        <w:t>een formele wettelijke vereiste.</w:t>
      </w:r>
      <w:r>
        <w:t xml:space="preserve"> Daarbij dient de instelling het basisbeginsel indachtig te zijn dat niet enkel de letter maar ook de geest van de wet dient te worden geëerbiedigd: de formele wettelijke onafhankelijkheidscriteria hebben tot doel om de </w:t>
      </w:r>
      <w:r w:rsidRPr="00404D2D">
        <w:rPr>
          <w:b/>
          <w:i/>
        </w:rPr>
        <w:t>effectieve onafhankelijkheid</w:t>
      </w:r>
      <w:r>
        <w:t xml:space="preserve"> van de betrokken bestuurders in hun dagdagelijks functioneren te waarborgen. Indien de instelling echter kennis zou hebben van elementen die deze effectieve onafhankelijkheid potentieel in het gedrang zouden kunnen brengen, dient zij deze elementen te onderzoeken en, desgevallend, te rechtvaardigen waarom zij meent dat het vermogen van de betrokken persoon om objectief en afgewogen te oordelen en onafhankelijke besluiten te nemen niet wordt aangetast. </w:t>
      </w:r>
    </w:p>
    <w:p w14:paraId="32217A80" w14:textId="3254F36C" w:rsidR="003A142C" w:rsidRDefault="003A142C" w:rsidP="00A50A1F">
      <w:pPr>
        <w:spacing w:before="200" w:line="240" w:lineRule="atLeast"/>
        <w:jc w:val="both"/>
      </w:pPr>
      <w:r>
        <w:t>Voornoemde twee bijzonderheden worden onder de rubrieken “onafhankelijkheid en belangenconflicten” en “tijdsbesteding” nader toegelicht in het fit &amp; proper</w:t>
      </w:r>
      <w:r w:rsidR="009F562E">
        <w:t>-</w:t>
      </w:r>
      <w:r>
        <w:t>handboek.</w:t>
      </w:r>
    </w:p>
    <w:p w14:paraId="7D60B24B" w14:textId="11D5A25C" w:rsidR="002D5C8D" w:rsidRPr="003A142C" w:rsidRDefault="002D5C8D" w:rsidP="00A50A1F">
      <w:pPr>
        <w:spacing w:before="200" w:line="240" w:lineRule="atLeast"/>
        <w:jc w:val="both"/>
      </w:pPr>
      <w:r>
        <w:t>Om redenen van coherentie en level playing field wordt gestreefd naar een zo groot mogelijke cross-sectorale benadering van de geschiktheidsvereisten.</w:t>
      </w:r>
      <w:r w:rsidRPr="00A67EF7">
        <w:t xml:space="preserve"> </w:t>
      </w:r>
      <w:r>
        <w:t>Ofschoon voornoemde EBA</w:t>
      </w:r>
      <w:r w:rsidR="00FD2B0A">
        <w:t>-</w:t>
      </w:r>
      <w:r>
        <w:t>richtsnoeren uitdrukkelijk gericht zijn aan</w:t>
      </w:r>
      <w:r w:rsidRPr="00A87B4A">
        <w:t xml:space="preserve"> k</w:t>
      </w:r>
      <w:r>
        <w:t>redietinstellingen en</w:t>
      </w:r>
      <w:r w:rsidRPr="00A87B4A">
        <w:t xml:space="preserve"> beursvennootschappen</w:t>
      </w:r>
      <w:r>
        <w:t xml:space="preserve">, bevatten zij </w:t>
      </w:r>
      <w:r w:rsidRPr="00A87B4A">
        <w:t>goede praktijken die</w:t>
      </w:r>
      <w:r>
        <w:t xml:space="preserve"> een brede</w:t>
      </w:r>
      <w:r w:rsidRPr="00A87B4A">
        <w:t xml:space="preserve"> navolging verdienen.</w:t>
      </w:r>
      <w:r>
        <w:t xml:space="preserve"> Bijgevolg beveelt de NBB de andere instellingen tevens aan om de goede praktijken </w:t>
      </w:r>
      <w:r>
        <w:lastRenderedPageBreak/>
        <w:t xml:space="preserve">in deze richtsnoeren – binnen de grenzen van de respectieve toezichtswetten, en rekening houdend met de specifieke proportionaliteitsvariabelen vermeld in het </w:t>
      </w:r>
      <w:r w:rsidR="00B76BB2">
        <w:t>“</w:t>
      </w:r>
      <w:r>
        <w:t>fit &amp; proper</w:t>
      </w:r>
      <w:r w:rsidR="00B76BB2">
        <w:t>”-</w:t>
      </w:r>
      <w:r>
        <w:t xml:space="preserve">handboek – waar mogelijk </w:t>
      </w:r>
      <w:r w:rsidRPr="006C3B79">
        <w:rPr>
          <w:i/>
        </w:rPr>
        <w:t>mutatis mutandis</w:t>
      </w:r>
      <w:r>
        <w:t xml:space="preserve"> toe te passen.</w:t>
      </w:r>
    </w:p>
    <w:p w14:paraId="34485C83" w14:textId="34721698" w:rsidR="00D12F2B" w:rsidRPr="002C0C9D" w:rsidRDefault="00FD2B0A" w:rsidP="00A50A1F">
      <w:pPr>
        <w:pStyle w:val="ListParagraph"/>
        <w:numPr>
          <w:ilvl w:val="0"/>
          <w:numId w:val="31"/>
        </w:numPr>
        <w:spacing w:before="200" w:line="240" w:lineRule="atLeast"/>
        <w:jc w:val="both"/>
        <w:rPr>
          <w:b/>
        </w:rPr>
      </w:pPr>
      <w:r w:rsidRPr="002C0C9D">
        <w:rPr>
          <w:b/>
        </w:rPr>
        <w:t xml:space="preserve">EIOPA-richtsnoeren voor het governancesysteem en </w:t>
      </w:r>
      <w:r w:rsidR="00F26312">
        <w:rPr>
          <w:b/>
        </w:rPr>
        <w:t>specifi</w:t>
      </w:r>
      <w:r w:rsidR="002C0C9D" w:rsidRPr="002C0C9D">
        <w:rPr>
          <w:b/>
        </w:rPr>
        <w:t>ek</w:t>
      </w:r>
      <w:r w:rsidR="00F26312">
        <w:rPr>
          <w:b/>
        </w:rPr>
        <w:t>e</w:t>
      </w:r>
      <w:r w:rsidR="002C0C9D" w:rsidRPr="002C0C9D">
        <w:rPr>
          <w:b/>
        </w:rPr>
        <w:t xml:space="preserve"> bepalingen met betrekking tot verzekeringen</w:t>
      </w:r>
    </w:p>
    <w:p w14:paraId="38F84337" w14:textId="6B7FFF19" w:rsidR="002B4068" w:rsidRPr="00F26312" w:rsidRDefault="002C0C9D" w:rsidP="00A50A1F">
      <w:pPr>
        <w:spacing w:before="200" w:line="240" w:lineRule="atLeast"/>
        <w:jc w:val="both"/>
      </w:pPr>
      <w:r w:rsidRPr="00F26312">
        <w:t>Richtlijn</w:t>
      </w:r>
      <w:r w:rsidR="002B4068" w:rsidRPr="00F26312">
        <w:t xml:space="preserve"> 2009/138/E</w:t>
      </w:r>
      <w:r w:rsidRPr="00F26312">
        <w:t>G</w:t>
      </w:r>
      <w:r w:rsidR="002B4068" w:rsidRPr="00FB0A6C">
        <w:rPr>
          <w:rStyle w:val="FootnoteReference"/>
          <w:lang w:val="fr-FR"/>
        </w:rPr>
        <w:footnoteReference w:id="5"/>
      </w:r>
      <w:r w:rsidR="002B4068" w:rsidRPr="00F26312">
        <w:t xml:space="preserve"> (</w:t>
      </w:r>
      <w:r w:rsidRPr="00F26312">
        <w:t>“Solvabiliteit</w:t>
      </w:r>
      <w:r w:rsidR="002B4068" w:rsidRPr="00F26312">
        <w:t xml:space="preserve"> II</w:t>
      </w:r>
      <w:r w:rsidRPr="00F26312">
        <w:t>”</w:t>
      </w:r>
      <w:r w:rsidR="002B4068" w:rsidRPr="00F26312">
        <w:t xml:space="preserve">) </w:t>
      </w:r>
      <w:r w:rsidRPr="00F26312">
        <w:t>en Gedelegeerde Verordening 2015/35</w:t>
      </w:r>
      <w:r w:rsidR="002B4068" w:rsidRPr="00FB0A6C">
        <w:rPr>
          <w:rStyle w:val="FootnoteReference"/>
          <w:lang w:val="fr-FR"/>
        </w:rPr>
        <w:footnoteReference w:id="6"/>
      </w:r>
      <w:r w:rsidR="002B4068" w:rsidRPr="00F26312">
        <w:t xml:space="preserve"> </w:t>
      </w:r>
      <w:r w:rsidRPr="00F26312">
        <w:t xml:space="preserve">bevatten een reeks vereisten </w:t>
      </w:r>
      <w:r w:rsidR="00F26312" w:rsidRPr="00F26312">
        <w:t xml:space="preserve">inzake (individuele en collectieve) deskundigheid en professionele </w:t>
      </w:r>
      <w:r w:rsidR="00B76BB2">
        <w:t xml:space="preserve">betrouwbaarheid </w:t>
      </w:r>
      <w:r w:rsidR="00F26312" w:rsidRPr="00F26312">
        <w:t>voor de leiders van verzekerings- en herverzekeringsondernemingen en de personen die een onafhankelijke controlefunctie vervullen.</w:t>
      </w:r>
    </w:p>
    <w:p w14:paraId="2A971E06" w14:textId="5C8F88D2" w:rsidR="00701607" w:rsidRPr="00753E24" w:rsidRDefault="00F26312" w:rsidP="00A50A1F">
      <w:pPr>
        <w:spacing w:before="200" w:line="240" w:lineRule="atLeast"/>
        <w:jc w:val="both"/>
      </w:pPr>
      <w:r w:rsidRPr="00753E24">
        <w:t xml:space="preserve">Dit kader </w:t>
      </w:r>
      <w:r w:rsidR="005A09CE">
        <w:t>wordt</w:t>
      </w:r>
      <w:r w:rsidRPr="00753E24">
        <w:t xml:space="preserve"> aangevuld door de EIOPA-richtsnoeren voor het governancesysteem van 14</w:t>
      </w:r>
      <w:r w:rsidR="00D73405">
        <w:t> </w:t>
      </w:r>
      <w:r w:rsidRPr="00753E24">
        <w:t>september</w:t>
      </w:r>
      <w:r w:rsidR="00D73405">
        <w:t> </w:t>
      </w:r>
      <w:r w:rsidRPr="00753E24">
        <w:t xml:space="preserve">2015, die vier specifieke bepalingen bevatten </w:t>
      </w:r>
      <w:r w:rsidR="00753E24" w:rsidRPr="00753E24">
        <w:t>met betrekking tot</w:t>
      </w:r>
      <w:r w:rsidRPr="00753E24">
        <w:t xml:space="preserve"> deskundigheid en professionele betrouwbaarheid</w:t>
      </w:r>
      <w:r w:rsidR="00161DC5" w:rsidRPr="00753E24">
        <w:rPr>
          <w:rStyle w:val="FootnoteReference"/>
        </w:rPr>
        <w:footnoteReference w:id="7"/>
      </w:r>
      <w:r w:rsidR="00161DC5" w:rsidRPr="00753E24">
        <w:t>:</w:t>
      </w:r>
      <w:r w:rsidR="00FE50AF" w:rsidRPr="00753E24">
        <w:t xml:space="preserve"> (i) </w:t>
      </w:r>
      <w:r w:rsidR="00753E24" w:rsidRPr="00753E24">
        <w:t xml:space="preserve">vereisten </w:t>
      </w:r>
      <w:r w:rsidR="00B76BB2">
        <w:t xml:space="preserve">inzake </w:t>
      </w:r>
      <w:r w:rsidR="00753E24" w:rsidRPr="00753E24">
        <w:t>de collectieve deskundigheid van de raad van bestuur en het directiecomité</w:t>
      </w:r>
      <w:r w:rsidR="00FE50AF" w:rsidRPr="00753E24">
        <w:t xml:space="preserve">, (ii) </w:t>
      </w:r>
      <w:r w:rsidR="00753E24" w:rsidRPr="00753E24">
        <w:t xml:space="preserve">regels </w:t>
      </w:r>
      <w:r w:rsidR="00B76BB2">
        <w:t xml:space="preserve">inzake </w:t>
      </w:r>
      <w:r w:rsidR="00753E24" w:rsidRPr="00753E24">
        <w:t xml:space="preserve">de inhoud van het door de verzekerings- en herverzekeringsondernemingen uit te werken </w:t>
      </w:r>
      <w:r w:rsidR="00753E24">
        <w:t xml:space="preserve">“fit &amp; proper”-beleid, (iii) specifieke regels voor de beoordeling </w:t>
      </w:r>
      <w:r w:rsidR="00B76BB2">
        <w:t xml:space="preserve">van de geschiktheid </w:t>
      </w:r>
      <w:r w:rsidR="00753E24">
        <w:t xml:space="preserve">van de </w:t>
      </w:r>
      <w:r w:rsidR="005A09CE">
        <w:t>“</w:t>
      </w:r>
      <w:r w:rsidR="00753E24">
        <w:t>verbindingspersoon</w:t>
      </w:r>
      <w:r w:rsidR="005A09CE">
        <w:t>”</w:t>
      </w:r>
      <w:r w:rsidR="00753E24">
        <w:t xml:space="preserve"> die </w:t>
      </w:r>
      <w:r w:rsidR="00753E24" w:rsidRPr="00753E24">
        <w:t xml:space="preserve">verantwoordelijk is voor de follow-up van </w:t>
      </w:r>
      <w:r w:rsidR="00753E24">
        <w:t>de</w:t>
      </w:r>
      <w:r w:rsidR="00753E24" w:rsidRPr="00753E24">
        <w:t xml:space="preserve"> uitbesteding </w:t>
      </w:r>
      <w:r w:rsidR="00753E24">
        <w:t xml:space="preserve">van een onafhankelijke controlefunctie en (iv) </w:t>
      </w:r>
      <w:r w:rsidR="00723B4F">
        <w:t>een verplichting tot kennisgeving aan de toezichthou</w:t>
      </w:r>
      <w:r w:rsidR="00701607" w:rsidRPr="00753E24">
        <w:t>de</w:t>
      </w:r>
      <w:r w:rsidR="0017649E">
        <w:t>nde autoriteit.</w:t>
      </w:r>
      <w:r w:rsidR="00FE50AF" w:rsidRPr="00753E24">
        <w:t xml:space="preserve"> </w:t>
      </w:r>
    </w:p>
    <w:p w14:paraId="4B9AF803" w14:textId="19EE90AC" w:rsidR="00AE4609" w:rsidRPr="00753E24" w:rsidRDefault="000A0642" w:rsidP="00A50A1F">
      <w:pPr>
        <w:spacing w:before="200" w:line="240" w:lineRule="atLeast"/>
        <w:jc w:val="both"/>
      </w:pPr>
      <w:r w:rsidRPr="000A0642">
        <w:t xml:space="preserve">Al deze regels zijn </w:t>
      </w:r>
      <w:r w:rsidR="00B76BB2">
        <w:t xml:space="preserve">omgezet </w:t>
      </w:r>
      <w:r w:rsidRPr="000A0642">
        <w:t xml:space="preserve">in hoofdstuk 4 van het handboek </w:t>
      </w:r>
      <w:r w:rsidR="00B76BB2">
        <w:t xml:space="preserve">dat als </w:t>
      </w:r>
      <w:r w:rsidRPr="000A0642">
        <w:t>bijlage</w:t>
      </w:r>
      <w:r w:rsidR="00B76BB2">
        <w:t xml:space="preserve"> bij deze circulaire is gevoegd</w:t>
      </w:r>
      <w:r w:rsidRPr="000A0642">
        <w:t>.</w:t>
      </w:r>
      <w:r>
        <w:t xml:space="preserve"> </w:t>
      </w:r>
      <w:r w:rsidR="008C7A2F">
        <w:t>Dit hoofdstuk</w:t>
      </w:r>
      <w:r w:rsidRPr="000A0642">
        <w:t xml:space="preserve"> werd aangevuld met een reeks aanvullende elementen die</w:t>
      </w:r>
      <w:r>
        <w:t xml:space="preserve"> ofwel</w:t>
      </w:r>
      <w:r w:rsidRPr="000A0642">
        <w:t xml:space="preserve"> zijn gebaseerd op de </w:t>
      </w:r>
      <w:r>
        <w:t>“best practices”</w:t>
      </w:r>
      <w:r w:rsidRPr="000A0642">
        <w:t xml:space="preserve"> </w:t>
      </w:r>
      <w:r>
        <w:t xml:space="preserve">op internationaal niveau (met name </w:t>
      </w:r>
      <w:r w:rsidR="00554C9B">
        <w:t>de rich</w:t>
      </w:r>
      <w:r>
        <w:t>t</w:t>
      </w:r>
      <w:r w:rsidR="00554C9B">
        <w:t>s</w:t>
      </w:r>
      <w:r>
        <w:t xml:space="preserve">noeren </w:t>
      </w:r>
      <w:r w:rsidR="00554C9B">
        <w:t xml:space="preserve">EBA/GL/2017/12) </w:t>
      </w:r>
      <w:r>
        <w:t xml:space="preserve">ofwel </w:t>
      </w:r>
      <w:r w:rsidR="00B76BB2">
        <w:t xml:space="preserve">specifiek zijn voor </w:t>
      </w:r>
      <w:r w:rsidR="00554C9B">
        <w:t xml:space="preserve">de Belgische verzekeringssector (bv. </w:t>
      </w:r>
      <w:r w:rsidR="00554C9B" w:rsidRPr="00554C9B">
        <w:t>algemene th</w:t>
      </w:r>
      <w:r w:rsidR="00554C9B">
        <w:t xml:space="preserve">eoretische kennis van de verzekeringsmarkt, specifieke theoretische kennis van actuariële wiskunde die wordt verwacht van de verantwoordelijke voor de actuariële functie, de aanbeveling om </w:t>
      </w:r>
      <w:r w:rsidR="0059711A">
        <w:t xml:space="preserve">in </w:t>
      </w:r>
      <w:r w:rsidR="00CC2EF8">
        <w:t xml:space="preserve">conglomeraten </w:t>
      </w:r>
      <w:r w:rsidR="00554C9B">
        <w:t>te beschikken over ten minste één onafhankelijk bestuurder in de zin van artikel 526ter van het Wetboek van Vennootschappen</w:t>
      </w:r>
      <w:r w:rsidR="008D0BC4">
        <w:t xml:space="preserve"> die verantwoordelijk is voor verzekeringen, enz.).</w:t>
      </w:r>
    </w:p>
    <w:p w14:paraId="32217A83" w14:textId="267F2618" w:rsidR="002A01BF" w:rsidRPr="005E2DA5" w:rsidRDefault="002A01BF" w:rsidP="00A50A1F">
      <w:pPr>
        <w:spacing w:before="200" w:line="240" w:lineRule="atLeast"/>
        <w:jc w:val="both"/>
        <w:rPr>
          <w:rFonts w:ascii="ArialMT" w:hAnsi="ArialMT" w:cs="ArialMT"/>
          <w:lang w:eastAsia="nl-BE"/>
        </w:rPr>
      </w:pPr>
    </w:p>
    <w:p w14:paraId="4C2140C9" w14:textId="77777777" w:rsidR="00A50A1F" w:rsidRDefault="00A50A1F" w:rsidP="003A142C">
      <w:pPr>
        <w:jc w:val="both"/>
        <w:rPr>
          <w:rFonts w:ascii="ArialMT" w:hAnsi="ArialMT" w:cs="ArialMT"/>
          <w:lang w:eastAsia="nl-BE"/>
        </w:rPr>
      </w:pPr>
    </w:p>
    <w:p w14:paraId="6C8AC660" w14:textId="77777777" w:rsidR="00A50A1F" w:rsidRDefault="00A50A1F" w:rsidP="003A142C">
      <w:pPr>
        <w:jc w:val="both"/>
        <w:rPr>
          <w:rFonts w:ascii="ArialMT" w:hAnsi="ArialMT" w:cs="ArialMT"/>
          <w:lang w:eastAsia="nl-BE"/>
        </w:rPr>
      </w:pPr>
    </w:p>
    <w:p w14:paraId="6BA1A064" w14:textId="77777777" w:rsidR="00A50A1F" w:rsidRDefault="00A50A1F" w:rsidP="003A142C">
      <w:pPr>
        <w:jc w:val="both"/>
        <w:rPr>
          <w:rFonts w:ascii="ArialMT" w:hAnsi="ArialMT" w:cs="ArialMT"/>
          <w:lang w:eastAsia="nl-BE"/>
        </w:rPr>
      </w:pPr>
    </w:p>
    <w:p w14:paraId="50E57D4A" w14:textId="77777777" w:rsidR="00A50A1F" w:rsidRDefault="00A50A1F" w:rsidP="003A142C">
      <w:pPr>
        <w:jc w:val="both"/>
        <w:rPr>
          <w:rFonts w:ascii="ArialMT" w:hAnsi="ArialMT" w:cs="ArialMT"/>
          <w:lang w:eastAsia="nl-BE"/>
        </w:rPr>
      </w:pPr>
    </w:p>
    <w:p w14:paraId="33749115" w14:textId="77777777" w:rsidR="00A50A1F" w:rsidRDefault="00A50A1F" w:rsidP="003A142C">
      <w:pPr>
        <w:jc w:val="both"/>
        <w:rPr>
          <w:rFonts w:ascii="ArialMT" w:hAnsi="ArialMT" w:cs="ArialMT"/>
          <w:lang w:eastAsia="nl-BE"/>
        </w:rPr>
      </w:pPr>
    </w:p>
    <w:p w14:paraId="32217A86" w14:textId="0F044FC2" w:rsidR="002A01BF" w:rsidRDefault="002A01BF" w:rsidP="003A142C">
      <w:pPr>
        <w:jc w:val="both"/>
        <w:rPr>
          <w:rFonts w:ascii="ArialMT" w:hAnsi="ArialMT" w:cs="ArialMT"/>
          <w:lang w:eastAsia="nl-BE"/>
        </w:rPr>
      </w:pPr>
      <w:r>
        <w:rPr>
          <w:rFonts w:ascii="ArialMT" w:hAnsi="ArialMT" w:cs="ArialMT"/>
          <w:lang w:eastAsia="nl-BE"/>
        </w:rPr>
        <w:t>Hoogachtend</w:t>
      </w:r>
    </w:p>
    <w:p w14:paraId="32217A87" w14:textId="77777777" w:rsidR="009F6724" w:rsidRDefault="009F6724" w:rsidP="003A142C">
      <w:pPr>
        <w:jc w:val="both"/>
        <w:rPr>
          <w:rFonts w:ascii="ArialMT" w:hAnsi="ArialMT" w:cs="ArialMT"/>
          <w:lang w:eastAsia="nl-BE"/>
        </w:rPr>
      </w:pPr>
    </w:p>
    <w:p w14:paraId="32217A88" w14:textId="77777777" w:rsidR="009F6724" w:rsidRDefault="009F6724" w:rsidP="003A142C">
      <w:pPr>
        <w:jc w:val="both"/>
        <w:rPr>
          <w:rFonts w:ascii="ArialMT" w:hAnsi="ArialMT" w:cs="ArialMT"/>
          <w:lang w:eastAsia="nl-BE"/>
        </w:rPr>
      </w:pPr>
      <w:r>
        <w:rPr>
          <w:rFonts w:ascii="ArialMT" w:hAnsi="ArialMT" w:cs="ArialMT"/>
          <w:lang w:eastAsia="nl-BE"/>
        </w:rPr>
        <w:t>Jan Smets</w:t>
      </w:r>
    </w:p>
    <w:p w14:paraId="32217A89" w14:textId="77777777" w:rsidR="009F6724" w:rsidRPr="002A01BF" w:rsidRDefault="009F6724" w:rsidP="003A142C">
      <w:pPr>
        <w:jc w:val="both"/>
        <w:rPr>
          <w:b/>
        </w:rPr>
      </w:pPr>
      <w:r>
        <w:rPr>
          <w:rFonts w:ascii="ArialMT" w:hAnsi="ArialMT" w:cs="ArialMT"/>
          <w:lang w:eastAsia="nl-BE"/>
        </w:rPr>
        <w:t>Gouverneur</w:t>
      </w:r>
    </w:p>
    <w:p w14:paraId="6E5D5663" w14:textId="7030D93E" w:rsidR="00950793" w:rsidRDefault="00950793" w:rsidP="003A142C">
      <w:pPr>
        <w:jc w:val="both"/>
      </w:pPr>
    </w:p>
    <w:p w14:paraId="1D0B19A9" w14:textId="77777777" w:rsidR="00A50A1F" w:rsidRDefault="00A50A1F" w:rsidP="003A142C">
      <w:pPr>
        <w:jc w:val="both"/>
      </w:pPr>
    </w:p>
    <w:p w14:paraId="32217A8C" w14:textId="77777777" w:rsidR="00B170C1" w:rsidRDefault="002A01BF" w:rsidP="003A142C">
      <w:pPr>
        <w:jc w:val="both"/>
      </w:pPr>
      <w:r>
        <w:t>B</w:t>
      </w:r>
      <w:r w:rsidR="007776E4">
        <w:t>ijlagen</w:t>
      </w:r>
      <w:r w:rsidR="009F6724">
        <w:t>:</w:t>
      </w:r>
    </w:p>
    <w:p w14:paraId="32217A8D" w14:textId="77777777" w:rsidR="009F6724" w:rsidRDefault="009F6724" w:rsidP="003A142C">
      <w:pPr>
        <w:jc w:val="both"/>
      </w:pPr>
    </w:p>
    <w:p w14:paraId="32217A8E" w14:textId="090C27CF" w:rsidR="009F6724" w:rsidRPr="002D5C8D" w:rsidRDefault="009F6724" w:rsidP="0031014D">
      <w:pPr>
        <w:pStyle w:val="ListParagraph"/>
        <w:numPr>
          <w:ilvl w:val="0"/>
          <w:numId w:val="33"/>
        </w:numPr>
        <w:jc w:val="both"/>
      </w:pPr>
      <w:r w:rsidRPr="002D5C8D">
        <w:t>Hand</w:t>
      </w:r>
      <w:r w:rsidR="006836CA" w:rsidRPr="002D5C8D">
        <w:t>boek voor het beoordelen van</w:t>
      </w:r>
      <w:r w:rsidRPr="002D5C8D">
        <w:t xml:space="preserve"> </w:t>
      </w:r>
      <w:r w:rsidR="00363B18" w:rsidRPr="002D5C8D">
        <w:t xml:space="preserve">de </w:t>
      </w:r>
      <w:r w:rsidRPr="002D5C8D">
        <w:t>deskundigheid en professionele betrouwbaarhe</w:t>
      </w:r>
      <w:r w:rsidR="003A4206" w:rsidRPr="002D5C8D">
        <w:t>id (“fit &amp; proper”</w:t>
      </w:r>
      <w:r w:rsidR="00C04593">
        <w:t>-</w:t>
      </w:r>
      <w:r w:rsidR="003A4206" w:rsidRPr="002D5C8D">
        <w:t>h</w:t>
      </w:r>
      <w:r w:rsidRPr="002D5C8D">
        <w:t>andboek)</w:t>
      </w:r>
    </w:p>
    <w:p w14:paraId="32217A8F" w14:textId="363FAA85" w:rsidR="009F6724" w:rsidRPr="002D5C8D" w:rsidRDefault="009F6724" w:rsidP="0031014D">
      <w:pPr>
        <w:pStyle w:val="ListParagraph"/>
        <w:numPr>
          <w:ilvl w:val="0"/>
          <w:numId w:val="33"/>
        </w:numPr>
        <w:jc w:val="both"/>
      </w:pPr>
      <w:r w:rsidRPr="002D5C8D">
        <w:t xml:space="preserve">Richtsnoeren van </w:t>
      </w:r>
      <w:r w:rsidR="00363B18" w:rsidRPr="002D5C8D">
        <w:t xml:space="preserve">de </w:t>
      </w:r>
      <w:r w:rsidRPr="002D5C8D">
        <w:t>EBA van 26 september 2017 voor het beoordelen van de geschiktheid van leden van het leidinggevend orgaan en medewerkers met een sleutelfunctie (EBA/GL/2017/12)</w:t>
      </w:r>
    </w:p>
    <w:sectPr w:rsidR="009F6724" w:rsidRPr="002D5C8D" w:rsidSect="00D850C8">
      <w:headerReference w:type="even" r:id="rId14"/>
      <w:headerReference w:type="default" r:id="rId15"/>
      <w:footerReference w:type="even" r:id="rId16"/>
      <w:footerReference w:type="default" r:id="rId17"/>
      <w:footerReference w:type="first" r:id="rId18"/>
      <w:footnotePr>
        <w:numRestart w:val="eachSect"/>
      </w:footnotePr>
      <w:pgSz w:w="11907" w:h="16840" w:code="9"/>
      <w:pgMar w:top="510" w:right="1134" w:bottom="1361" w:left="1418" w:header="397" w:footer="119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BA1F7" w14:textId="77777777" w:rsidR="00DC7E81" w:rsidRDefault="00DC7E81">
      <w:r>
        <w:separator/>
      </w:r>
    </w:p>
  </w:endnote>
  <w:endnote w:type="continuationSeparator" w:id="0">
    <w:p w14:paraId="0E7E1A2B" w14:textId="77777777" w:rsidR="00DC7E81" w:rsidRDefault="00DC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7A9B" w14:textId="727993E3" w:rsidR="00E87276" w:rsidRPr="009D0367" w:rsidRDefault="009D0367" w:rsidP="00E87276">
    <w:pPr>
      <w:pStyle w:val="Footer"/>
      <w:pBdr>
        <w:top w:val="single" w:sz="4" w:space="1" w:color="auto"/>
      </w:pBdr>
      <w:rPr>
        <w:b/>
        <w:sz w:val="16"/>
        <w:szCs w:val="16"/>
      </w:rPr>
    </w:pPr>
    <w:r>
      <w:rPr>
        <w:b/>
        <w:sz w:val="16"/>
        <w:szCs w:val="16"/>
      </w:rPr>
      <w:t>Circulaire</w:t>
    </w:r>
    <w:r>
      <w:rPr>
        <w:rFonts w:cs="Arial"/>
        <w:b/>
        <w:sz w:val="16"/>
        <w:szCs w:val="16"/>
      </w:rPr>
      <w:t> </w:t>
    </w:r>
    <w:r>
      <w:rPr>
        <w:rFonts w:cs="Arial"/>
        <w:b/>
        <w:sz w:val="16"/>
        <w:szCs w:val="16"/>
      </w:rPr>
      <w:t>–</w:t>
    </w:r>
    <w:r>
      <w:rPr>
        <w:rFonts w:cs="Arial"/>
        <w:b/>
        <w:sz w:val="16"/>
        <w:szCs w:val="16"/>
      </w:rPr>
      <w:t> </w:t>
    </w:r>
    <w:r>
      <w:rPr>
        <w:b/>
        <w:sz w:val="16"/>
        <w:szCs w:val="16"/>
      </w:rPr>
      <w:t xml:space="preserve">Blz. </w:t>
    </w:r>
    <w:r>
      <w:rPr>
        <w:b/>
        <w:sz w:val="16"/>
        <w:szCs w:val="16"/>
      </w:rPr>
      <w:fldChar w:fldCharType="begin"/>
    </w:r>
    <w:r>
      <w:rPr>
        <w:b/>
        <w:sz w:val="16"/>
        <w:szCs w:val="16"/>
      </w:rPr>
      <w:instrText xml:space="preserve"> PAGE   </w:instrText>
    </w:r>
    <w:r>
      <w:rPr>
        <w:b/>
        <w:sz w:val="16"/>
        <w:szCs w:val="16"/>
      </w:rPr>
      <w:fldChar w:fldCharType="separate"/>
    </w:r>
    <w:r w:rsidR="00AC2A20">
      <w:rPr>
        <w:b/>
        <w:noProof/>
        <w:sz w:val="16"/>
        <w:szCs w:val="16"/>
      </w:rPr>
      <w:t>4</w:t>
    </w:r>
    <w:r>
      <w:rPr>
        <w:b/>
        <w:sz w:val="16"/>
        <w:szCs w:val="16"/>
      </w:rPr>
      <w:fldChar w:fldCharType="end"/>
    </w:r>
    <w:r>
      <w:rPr>
        <w:b/>
        <w:sz w:val="16"/>
        <w:szCs w:val="16"/>
      </w:rPr>
      <w:t>/</w:t>
    </w:r>
    <w:r>
      <w:rPr>
        <w:b/>
        <w:sz w:val="16"/>
        <w:szCs w:val="16"/>
      </w:rPr>
      <w:fldChar w:fldCharType="begin"/>
    </w:r>
    <w:r>
      <w:rPr>
        <w:b/>
        <w:sz w:val="16"/>
        <w:szCs w:val="16"/>
      </w:rPr>
      <w:instrText xml:space="preserve"> NUMPAGES   </w:instrText>
    </w:r>
    <w:r>
      <w:rPr>
        <w:b/>
        <w:sz w:val="16"/>
        <w:szCs w:val="16"/>
      </w:rPr>
      <w:fldChar w:fldCharType="separate"/>
    </w:r>
    <w:r w:rsidR="00AC2A20">
      <w:rPr>
        <w:b/>
        <w:noProof/>
        <w:sz w:val="16"/>
        <w:szCs w:val="16"/>
      </w:rPr>
      <w:t>5</w:t>
    </w:r>
    <w:r>
      <w:rPr>
        <w:b/>
        <w:sz w:val="16"/>
        <w:szCs w:val="16"/>
      </w:rPr>
      <w:fldChar w:fldCharType="end"/>
    </w:r>
    <w:r>
      <w:rPr>
        <w:b/>
        <w:sz w:val="16"/>
        <w:szCs w:val="16"/>
      </w:rPr>
      <w:tab/>
    </w:r>
    <w:r>
      <w:rPr>
        <w:sz w:val="14"/>
        <w:szCs w:val="16"/>
      </w:rPr>
      <w:t>NBB_2018</w:t>
    </w:r>
    <w:r w:rsidR="00A50A1F">
      <w:rPr>
        <w:sz w:val="14"/>
        <w:szCs w:val="16"/>
      </w:rPr>
      <w:t>_25</w:t>
    </w:r>
    <w:r>
      <w:rPr>
        <w:rFonts w:cs="Arial"/>
        <w:sz w:val="14"/>
        <w:szCs w:val="16"/>
      </w:rPr>
      <w:t> </w:t>
    </w:r>
    <w:r>
      <w:rPr>
        <w:rFonts w:cs="Arial"/>
        <w:sz w:val="14"/>
        <w:szCs w:val="16"/>
      </w:rPr>
      <w:t>–</w:t>
    </w:r>
    <w:r>
      <w:rPr>
        <w:rFonts w:cs="Arial"/>
        <w:sz w:val="14"/>
        <w:szCs w:val="16"/>
      </w:rPr>
      <w:t> </w:t>
    </w:r>
    <w:r w:rsidR="00A50A1F">
      <w:rPr>
        <w:rFonts w:cs="Arial"/>
        <w:sz w:val="14"/>
        <w:szCs w:val="16"/>
      </w:rPr>
      <w:t>18 september</w:t>
    </w:r>
    <w:r>
      <w:rPr>
        <w:sz w:val="14"/>
        <w:szCs w:val="16"/>
      </w:rPr>
      <w:t xml:space="preserve">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7A9C" w14:textId="072379C7" w:rsidR="00450949" w:rsidRPr="009D0367" w:rsidRDefault="009D0367" w:rsidP="00F64E38">
    <w:pPr>
      <w:pStyle w:val="Footer"/>
      <w:pBdr>
        <w:top w:val="single" w:sz="4" w:space="1" w:color="auto"/>
      </w:pBdr>
      <w:rPr>
        <w:b/>
        <w:sz w:val="16"/>
        <w:szCs w:val="14"/>
      </w:rPr>
    </w:pPr>
    <w:r>
      <w:rPr>
        <w:b/>
        <w:sz w:val="16"/>
        <w:szCs w:val="14"/>
      </w:rPr>
      <w:tab/>
    </w:r>
    <w:r>
      <w:rPr>
        <w:sz w:val="14"/>
        <w:szCs w:val="14"/>
      </w:rPr>
      <w:t>NBB_2018</w:t>
    </w:r>
    <w:r w:rsidR="00A50A1F">
      <w:rPr>
        <w:sz w:val="14"/>
        <w:szCs w:val="14"/>
      </w:rPr>
      <w:t>_25</w:t>
    </w:r>
    <w:r>
      <w:rPr>
        <w:rFonts w:cs="Arial"/>
        <w:sz w:val="14"/>
        <w:szCs w:val="14"/>
      </w:rPr>
      <w:t> </w:t>
    </w:r>
    <w:r>
      <w:rPr>
        <w:rFonts w:cs="Arial"/>
        <w:sz w:val="14"/>
        <w:szCs w:val="14"/>
      </w:rPr>
      <w:t>–</w:t>
    </w:r>
    <w:r>
      <w:rPr>
        <w:rFonts w:cs="Arial"/>
        <w:sz w:val="14"/>
        <w:szCs w:val="14"/>
      </w:rPr>
      <w:t> </w:t>
    </w:r>
    <w:r w:rsidR="00A50A1F">
      <w:rPr>
        <w:sz w:val="14"/>
        <w:szCs w:val="14"/>
      </w:rPr>
      <w:t>18 september</w:t>
    </w:r>
    <w:r>
      <w:rPr>
        <w:sz w:val="14"/>
        <w:szCs w:val="14"/>
      </w:rPr>
      <w:t xml:space="preserve"> 2018</w:t>
    </w:r>
    <w:r>
      <w:rPr>
        <w:b/>
        <w:sz w:val="16"/>
        <w:szCs w:val="14"/>
      </w:rPr>
      <w:tab/>
      <w:t>Circulaire</w:t>
    </w:r>
    <w:r>
      <w:rPr>
        <w:rFonts w:cs="Arial"/>
        <w:b/>
        <w:sz w:val="16"/>
        <w:szCs w:val="14"/>
      </w:rPr>
      <w:t> </w:t>
    </w:r>
    <w:r>
      <w:rPr>
        <w:rFonts w:cs="Arial"/>
        <w:b/>
        <w:sz w:val="16"/>
        <w:szCs w:val="14"/>
      </w:rPr>
      <w:t>–</w:t>
    </w:r>
    <w:r>
      <w:rPr>
        <w:rFonts w:cs="Arial"/>
        <w:b/>
        <w:sz w:val="16"/>
        <w:szCs w:val="14"/>
      </w:rPr>
      <w:t> </w:t>
    </w:r>
    <w:r>
      <w:rPr>
        <w:b/>
        <w:sz w:val="16"/>
        <w:szCs w:val="14"/>
      </w:rPr>
      <w:t xml:space="preserve">Blz. </w:t>
    </w:r>
    <w:r>
      <w:rPr>
        <w:b/>
        <w:sz w:val="16"/>
        <w:szCs w:val="14"/>
      </w:rPr>
      <w:fldChar w:fldCharType="begin"/>
    </w:r>
    <w:r>
      <w:rPr>
        <w:b/>
        <w:sz w:val="16"/>
        <w:szCs w:val="14"/>
      </w:rPr>
      <w:instrText xml:space="preserve"> PAGE   </w:instrText>
    </w:r>
    <w:r>
      <w:rPr>
        <w:b/>
        <w:sz w:val="16"/>
        <w:szCs w:val="14"/>
      </w:rPr>
      <w:fldChar w:fldCharType="separate"/>
    </w:r>
    <w:r w:rsidR="00AC2A20">
      <w:rPr>
        <w:b/>
        <w:noProof/>
        <w:sz w:val="16"/>
        <w:szCs w:val="14"/>
      </w:rPr>
      <w:t>5</w:t>
    </w:r>
    <w:r>
      <w:rPr>
        <w:b/>
        <w:sz w:val="16"/>
        <w:szCs w:val="14"/>
      </w:rPr>
      <w:fldChar w:fldCharType="end"/>
    </w:r>
    <w:r>
      <w:rPr>
        <w:b/>
        <w:sz w:val="16"/>
        <w:szCs w:val="14"/>
      </w:rPr>
      <w:t>/</w:t>
    </w:r>
    <w:r>
      <w:rPr>
        <w:b/>
        <w:sz w:val="16"/>
        <w:szCs w:val="14"/>
      </w:rPr>
      <w:fldChar w:fldCharType="begin"/>
    </w:r>
    <w:r>
      <w:rPr>
        <w:b/>
        <w:sz w:val="16"/>
        <w:szCs w:val="14"/>
      </w:rPr>
      <w:instrText xml:space="preserve"> NUMPAGES   </w:instrText>
    </w:r>
    <w:r>
      <w:rPr>
        <w:b/>
        <w:sz w:val="16"/>
        <w:szCs w:val="14"/>
      </w:rPr>
      <w:fldChar w:fldCharType="separate"/>
    </w:r>
    <w:r w:rsidR="00AC2A20">
      <w:rPr>
        <w:b/>
        <w:noProof/>
        <w:sz w:val="16"/>
        <w:szCs w:val="14"/>
      </w:rPr>
      <w:t>5</w:t>
    </w:r>
    <w:r>
      <w:rPr>
        <w:b/>
        <w:sz w:val="16"/>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7A9D" w14:textId="1DD21782" w:rsidR="00450949" w:rsidRPr="009D0367" w:rsidRDefault="009D0367" w:rsidP="00CB2202">
    <w:pPr>
      <w:pStyle w:val="Footer"/>
      <w:pBdr>
        <w:top w:val="single" w:sz="4" w:space="1" w:color="auto"/>
      </w:pBdr>
      <w:rPr>
        <w:b/>
        <w:sz w:val="16"/>
        <w:szCs w:val="16"/>
      </w:rPr>
    </w:pPr>
    <w:r>
      <w:rPr>
        <w:b/>
        <w:sz w:val="16"/>
        <w:szCs w:val="16"/>
      </w:rPr>
      <w:tab/>
    </w:r>
    <w:r>
      <w:rPr>
        <w:sz w:val="14"/>
        <w:szCs w:val="16"/>
      </w:rPr>
      <w:t>NBB_2018</w:t>
    </w:r>
    <w:r w:rsidR="00A50A1F">
      <w:rPr>
        <w:sz w:val="14"/>
        <w:szCs w:val="16"/>
      </w:rPr>
      <w:t>_25</w:t>
    </w:r>
    <w:r>
      <w:rPr>
        <w:rFonts w:cs="Arial"/>
        <w:sz w:val="14"/>
        <w:szCs w:val="16"/>
      </w:rPr>
      <w:t> </w:t>
    </w:r>
    <w:r>
      <w:rPr>
        <w:rFonts w:cs="Arial"/>
        <w:sz w:val="14"/>
        <w:szCs w:val="16"/>
      </w:rPr>
      <w:t>–</w:t>
    </w:r>
    <w:r>
      <w:rPr>
        <w:rFonts w:cs="Arial"/>
        <w:sz w:val="14"/>
        <w:szCs w:val="16"/>
      </w:rPr>
      <w:t> </w:t>
    </w:r>
    <w:r w:rsidR="00A50A1F">
      <w:rPr>
        <w:rFonts w:cs="Arial"/>
        <w:sz w:val="14"/>
        <w:szCs w:val="16"/>
      </w:rPr>
      <w:t>18 september</w:t>
    </w:r>
    <w:r>
      <w:rPr>
        <w:sz w:val="14"/>
        <w:szCs w:val="16"/>
      </w:rPr>
      <w:t xml:space="preserve"> 2018</w:t>
    </w:r>
    <w:r>
      <w:rPr>
        <w:b/>
        <w:sz w:val="16"/>
        <w:szCs w:val="16"/>
      </w:rPr>
      <w:tab/>
      <w:t>Circulaire</w:t>
    </w:r>
    <w:r>
      <w:rPr>
        <w:rFonts w:cs="Arial"/>
        <w:b/>
        <w:sz w:val="16"/>
        <w:szCs w:val="16"/>
      </w:rPr>
      <w:t> </w:t>
    </w:r>
    <w:r>
      <w:rPr>
        <w:rFonts w:cs="Arial"/>
        <w:b/>
        <w:sz w:val="16"/>
        <w:szCs w:val="16"/>
      </w:rPr>
      <w:t>–</w:t>
    </w:r>
    <w:r>
      <w:rPr>
        <w:rFonts w:cs="Arial"/>
        <w:b/>
        <w:sz w:val="16"/>
        <w:szCs w:val="16"/>
      </w:rPr>
      <w:t> </w:t>
    </w:r>
    <w:r>
      <w:rPr>
        <w:b/>
        <w:sz w:val="16"/>
        <w:szCs w:val="16"/>
      </w:rPr>
      <w:t xml:space="preserve">Blz. </w:t>
    </w:r>
    <w:r>
      <w:rPr>
        <w:b/>
        <w:sz w:val="16"/>
        <w:szCs w:val="16"/>
      </w:rPr>
      <w:fldChar w:fldCharType="begin"/>
    </w:r>
    <w:r>
      <w:rPr>
        <w:b/>
        <w:sz w:val="16"/>
        <w:szCs w:val="16"/>
      </w:rPr>
      <w:instrText xml:space="preserve"> PAGE   </w:instrText>
    </w:r>
    <w:r>
      <w:rPr>
        <w:b/>
        <w:sz w:val="16"/>
        <w:szCs w:val="16"/>
      </w:rPr>
      <w:fldChar w:fldCharType="separate"/>
    </w:r>
    <w:r w:rsidR="00AC2A20">
      <w:rPr>
        <w:b/>
        <w:noProof/>
        <w:sz w:val="16"/>
        <w:szCs w:val="16"/>
      </w:rPr>
      <w:t>1</w:t>
    </w:r>
    <w:r>
      <w:rPr>
        <w:b/>
        <w:sz w:val="16"/>
        <w:szCs w:val="16"/>
      </w:rPr>
      <w:fldChar w:fldCharType="end"/>
    </w:r>
    <w:r>
      <w:rPr>
        <w:b/>
        <w:sz w:val="16"/>
        <w:szCs w:val="16"/>
      </w:rPr>
      <w:t>/</w:t>
    </w:r>
    <w:r>
      <w:rPr>
        <w:b/>
        <w:sz w:val="16"/>
        <w:szCs w:val="16"/>
      </w:rPr>
      <w:fldChar w:fldCharType="begin"/>
    </w:r>
    <w:r>
      <w:rPr>
        <w:b/>
        <w:sz w:val="16"/>
        <w:szCs w:val="16"/>
      </w:rPr>
      <w:instrText xml:space="preserve"> NUMPAGES   </w:instrText>
    </w:r>
    <w:r>
      <w:rPr>
        <w:b/>
        <w:sz w:val="16"/>
        <w:szCs w:val="16"/>
      </w:rPr>
      <w:fldChar w:fldCharType="separate"/>
    </w:r>
    <w:r w:rsidR="00AC2A20">
      <w:rPr>
        <w:b/>
        <w:noProof/>
        <w:sz w:val="16"/>
        <w:szCs w:val="16"/>
      </w:rPr>
      <w:t>5</w:t>
    </w:r>
    <w:r>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DDB08" w14:textId="77777777" w:rsidR="00DC7E81" w:rsidRPr="00117F31" w:rsidRDefault="00DC7E81" w:rsidP="00117F31">
      <w:pPr>
        <w:pStyle w:val="Footer"/>
      </w:pPr>
    </w:p>
  </w:footnote>
  <w:footnote w:type="continuationSeparator" w:id="0">
    <w:p w14:paraId="5AFFC886" w14:textId="77777777" w:rsidR="00DC7E81" w:rsidRPr="00117F31" w:rsidRDefault="00DC7E81" w:rsidP="00117F31">
      <w:pPr>
        <w:pStyle w:val="Footer"/>
      </w:pPr>
    </w:p>
  </w:footnote>
  <w:footnote w:type="continuationNotice" w:id="1">
    <w:p w14:paraId="5AC79F69" w14:textId="77777777" w:rsidR="00DC7E81" w:rsidRDefault="00DC7E81"/>
  </w:footnote>
  <w:footnote w:id="2">
    <w:p w14:paraId="32217A9E" w14:textId="2A99E87A" w:rsidR="006E714E" w:rsidRPr="004252F5" w:rsidRDefault="006E714E" w:rsidP="00A50A1F">
      <w:pPr>
        <w:pStyle w:val="Default"/>
        <w:ind w:left="284" w:hanging="284"/>
        <w:jc w:val="both"/>
        <w:rPr>
          <w:rFonts w:ascii="Arial" w:eastAsiaTheme="minorHAnsi" w:hAnsi="Arial" w:cs="Arial"/>
          <w:sz w:val="16"/>
          <w:szCs w:val="16"/>
          <w:lang w:val="nl-BE"/>
        </w:rPr>
      </w:pPr>
      <w:r w:rsidRPr="004252F5">
        <w:rPr>
          <w:rStyle w:val="FootnoteReference"/>
          <w:rFonts w:cs="Arial"/>
          <w:lang w:val="nl-BE"/>
        </w:rPr>
        <w:footnoteRef/>
      </w:r>
      <w:r w:rsidRPr="004252F5">
        <w:rPr>
          <w:rFonts w:ascii="Arial" w:hAnsi="Arial" w:cs="Arial"/>
          <w:sz w:val="16"/>
          <w:szCs w:val="16"/>
          <w:lang w:val="nl-BE"/>
        </w:rPr>
        <w:t xml:space="preserve"> </w:t>
      </w:r>
      <w:r w:rsidR="00A50A1F">
        <w:rPr>
          <w:rFonts w:ascii="Arial" w:hAnsi="Arial" w:cs="Arial"/>
          <w:sz w:val="16"/>
          <w:szCs w:val="16"/>
          <w:lang w:val="nl-BE"/>
        </w:rPr>
        <w:tab/>
      </w:r>
      <w:r w:rsidRPr="004252F5">
        <w:rPr>
          <w:rFonts w:ascii="Arial" w:eastAsiaTheme="minorHAnsi" w:hAnsi="Arial" w:cs="Arial"/>
          <w:sz w:val="16"/>
          <w:szCs w:val="16"/>
          <w:lang w:val="nl-BE"/>
        </w:rPr>
        <w:t>Richtlijn 2013/36/EU van het Europees Parlement en de Raad van 26 juni 2013 betreffende toegang tot het bedrijf van kredietinstellingen en het prudentieel toezicht op kredietinstellingen en beleggingsondernemingen, tot wijziging van Richtlijn 2002/87/EG en tot intrekking van de Richtlijnen 2006/48/EG en 2006/49/EG.</w:t>
      </w:r>
    </w:p>
  </w:footnote>
  <w:footnote w:id="3">
    <w:p w14:paraId="32217A9F" w14:textId="6D785208" w:rsidR="006E714E" w:rsidRPr="004252F5" w:rsidRDefault="006E714E" w:rsidP="00A50A1F">
      <w:pPr>
        <w:pStyle w:val="FootnoteText"/>
        <w:jc w:val="both"/>
        <w:rPr>
          <w:rFonts w:cs="Arial"/>
          <w:sz w:val="16"/>
          <w:szCs w:val="16"/>
        </w:rPr>
      </w:pPr>
      <w:r w:rsidRPr="004252F5">
        <w:rPr>
          <w:rStyle w:val="FootnoteReference"/>
          <w:rFonts w:cs="Arial"/>
        </w:rPr>
        <w:footnoteRef/>
      </w:r>
      <w:r w:rsidRPr="004252F5">
        <w:rPr>
          <w:rFonts w:cs="Arial"/>
          <w:sz w:val="16"/>
          <w:szCs w:val="16"/>
        </w:rPr>
        <w:t xml:space="preserve"> </w:t>
      </w:r>
      <w:r w:rsidR="00A50A1F">
        <w:rPr>
          <w:rFonts w:cs="Arial"/>
          <w:sz w:val="16"/>
          <w:szCs w:val="16"/>
        </w:rPr>
        <w:tab/>
      </w:r>
      <w:r w:rsidRPr="004252F5">
        <w:rPr>
          <w:rFonts w:eastAsiaTheme="minorHAnsi" w:cs="Arial"/>
          <w:color w:val="000000"/>
          <w:sz w:val="16"/>
          <w:szCs w:val="16"/>
        </w:rPr>
        <w:t>Richtlijn 2014/65/EU van het Europees Parlement en de Raad van 15 mei 2014 betreffende markten voor financiële instrumenten en tot wijziging van Richtlijn 2002/92/EG en Richtlijn 2011/61/EU.</w:t>
      </w:r>
    </w:p>
  </w:footnote>
  <w:footnote w:id="4">
    <w:p w14:paraId="554AC135" w14:textId="3BEFE236" w:rsidR="00AB48E7" w:rsidRDefault="00AB48E7" w:rsidP="00A50A1F">
      <w:pPr>
        <w:pStyle w:val="FootnoteText"/>
        <w:jc w:val="both"/>
      </w:pPr>
      <w:r>
        <w:rPr>
          <w:rStyle w:val="FootnoteReference"/>
        </w:rPr>
        <w:footnoteRef/>
      </w:r>
      <w:r>
        <w:t xml:space="preserve"> </w:t>
      </w:r>
      <w:r w:rsidR="00A50A1F">
        <w:tab/>
      </w:r>
      <w:r w:rsidRPr="004252F5">
        <w:rPr>
          <w:sz w:val="16"/>
          <w:szCs w:val="16"/>
        </w:rPr>
        <w:t>Wet van 25 april 2014 op het statuut van en het toezicht op kredietinstellingen en beursvennootschappen.</w:t>
      </w:r>
    </w:p>
  </w:footnote>
  <w:footnote w:id="5">
    <w:p w14:paraId="175386DA" w14:textId="3B01D108" w:rsidR="002B4068" w:rsidRPr="00FD2B0A" w:rsidRDefault="002B4068" w:rsidP="00A50A1F">
      <w:pPr>
        <w:pStyle w:val="Default"/>
        <w:ind w:left="284" w:hanging="284"/>
        <w:jc w:val="both"/>
        <w:rPr>
          <w:lang w:val="nl-BE"/>
        </w:rPr>
      </w:pPr>
      <w:r w:rsidRPr="00EB21B7">
        <w:rPr>
          <w:rStyle w:val="FootnoteReference"/>
          <w:lang w:val="fr-FR"/>
        </w:rPr>
        <w:footnoteRef/>
      </w:r>
      <w:r w:rsidRPr="00FD2B0A">
        <w:rPr>
          <w:lang w:val="nl-BE"/>
        </w:rPr>
        <w:t xml:space="preserve"> </w:t>
      </w:r>
      <w:r w:rsidR="00A50A1F">
        <w:rPr>
          <w:lang w:val="nl-BE"/>
        </w:rPr>
        <w:tab/>
      </w:r>
      <w:r w:rsidR="00FD2B0A" w:rsidRPr="00FD2B0A">
        <w:rPr>
          <w:rFonts w:ascii="Arial" w:eastAsiaTheme="minorHAnsi" w:hAnsi="Arial"/>
          <w:color w:val="auto"/>
          <w:sz w:val="16"/>
          <w:lang w:val="nl-BE"/>
        </w:rPr>
        <w:t>Richtlijn 2009/138/</w:t>
      </w:r>
      <w:r w:rsidRPr="00FD2B0A">
        <w:rPr>
          <w:rFonts w:ascii="Arial" w:eastAsiaTheme="minorHAnsi" w:hAnsi="Arial"/>
          <w:color w:val="auto"/>
          <w:sz w:val="16"/>
          <w:lang w:val="nl-BE"/>
        </w:rPr>
        <w:t>E</w:t>
      </w:r>
      <w:r w:rsidR="00FD2B0A" w:rsidRPr="00FD2B0A">
        <w:rPr>
          <w:rFonts w:ascii="Arial" w:eastAsiaTheme="minorHAnsi" w:hAnsi="Arial"/>
          <w:color w:val="auto"/>
          <w:sz w:val="16"/>
          <w:lang w:val="nl-BE"/>
        </w:rPr>
        <w:t>G</w:t>
      </w:r>
      <w:r w:rsidRPr="00FD2B0A">
        <w:rPr>
          <w:rFonts w:ascii="Arial" w:eastAsiaTheme="minorHAnsi" w:hAnsi="Arial"/>
          <w:color w:val="auto"/>
          <w:sz w:val="16"/>
          <w:lang w:val="nl-BE"/>
        </w:rPr>
        <w:t xml:space="preserve"> </w:t>
      </w:r>
      <w:r w:rsidR="00FD2B0A" w:rsidRPr="00FD2B0A">
        <w:rPr>
          <w:rFonts w:ascii="Arial" w:eastAsiaTheme="minorHAnsi" w:hAnsi="Arial"/>
          <w:color w:val="auto"/>
          <w:sz w:val="16"/>
          <w:lang w:val="nl-BE"/>
        </w:rPr>
        <w:t>van het Europees Parlement en de Raad van 25 november 2009 betreffende de toegang tot en uitoefening van het verzekerings- en het herverzekeringsbedrijf</w:t>
      </w:r>
      <w:r w:rsidRPr="00FD2B0A">
        <w:rPr>
          <w:rFonts w:ascii="Arial" w:eastAsiaTheme="minorHAnsi" w:hAnsi="Arial"/>
          <w:color w:val="auto"/>
          <w:sz w:val="16"/>
          <w:lang w:val="nl-BE"/>
        </w:rPr>
        <w:t>.</w:t>
      </w:r>
    </w:p>
  </w:footnote>
  <w:footnote w:id="6">
    <w:p w14:paraId="06AED117" w14:textId="4FBCE451" w:rsidR="002B4068" w:rsidRPr="00FD2B0A" w:rsidRDefault="002B4068" w:rsidP="00A50A1F">
      <w:pPr>
        <w:pStyle w:val="FootnoteText"/>
        <w:jc w:val="both"/>
      </w:pPr>
      <w:r w:rsidRPr="00EB21B7">
        <w:rPr>
          <w:rStyle w:val="FootnoteReference"/>
          <w:lang w:val="fr-FR"/>
        </w:rPr>
        <w:footnoteRef/>
      </w:r>
      <w:r w:rsidRPr="00FD2B0A">
        <w:t xml:space="preserve"> </w:t>
      </w:r>
      <w:r w:rsidR="00A50A1F">
        <w:tab/>
      </w:r>
      <w:r w:rsidR="00FD2B0A" w:rsidRPr="00FD2B0A">
        <w:rPr>
          <w:sz w:val="16"/>
        </w:rPr>
        <w:t>Gedelegeerde Verordening (EU) 2015/35 van de Commissie van 10 oktober 2014 tot aanvulling van Richtlijn 2009/138/EG van het Europees Parlement en de Raad betreffende de toegang tot en uitoefening van het verzekerings- en het herverzekeringsbedrijf</w:t>
      </w:r>
      <w:r w:rsidRPr="00FD2B0A">
        <w:rPr>
          <w:sz w:val="16"/>
        </w:rPr>
        <w:t>.</w:t>
      </w:r>
    </w:p>
  </w:footnote>
  <w:footnote w:id="7">
    <w:p w14:paraId="14F18970" w14:textId="59C77119" w:rsidR="00161DC5" w:rsidRPr="002C0C9D" w:rsidRDefault="00161DC5" w:rsidP="00A50A1F">
      <w:pPr>
        <w:pStyle w:val="FootnoteText"/>
        <w:jc w:val="both"/>
      </w:pPr>
      <w:r>
        <w:rPr>
          <w:rStyle w:val="FootnoteReference"/>
        </w:rPr>
        <w:footnoteRef/>
      </w:r>
      <w:r w:rsidRPr="002C0C9D">
        <w:t xml:space="preserve"> </w:t>
      </w:r>
      <w:r w:rsidR="00A50A1F">
        <w:tab/>
      </w:r>
      <w:r w:rsidR="00FD2B0A" w:rsidRPr="002C0C9D">
        <w:rPr>
          <w:sz w:val="16"/>
          <w:szCs w:val="16"/>
        </w:rPr>
        <w:t>Bepalingen die voorlopig waren opgenomen in circulaire NBB</w:t>
      </w:r>
      <w:r w:rsidR="00B76BB2">
        <w:rPr>
          <w:sz w:val="16"/>
          <w:szCs w:val="16"/>
        </w:rPr>
        <w:t>_</w:t>
      </w:r>
      <w:r w:rsidR="00FD2B0A" w:rsidRPr="002C0C9D">
        <w:rPr>
          <w:sz w:val="16"/>
          <w:szCs w:val="16"/>
        </w:rPr>
        <w:t>2016</w:t>
      </w:r>
      <w:r w:rsidR="00B76BB2">
        <w:rPr>
          <w:sz w:val="16"/>
          <w:szCs w:val="16"/>
        </w:rPr>
        <w:t>_</w:t>
      </w:r>
      <w:r w:rsidR="00FD2B0A" w:rsidRPr="002C0C9D">
        <w:rPr>
          <w:sz w:val="16"/>
          <w:szCs w:val="16"/>
        </w:rPr>
        <w:t>31 betreffende het governancesysteem en die n</w:t>
      </w:r>
      <w:r w:rsidR="002C0C9D" w:rsidRPr="002C0C9D">
        <w:rPr>
          <w:sz w:val="16"/>
          <w:szCs w:val="16"/>
        </w:rPr>
        <w:t>u zijn overgebracht naar het handboek</w:t>
      </w:r>
      <w:r w:rsidR="00FD2B0A" w:rsidRPr="002C0C9D">
        <w:rPr>
          <w:sz w:val="16"/>
          <w:szCs w:val="16"/>
        </w:rPr>
        <w:t xml:space="preserve"> </w:t>
      </w:r>
      <w:r w:rsidR="00B76BB2">
        <w:rPr>
          <w:sz w:val="16"/>
          <w:szCs w:val="16"/>
        </w:rPr>
        <w:t xml:space="preserve">dat als </w:t>
      </w:r>
      <w:r w:rsidR="002C0C9D">
        <w:rPr>
          <w:sz w:val="16"/>
          <w:szCs w:val="16"/>
        </w:rPr>
        <w:t>bijlage</w:t>
      </w:r>
      <w:r w:rsidR="00B76BB2">
        <w:rPr>
          <w:sz w:val="16"/>
          <w:szCs w:val="16"/>
        </w:rPr>
        <w:t xml:space="preserve"> bij deze circulaire is gevoegd</w:t>
      </w:r>
      <w:r w:rsidR="002C0C9D">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7A97" w14:textId="77777777" w:rsidR="00450949" w:rsidRDefault="00450949" w:rsidP="00E829D6">
    <w:pPr>
      <w:pStyle w:val="Header"/>
      <w:tabs>
        <w:tab w:val="clear" w:pos="4394"/>
        <w:tab w:val="center" w:pos="4395"/>
      </w:tabs>
    </w:pPr>
  </w:p>
  <w:p w14:paraId="32217A98" w14:textId="77777777" w:rsidR="00450949" w:rsidRPr="00BF29ED" w:rsidRDefault="00450949" w:rsidP="00E829D6">
    <w:pPr>
      <w:pStyle w:val="Header"/>
      <w:tabs>
        <w:tab w:val="clear" w:pos="4394"/>
        <w:tab w:val="center" w:pos="43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7A99" w14:textId="77777777" w:rsidR="00450949" w:rsidRDefault="00450949" w:rsidP="00D850C8">
    <w:pPr>
      <w:pStyle w:val="Header"/>
    </w:pPr>
  </w:p>
  <w:p w14:paraId="32217A9A" w14:textId="77777777" w:rsidR="00450949" w:rsidRPr="00D850C8" w:rsidRDefault="00450949" w:rsidP="00D85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0C4C5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56B8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C4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54D7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FE7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624D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386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F8D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C288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DC3A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E42DC"/>
    <w:multiLevelType w:val="multilevel"/>
    <w:tmpl w:val="6D967668"/>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1" w15:restartNumberingAfterBreak="0">
    <w:nsid w:val="130970D8"/>
    <w:multiLevelType w:val="hybridMultilevel"/>
    <w:tmpl w:val="C89C93D6"/>
    <w:lvl w:ilvl="0" w:tplc="772E83C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5977CD3"/>
    <w:multiLevelType w:val="hybridMultilevel"/>
    <w:tmpl w:val="6A0E10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5F22421"/>
    <w:multiLevelType w:val="multilevel"/>
    <w:tmpl w:val="083AFA2E"/>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4" w15:restartNumberingAfterBreak="0">
    <w:nsid w:val="162C51DB"/>
    <w:multiLevelType w:val="multilevel"/>
    <w:tmpl w:val="DDE64F1C"/>
    <w:lvl w:ilvl="0">
      <w:start w:val="1"/>
      <w:numFmt w:val="none"/>
      <w:suff w:val="nothing"/>
      <w:lvlText w:val="%1"/>
      <w:lvlJc w:val="left"/>
      <w:pPr>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15" w15:restartNumberingAfterBreak="0">
    <w:nsid w:val="1F985344"/>
    <w:multiLevelType w:val="hybridMultilevel"/>
    <w:tmpl w:val="5656AC18"/>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6" w15:restartNumberingAfterBreak="0">
    <w:nsid w:val="215D1D43"/>
    <w:multiLevelType w:val="multilevel"/>
    <w:tmpl w:val="20303294"/>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62340F0"/>
    <w:multiLevelType w:val="hybridMultilevel"/>
    <w:tmpl w:val="0F0227E4"/>
    <w:lvl w:ilvl="0" w:tplc="772E83C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56D4BB1"/>
    <w:multiLevelType w:val="multilevel"/>
    <w:tmpl w:val="42A63D7C"/>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9" w15:restartNumberingAfterBreak="0">
    <w:nsid w:val="361B5BC9"/>
    <w:multiLevelType w:val="multilevel"/>
    <w:tmpl w:val="4CBC15FC"/>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0" w15:restartNumberingAfterBreak="0">
    <w:nsid w:val="361F0C47"/>
    <w:multiLevelType w:val="multilevel"/>
    <w:tmpl w:val="9F8C365E"/>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1" w15:restartNumberingAfterBreak="0">
    <w:nsid w:val="37394C47"/>
    <w:multiLevelType w:val="hybridMultilevel"/>
    <w:tmpl w:val="FE6041DA"/>
    <w:lvl w:ilvl="0" w:tplc="89700C04">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2" w15:restartNumberingAfterBreak="0">
    <w:nsid w:val="373F18B8"/>
    <w:multiLevelType w:val="multilevel"/>
    <w:tmpl w:val="462A3074"/>
    <w:lvl w:ilvl="0">
      <w:start w:val="1"/>
      <w:numFmt w:val="none"/>
      <w:lvlText w:val="%1"/>
      <w:lvlJc w:val="left"/>
      <w:pPr>
        <w:tabs>
          <w:tab w:val="num" w:pos="0"/>
        </w:tabs>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23" w15:restartNumberingAfterBreak="0">
    <w:nsid w:val="3D3A0A8E"/>
    <w:multiLevelType w:val="multilevel"/>
    <w:tmpl w:val="46C2EAE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F723F4B"/>
    <w:multiLevelType w:val="hybridMultilevel"/>
    <w:tmpl w:val="B1323AF6"/>
    <w:lvl w:ilvl="0" w:tplc="EBCECBDA">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1575B30"/>
    <w:multiLevelType w:val="multilevel"/>
    <w:tmpl w:val="1E3660A2"/>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23F3443"/>
    <w:multiLevelType w:val="multilevel"/>
    <w:tmpl w:val="A6687038"/>
    <w:lvl w:ilvl="0">
      <w:start w:val="1"/>
      <w:numFmt w:val="decimal"/>
      <w:pStyle w:val="Heading1"/>
      <w:lvlText w:val="%1."/>
      <w:lvlJc w:val="left"/>
      <w:pPr>
        <w:ind w:left="357" w:hanging="357"/>
      </w:pPr>
      <w:rPr>
        <w:rFonts w:hint="default"/>
      </w:rPr>
    </w:lvl>
    <w:lvl w:ilvl="1">
      <w:start w:val="1"/>
      <w:numFmt w:val="upperLetter"/>
      <w:pStyle w:val="Heading2"/>
      <w:lvlText w:val="%1.%2."/>
      <w:lvlJc w:val="left"/>
      <w:pPr>
        <w:ind w:left="567" w:hanging="567"/>
      </w:pPr>
      <w:rPr>
        <w:rFonts w:hint="default"/>
      </w:rPr>
    </w:lvl>
    <w:lvl w:ilvl="2">
      <w:numFmt w:val="decimal"/>
      <w:pStyle w:val="Heading3"/>
      <w:lvlText w:val="%1.%2.%3."/>
      <w:lvlJc w:val="left"/>
      <w:pPr>
        <w:ind w:left="709" w:hanging="709"/>
      </w:pPr>
      <w:rPr>
        <w:rFonts w:hint="default"/>
      </w:rPr>
    </w:lvl>
    <w:lvl w:ilvl="3">
      <w:start w:val="1"/>
      <w:numFmt w:val="lowerLetter"/>
      <w:pStyle w:val="Heading4"/>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847C49"/>
    <w:multiLevelType w:val="multilevel"/>
    <w:tmpl w:val="44F4C87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A9E3A8C"/>
    <w:multiLevelType w:val="multilevel"/>
    <w:tmpl w:val="8200A2C0"/>
    <w:lvl w:ilvl="0">
      <w:start w:val="1"/>
      <w:numFmt w:val="decimal"/>
      <w:lvlText w:val="%1."/>
      <w:lvlJc w:val="left"/>
      <w:pPr>
        <w:tabs>
          <w:tab w:val="num" w:pos="255"/>
        </w:tabs>
        <w:ind w:left="255" w:hanging="255"/>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CCA7F7E"/>
    <w:multiLevelType w:val="multilevel"/>
    <w:tmpl w:val="0936A182"/>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30" w15:restartNumberingAfterBreak="0">
    <w:nsid w:val="60254696"/>
    <w:multiLevelType w:val="hybridMultilevel"/>
    <w:tmpl w:val="528AEA66"/>
    <w:lvl w:ilvl="0" w:tplc="89700C04">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1" w15:restartNumberingAfterBreak="0">
    <w:nsid w:val="60B95EA5"/>
    <w:multiLevelType w:val="multilevel"/>
    <w:tmpl w:val="A86CA668"/>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95A7236"/>
    <w:multiLevelType w:val="multilevel"/>
    <w:tmpl w:val="84DEC9D6"/>
    <w:lvl w:ilvl="0">
      <w:start w:val="1"/>
      <w:numFmt w:val="none"/>
      <w:lvlText w:val=""/>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5%1"/>
      <w:lvlJc w:val="left"/>
      <w:pPr>
        <w:tabs>
          <w:tab w:val="num" w:pos="0"/>
        </w:tabs>
        <w:ind w:left="0" w:firstLine="0"/>
      </w:pPr>
      <w:rPr>
        <w:rFonts w:hint="default"/>
      </w:rPr>
    </w:lvl>
    <w:lvl w:ilvl="5">
      <w:start w:val="1"/>
      <w:numFmt w:val="decimal"/>
      <w:lvlText w:val="%6%1"/>
      <w:lvlJc w:val="left"/>
      <w:pPr>
        <w:tabs>
          <w:tab w:val="num" w:pos="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D911FC9"/>
    <w:multiLevelType w:val="multilevel"/>
    <w:tmpl w:val="12D85406"/>
    <w:lvl w:ilvl="0">
      <w:start w:val="1"/>
      <w:numFmt w:val="none"/>
      <w:lvlText w:val="%1"/>
      <w:lvlJc w:val="left"/>
      <w:pPr>
        <w:tabs>
          <w:tab w:val="num" w:pos="284"/>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2.%3"/>
      <w:lvlJc w:val="left"/>
      <w:pPr>
        <w:tabs>
          <w:tab w:val="num" w:pos="284"/>
        </w:tabs>
        <w:ind w:left="284" w:hanging="284"/>
      </w:pPr>
      <w:rPr>
        <w:rFonts w:hint="default"/>
      </w:rPr>
    </w:lvl>
    <w:lvl w:ilvl="3">
      <w:start w:val="1"/>
      <w:numFmt w:val="decimal"/>
      <w:lvlText w:val="%2.%3.%4"/>
      <w:lvlJc w:val="left"/>
      <w:pPr>
        <w:tabs>
          <w:tab w:val="num" w:pos="397"/>
        </w:tabs>
        <w:ind w:left="397" w:hanging="397"/>
      </w:pPr>
      <w:rPr>
        <w:rFonts w:hint="default"/>
      </w:rPr>
    </w:lvl>
    <w:lvl w:ilvl="4">
      <w:start w:val="1"/>
      <w:numFmt w:val="none"/>
      <w:lvlText w:val=""/>
      <w:lvlJc w:val="left"/>
      <w:pPr>
        <w:tabs>
          <w:tab w:val="num" w:pos="510"/>
        </w:tabs>
        <w:ind w:left="510" w:hanging="510"/>
      </w:pPr>
      <w:rPr>
        <w:rFonts w:hint="default"/>
      </w:rPr>
    </w:lvl>
    <w:lvl w:ilvl="5">
      <w:start w:val="1"/>
      <w:numFmt w:val="none"/>
      <w:lvlText w:val=""/>
      <w:lvlJc w:val="left"/>
      <w:pPr>
        <w:tabs>
          <w:tab w:val="num" w:pos="0"/>
        </w:tabs>
        <w:ind w:left="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15:restartNumberingAfterBreak="0">
    <w:nsid w:val="70FE10F4"/>
    <w:multiLevelType w:val="multilevel"/>
    <w:tmpl w:val="192C0D2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56E43D2"/>
    <w:multiLevelType w:val="multilevel"/>
    <w:tmpl w:val="64685F3A"/>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36" w15:restartNumberingAfterBreak="0">
    <w:nsid w:val="77D45783"/>
    <w:multiLevelType w:val="multilevel"/>
    <w:tmpl w:val="0BDE938A"/>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1"/>
  </w:num>
  <w:num w:numId="12">
    <w:abstractNumId w:val="25"/>
  </w:num>
  <w:num w:numId="13">
    <w:abstractNumId w:val="34"/>
  </w:num>
  <w:num w:numId="14">
    <w:abstractNumId w:val="27"/>
  </w:num>
  <w:num w:numId="15">
    <w:abstractNumId w:val="23"/>
  </w:num>
  <w:num w:numId="16">
    <w:abstractNumId w:val="16"/>
  </w:num>
  <w:num w:numId="17">
    <w:abstractNumId w:val="35"/>
  </w:num>
  <w:num w:numId="18">
    <w:abstractNumId w:val="14"/>
  </w:num>
  <w:num w:numId="19">
    <w:abstractNumId w:val="18"/>
  </w:num>
  <w:num w:numId="20">
    <w:abstractNumId w:val="36"/>
  </w:num>
  <w:num w:numId="21">
    <w:abstractNumId w:val="13"/>
  </w:num>
  <w:num w:numId="22">
    <w:abstractNumId w:val="28"/>
  </w:num>
  <w:num w:numId="23">
    <w:abstractNumId w:val="32"/>
  </w:num>
  <w:num w:numId="24">
    <w:abstractNumId w:val="20"/>
  </w:num>
  <w:num w:numId="25">
    <w:abstractNumId w:val="19"/>
  </w:num>
  <w:num w:numId="26">
    <w:abstractNumId w:val="29"/>
  </w:num>
  <w:num w:numId="27">
    <w:abstractNumId w:val="10"/>
  </w:num>
  <w:num w:numId="28">
    <w:abstractNumId w:val="22"/>
  </w:num>
  <w:num w:numId="29">
    <w:abstractNumId w:val="33"/>
  </w:num>
  <w:num w:numId="30">
    <w:abstractNumId w:val="26"/>
  </w:num>
  <w:num w:numId="31">
    <w:abstractNumId w:val="12"/>
  </w:num>
  <w:num w:numId="32">
    <w:abstractNumId w:val="17"/>
  </w:num>
  <w:num w:numId="33">
    <w:abstractNumId w:val="11"/>
  </w:num>
  <w:num w:numId="34">
    <w:abstractNumId w:val="15"/>
  </w:num>
  <w:num w:numId="35">
    <w:abstractNumId w:val="21"/>
  </w:num>
  <w:num w:numId="36">
    <w:abstractNumId w:val="3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fr-BE" w:vendorID="9" w:dllVersion="512" w:checkStyle="1"/>
  <w:activeWritingStyle w:appName="MSWord" w:lang="en-US" w:vendorID="8" w:dllVersion="513" w:checkStyle="1"/>
  <w:activeWritingStyle w:appName="MSWord" w:lang="nl-NL" w:vendorID="1" w:dllVersion="512" w:checkStyle="1"/>
  <w:activeWritingStyle w:appName="MSWord" w:lang="nl-BE" w:vendorID="1" w:dllVersion="512" w:checkStyle="1"/>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evenAndOddHeaders/>
  <w:drawingGridHorizontalSpacing w:val="28"/>
  <w:drawingGridVerticalSpacing w:val="28"/>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6865"/>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367"/>
    <w:rsid w:val="00002DB7"/>
    <w:rsid w:val="00004D7F"/>
    <w:rsid w:val="0001495A"/>
    <w:rsid w:val="000177F2"/>
    <w:rsid w:val="00024A9E"/>
    <w:rsid w:val="00026308"/>
    <w:rsid w:val="000327D2"/>
    <w:rsid w:val="0003333C"/>
    <w:rsid w:val="00036E81"/>
    <w:rsid w:val="0004319E"/>
    <w:rsid w:val="0004570B"/>
    <w:rsid w:val="00051F2C"/>
    <w:rsid w:val="00053EEF"/>
    <w:rsid w:val="00062C1B"/>
    <w:rsid w:val="00064AC6"/>
    <w:rsid w:val="00075DD5"/>
    <w:rsid w:val="00082FA7"/>
    <w:rsid w:val="000869C2"/>
    <w:rsid w:val="00090275"/>
    <w:rsid w:val="00097598"/>
    <w:rsid w:val="00097FD5"/>
    <w:rsid w:val="000A0642"/>
    <w:rsid w:val="000A1DA9"/>
    <w:rsid w:val="000B6441"/>
    <w:rsid w:val="000B6EA4"/>
    <w:rsid w:val="000C0531"/>
    <w:rsid w:val="000C35AA"/>
    <w:rsid w:val="000C37AB"/>
    <w:rsid w:val="000D10C0"/>
    <w:rsid w:val="000D405E"/>
    <w:rsid w:val="000E0090"/>
    <w:rsid w:val="000E2A68"/>
    <w:rsid w:val="000F0103"/>
    <w:rsid w:val="000F1EB6"/>
    <w:rsid w:val="000F7268"/>
    <w:rsid w:val="000F7C34"/>
    <w:rsid w:val="001126F5"/>
    <w:rsid w:val="00114821"/>
    <w:rsid w:val="00117F31"/>
    <w:rsid w:val="00124312"/>
    <w:rsid w:val="00124AA8"/>
    <w:rsid w:val="00126494"/>
    <w:rsid w:val="00130D36"/>
    <w:rsid w:val="00133D4B"/>
    <w:rsid w:val="00145EF1"/>
    <w:rsid w:val="00147933"/>
    <w:rsid w:val="001516F5"/>
    <w:rsid w:val="0015337A"/>
    <w:rsid w:val="00154310"/>
    <w:rsid w:val="001548A9"/>
    <w:rsid w:val="00155349"/>
    <w:rsid w:val="00160D31"/>
    <w:rsid w:val="00161DC5"/>
    <w:rsid w:val="00163225"/>
    <w:rsid w:val="00167ACD"/>
    <w:rsid w:val="00170EDE"/>
    <w:rsid w:val="00172DAF"/>
    <w:rsid w:val="00175ADE"/>
    <w:rsid w:val="001763C2"/>
    <w:rsid w:val="0017649E"/>
    <w:rsid w:val="001767CB"/>
    <w:rsid w:val="00180462"/>
    <w:rsid w:val="0018615D"/>
    <w:rsid w:val="00186EC7"/>
    <w:rsid w:val="0019158E"/>
    <w:rsid w:val="00197FEB"/>
    <w:rsid w:val="001A1D68"/>
    <w:rsid w:val="001A7DC7"/>
    <w:rsid w:val="001B4EEE"/>
    <w:rsid w:val="001B7F21"/>
    <w:rsid w:val="001D1E99"/>
    <w:rsid w:val="001D503F"/>
    <w:rsid w:val="001D7934"/>
    <w:rsid w:val="001F1805"/>
    <w:rsid w:val="001F711D"/>
    <w:rsid w:val="001F7C90"/>
    <w:rsid w:val="00200D79"/>
    <w:rsid w:val="00202B0B"/>
    <w:rsid w:val="00204BE8"/>
    <w:rsid w:val="00213474"/>
    <w:rsid w:val="00215E02"/>
    <w:rsid w:val="00221231"/>
    <w:rsid w:val="00223911"/>
    <w:rsid w:val="002307B0"/>
    <w:rsid w:val="00231694"/>
    <w:rsid w:val="002333AF"/>
    <w:rsid w:val="00233828"/>
    <w:rsid w:val="002406B2"/>
    <w:rsid w:val="002477FA"/>
    <w:rsid w:val="002554D2"/>
    <w:rsid w:val="00261D63"/>
    <w:rsid w:val="002754A4"/>
    <w:rsid w:val="00275C1C"/>
    <w:rsid w:val="00276804"/>
    <w:rsid w:val="00277EDB"/>
    <w:rsid w:val="002859A3"/>
    <w:rsid w:val="00287538"/>
    <w:rsid w:val="0028790D"/>
    <w:rsid w:val="002903BB"/>
    <w:rsid w:val="002908E7"/>
    <w:rsid w:val="002A01BF"/>
    <w:rsid w:val="002B3ECC"/>
    <w:rsid w:val="002B4068"/>
    <w:rsid w:val="002B5743"/>
    <w:rsid w:val="002C0C9D"/>
    <w:rsid w:val="002C25D5"/>
    <w:rsid w:val="002C6C64"/>
    <w:rsid w:val="002D5723"/>
    <w:rsid w:val="002D5C8D"/>
    <w:rsid w:val="002D75B3"/>
    <w:rsid w:val="002E10A2"/>
    <w:rsid w:val="002E15B9"/>
    <w:rsid w:val="002E409B"/>
    <w:rsid w:val="002E5144"/>
    <w:rsid w:val="002F1611"/>
    <w:rsid w:val="00301BEF"/>
    <w:rsid w:val="0031014D"/>
    <w:rsid w:val="003116AA"/>
    <w:rsid w:val="003135E6"/>
    <w:rsid w:val="003364D4"/>
    <w:rsid w:val="00336912"/>
    <w:rsid w:val="003419C5"/>
    <w:rsid w:val="003442F7"/>
    <w:rsid w:val="00345973"/>
    <w:rsid w:val="00352B22"/>
    <w:rsid w:val="00353178"/>
    <w:rsid w:val="00353E3D"/>
    <w:rsid w:val="00354956"/>
    <w:rsid w:val="00362513"/>
    <w:rsid w:val="00363B18"/>
    <w:rsid w:val="00364175"/>
    <w:rsid w:val="00365065"/>
    <w:rsid w:val="00365FFE"/>
    <w:rsid w:val="00377371"/>
    <w:rsid w:val="003802EE"/>
    <w:rsid w:val="0038095A"/>
    <w:rsid w:val="00381F4A"/>
    <w:rsid w:val="00383392"/>
    <w:rsid w:val="00387716"/>
    <w:rsid w:val="00395A49"/>
    <w:rsid w:val="00397DDA"/>
    <w:rsid w:val="003A142C"/>
    <w:rsid w:val="003A4206"/>
    <w:rsid w:val="003B1662"/>
    <w:rsid w:val="003B7866"/>
    <w:rsid w:val="003D01F2"/>
    <w:rsid w:val="003D7096"/>
    <w:rsid w:val="003E4928"/>
    <w:rsid w:val="003F2836"/>
    <w:rsid w:val="003F792F"/>
    <w:rsid w:val="004003CC"/>
    <w:rsid w:val="00404D2D"/>
    <w:rsid w:val="00407822"/>
    <w:rsid w:val="00412C56"/>
    <w:rsid w:val="00423E89"/>
    <w:rsid w:val="0042595A"/>
    <w:rsid w:val="004275C8"/>
    <w:rsid w:val="004449B7"/>
    <w:rsid w:val="00450949"/>
    <w:rsid w:val="0045258E"/>
    <w:rsid w:val="004532E6"/>
    <w:rsid w:val="004540E1"/>
    <w:rsid w:val="00454C65"/>
    <w:rsid w:val="0045581C"/>
    <w:rsid w:val="00456DEB"/>
    <w:rsid w:val="004619EE"/>
    <w:rsid w:val="00464101"/>
    <w:rsid w:val="004642A5"/>
    <w:rsid w:val="004679FA"/>
    <w:rsid w:val="00477F18"/>
    <w:rsid w:val="00485F3C"/>
    <w:rsid w:val="00491715"/>
    <w:rsid w:val="004A477F"/>
    <w:rsid w:val="004A4C5C"/>
    <w:rsid w:val="004B400F"/>
    <w:rsid w:val="004C14FA"/>
    <w:rsid w:val="004C2424"/>
    <w:rsid w:val="004D12DD"/>
    <w:rsid w:val="004E136D"/>
    <w:rsid w:val="004F0108"/>
    <w:rsid w:val="004F04DA"/>
    <w:rsid w:val="004F0F6B"/>
    <w:rsid w:val="004F41BA"/>
    <w:rsid w:val="005033DA"/>
    <w:rsid w:val="0050792E"/>
    <w:rsid w:val="00512317"/>
    <w:rsid w:val="0051268A"/>
    <w:rsid w:val="00516BD6"/>
    <w:rsid w:val="005228A1"/>
    <w:rsid w:val="0054152B"/>
    <w:rsid w:val="00552963"/>
    <w:rsid w:val="0055492B"/>
    <w:rsid w:val="00554C9B"/>
    <w:rsid w:val="00556064"/>
    <w:rsid w:val="00557A3F"/>
    <w:rsid w:val="0056043D"/>
    <w:rsid w:val="005616A3"/>
    <w:rsid w:val="00561A9A"/>
    <w:rsid w:val="00567693"/>
    <w:rsid w:val="00571A24"/>
    <w:rsid w:val="00582D56"/>
    <w:rsid w:val="00583102"/>
    <w:rsid w:val="00592469"/>
    <w:rsid w:val="00592957"/>
    <w:rsid w:val="005932C7"/>
    <w:rsid w:val="0059396D"/>
    <w:rsid w:val="005940F1"/>
    <w:rsid w:val="0059711A"/>
    <w:rsid w:val="005A09CE"/>
    <w:rsid w:val="005A3DA7"/>
    <w:rsid w:val="005B4C1C"/>
    <w:rsid w:val="005C1B25"/>
    <w:rsid w:val="005C3450"/>
    <w:rsid w:val="005C3F84"/>
    <w:rsid w:val="005D1DDD"/>
    <w:rsid w:val="005E2DA5"/>
    <w:rsid w:val="005E33F6"/>
    <w:rsid w:val="00601C26"/>
    <w:rsid w:val="00603EAE"/>
    <w:rsid w:val="006107D5"/>
    <w:rsid w:val="00610B4E"/>
    <w:rsid w:val="00611E02"/>
    <w:rsid w:val="00627AF2"/>
    <w:rsid w:val="0063089E"/>
    <w:rsid w:val="006316A4"/>
    <w:rsid w:val="00631E3C"/>
    <w:rsid w:val="00634558"/>
    <w:rsid w:val="00635AD7"/>
    <w:rsid w:val="00635DCE"/>
    <w:rsid w:val="006372C7"/>
    <w:rsid w:val="006376E3"/>
    <w:rsid w:val="006506E6"/>
    <w:rsid w:val="00651843"/>
    <w:rsid w:val="00651BD7"/>
    <w:rsid w:val="00653A88"/>
    <w:rsid w:val="006602F1"/>
    <w:rsid w:val="006626A0"/>
    <w:rsid w:val="00667481"/>
    <w:rsid w:val="006703F5"/>
    <w:rsid w:val="0067198D"/>
    <w:rsid w:val="0068065A"/>
    <w:rsid w:val="006836CA"/>
    <w:rsid w:val="00683802"/>
    <w:rsid w:val="0068679D"/>
    <w:rsid w:val="00686FD5"/>
    <w:rsid w:val="0069170F"/>
    <w:rsid w:val="0069769C"/>
    <w:rsid w:val="00697F48"/>
    <w:rsid w:val="006A3829"/>
    <w:rsid w:val="006B6BFC"/>
    <w:rsid w:val="006E14E0"/>
    <w:rsid w:val="006E714E"/>
    <w:rsid w:val="006E7D13"/>
    <w:rsid w:val="00701607"/>
    <w:rsid w:val="00702DA6"/>
    <w:rsid w:val="00706B32"/>
    <w:rsid w:val="0071004E"/>
    <w:rsid w:val="00714070"/>
    <w:rsid w:val="007148AA"/>
    <w:rsid w:val="00721249"/>
    <w:rsid w:val="00723B4F"/>
    <w:rsid w:val="00730DDA"/>
    <w:rsid w:val="00733829"/>
    <w:rsid w:val="00733DE9"/>
    <w:rsid w:val="00741E9C"/>
    <w:rsid w:val="007459B1"/>
    <w:rsid w:val="00750B57"/>
    <w:rsid w:val="00752FC4"/>
    <w:rsid w:val="00753E24"/>
    <w:rsid w:val="007654E7"/>
    <w:rsid w:val="00766F4D"/>
    <w:rsid w:val="0077019B"/>
    <w:rsid w:val="00773E81"/>
    <w:rsid w:val="007770DA"/>
    <w:rsid w:val="007776E4"/>
    <w:rsid w:val="00777713"/>
    <w:rsid w:val="00781345"/>
    <w:rsid w:val="00785B6F"/>
    <w:rsid w:val="00787601"/>
    <w:rsid w:val="00796920"/>
    <w:rsid w:val="00797BED"/>
    <w:rsid w:val="007A1C59"/>
    <w:rsid w:val="007A1F21"/>
    <w:rsid w:val="007A3EF3"/>
    <w:rsid w:val="007A552B"/>
    <w:rsid w:val="007A6D1E"/>
    <w:rsid w:val="007B25F7"/>
    <w:rsid w:val="007B793B"/>
    <w:rsid w:val="007C6D45"/>
    <w:rsid w:val="007E0494"/>
    <w:rsid w:val="007E0667"/>
    <w:rsid w:val="007E71C9"/>
    <w:rsid w:val="007F0A8C"/>
    <w:rsid w:val="007F0D60"/>
    <w:rsid w:val="007F462A"/>
    <w:rsid w:val="007F5AF5"/>
    <w:rsid w:val="007F78DB"/>
    <w:rsid w:val="00804480"/>
    <w:rsid w:val="00805AFA"/>
    <w:rsid w:val="0081015C"/>
    <w:rsid w:val="00813396"/>
    <w:rsid w:val="00814FBE"/>
    <w:rsid w:val="00821F74"/>
    <w:rsid w:val="00822375"/>
    <w:rsid w:val="00824A23"/>
    <w:rsid w:val="00836C05"/>
    <w:rsid w:val="008437C4"/>
    <w:rsid w:val="00843F67"/>
    <w:rsid w:val="00844323"/>
    <w:rsid w:val="00845931"/>
    <w:rsid w:val="00847145"/>
    <w:rsid w:val="008503E8"/>
    <w:rsid w:val="00862FBC"/>
    <w:rsid w:val="008837CF"/>
    <w:rsid w:val="00896CFE"/>
    <w:rsid w:val="008977A1"/>
    <w:rsid w:val="008A27DB"/>
    <w:rsid w:val="008C4032"/>
    <w:rsid w:val="008C7A2F"/>
    <w:rsid w:val="008D0BC4"/>
    <w:rsid w:val="008E5948"/>
    <w:rsid w:val="008E6931"/>
    <w:rsid w:val="0090354E"/>
    <w:rsid w:val="0090398E"/>
    <w:rsid w:val="00905D03"/>
    <w:rsid w:val="00914031"/>
    <w:rsid w:val="00932175"/>
    <w:rsid w:val="00935B26"/>
    <w:rsid w:val="009371CD"/>
    <w:rsid w:val="00937808"/>
    <w:rsid w:val="00940C81"/>
    <w:rsid w:val="00942B19"/>
    <w:rsid w:val="00942EE2"/>
    <w:rsid w:val="00944080"/>
    <w:rsid w:val="009466D6"/>
    <w:rsid w:val="00950793"/>
    <w:rsid w:val="00950C45"/>
    <w:rsid w:val="00954143"/>
    <w:rsid w:val="00957802"/>
    <w:rsid w:val="00957DEA"/>
    <w:rsid w:val="009600D3"/>
    <w:rsid w:val="00974952"/>
    <w:rsid w:val="00983714"/>
    <w:rsid w:val="00983C4D"/>
    <w:rsid w:val="00985229"/>
    <w:rsid w:val="00987165"/>
    <w:rsid w:val="00987DEA"/>
    <w:rsid w:val="00991E7A"/>
    <w:rsid w:val="009939BE"/>
    <w:rsid w:val="00994BF4"/>
    <w:rsid w:val="009A0346"/>
    <w:rsid w:val="009A140C"/>
    <w:rsid w:val="009B132A"/>
    <w:rsid w:val="009B6FA0"/>
    <w:rsid w:val="009C0BC7"/>
    <w:rsid w:val="009D0367"/>
    <w:rsid w:val="009D10D0"/>
    <w:rsid w:val="009D1225"/>
    <w:rsid w:val="009D15BD"/>
    <w:rsid w:val="009D277D"/>
    <w:rsid w:val="009D3040"/>
    <w:rsid w:val="009D3082"/>
    <w:rsid w:val="009D784B"/>
    <w:rsid w:val="009E2A0A"/>
    <w:rsid w:val="009E56DB"/>
    <w:rsid w:val="009F5495"/>
    <w:rsid w:val="009F562E"/>
    <w:rsid w:val="009F6724"/>
    <w:rsid w:val="00A01013"/>
    <w:rsid w:val="00A06B19"/>
    <w:rsid w:val="00A11F91"/>
    <w:rsid w:val="00A122B7"/>
    <w:rsid w:val="00A141C9"/>
    <w:rsid w:val="00A147E1"/>
    <w:rsid w:val="00A16F91"/>
    <w:rsid w:val="00A17571"/>
    <w:rsid w:val="00A2514A"/>
    <w:rsid w:val="00A25A33"/>
    <w:rsid w:val="00A267AD"/>
    <w:rsid w:val="00A33255"/>
    <w:rsid w:val="00A351FF"/>
    <w:rsid w:val="00A355E9"/>
    <w:rsid w:val="00A50A1F"/>
    <w:rsid w:val="00A51FAA"/>
    <w:rsid w:val="00A55A96"/>
    <w:rsid w:val="00A562C0"/>
    <w:rsid w:val="00A56340"/>
    <w:rsid w:val="00A605D0"/>
    <w:rsid w:val="00A621A5"/>
    <w:rsid w:val="00A62501"/>
    <w:rsid w:val="00A679F2"/>
    <w:rsid w:val="00A67EF7"/>
    <w:rsid w:val="00A709E5"/>
    <w:rsid w:val="00A7250C"/>
    <w:rsid w:val="00A73D60"/>
    <w:rsid w:val="00A876D8"/>
    <w:rsid w:val="00A912F7"/>
    <w:rsid w:val="00A973C8"/>
    <w:rsid w:val="00AA074E"/>
    <w:rsid w:val="00AB2E45"/>
    <w:rsid w:val="00AB48E7"/>
    <w:rsid w:val="00AB4D11"/>
    <w:rsid w:val="00AB5B67"/>
    <w:rsid w:val="00AB5F38"/>
    <w:rsid w:val="00AB6BD9"/>
    <w:rsid w:val="00AC2A20"/>
    <w:rsid w:val="00AC619F"/>
    <w:rsid w:val="00AD7BAB"/>
    <w:rsid w:val="00AE028E"/>
    <w:rsid w:val="00AE0FA5"/>
    <w:rsid w:val="00AE4609"/>
    <w:rsid w:val="00AE4F77"/>
    <w:rsid w:val="00AF77D2"/>
    <w:rsid w:val="00B04933"/>
    <w:rsid w:val="00B11BB2"/>
    <w:rsid w:val="00B144C0"/>
    <w:rsid w:val="00B170C1"/>
    <w:rsid w:val="00B338D7"/>
    <w:rsid w:val="00B34FEF"/>
    <w:rsid w:val="00B352D4"/>
    <w:rsid w:val="00B402AF"/>
    <w:rsid w:val="00B404A0"/>
    <w:rsid w:val="00B41942"/>
    <w:rsid w:val="00B44C6F"/>
    <w:rsid w:val="00B44D45"/>
    <w:rsid w:val="00B46BAE"/>
    <w:rsid w:val="00B52F2E"/>
    <w:rsid w:val="00B614D1"/>
    <w:rsid w:val="00B63B89"/>
    <w:rsid w:val="00B661C8"/>
    <w:rsid w:val="00B76BB2"/>
    <w:rsid w:val="00B80CFD"/>
    <w:rsid w:val="00B83DD1"/>
    <w:rsid w:val="00B908B1"/>
    <w:rsid w:val="00B92424"/>
    <w:rsid w:val="00B97B40"/>
    <w:rsid w:val="00BB4F58"/>
    <w:rsid w:val="00BB595F"/>
    <w:rsid w:val="00BB5E44"/>
    <w:rsid w:val="00BC351F"/>
    <w:rsid w:val="00BD7A38"/>
    <w:rsid w:val="00BE0CD8"/>
    <w:rsid w:val="00BF29ED"/>
    <w:rsid w:val="00BF5C8A"/>
    <w:rsid w:val="00C0402A"/>
    <w:rsid w:val="00C04593"/>
    <w:rsid w:val="00C0490F"/>
    <w:rsid w:val="00C079B3"/>
    <w:rsid w:val="00C24707"/>
    <w:rsid w:val="00C25AA1"/>
    <w:rsid w:val="00C312EF"/>
    <w:rsid w:val="00C33CD7"/>
    <w:rsid w:val="00C34E1C"/>
    <w:rsid w:val="00C474DC"/>
    <w:rsid w:val="00C47857"/>
    <w:rsid w:val="00C47923"/>
    <w:rsid w:val="00C5387A"/>
    <w:rsid w:val="00C563FE"/>
    <w:rsid w:val="00C61050"/>
    <w:rsid w:val="00C634C5"/>
    <w:rsid w:val="00C641E4"/>
    <w:rsid w:val="00C66480"/>
    <w:rsid w:val="00C753E9"/>
    <w:rsid w:val="00C81B69"/>
    <w:rsid w:val="00C846EC"/>
    <w:rsid w:val="00C84EA1"/>
    <w:rsid w:val="00C90176"/>
    <w:rsid w:val="00C9043A"/>
    <w:rsid w:val="00C94B35"/>
    <w:rsid w:val="00C961A9"/>
    <w:rsid w:val="00CA5A74"/>
    <w:rsid w:val="00CA6254"/>
    <w:rsid w:val="00CB2202"/>
    <w:rsid w:val="00CB30C8"/>
    <w:rsid w:val="00CB3961"/>
    <w:rsid w:val="00CB4A52"/>
    <w:rsid w:val="00CC0365"/>
    <w:rsid w:val="00CC2EF8"/>
    <w:rsid w:val="00CC4296"/>
    <w:rsid w:val="00CE540D"/>
    <w:rsid w:val="00CE5D84"/>
    <w:rsid w:val="00CF6318"/>
    <w:rsid w:val="00CF63B4"/>
    <w:rsid w:val="00D00492"/>
    <w:rsid w:val="00D05113"/>
    <w:rsid w:val="00D0540B"/>
    <w:rsid w:val="00D06A39"/>
    <w:rsid w:val="00D12F2B"/>
    <w:rsid w:val="00D231CE"/>
    <w:rsid w:val="00D25CC0"/>
    <w:rsid w:val="00D2603A"/>
    <w:rsid w:val="00D2703D"/>
    <w:rsid w:val="00D31E35"/>
    <w:rsid w:val="00D32B1A"/>
    <w:rsid w:val="00D346B5"/>
    <w:rsid w:val="00D36C5D"/>
    <w:rsid w:val="00D423C7"/>
    <w:rsid w:val="00D46718"/>
    <w:rsid w:val="00D527DE"/>
    <w:rsid w:val="00D556C0"/>
    <w:rsid w:val="00D60A56"/>
    <w:rsid w:val="00D6275A"/>
    <w:rsid w:val="00D62D9B"/>
    <w:rsid w:val="00D63B8E"/>
    <w:rsid w:val="00D63DA6"/>
    <w:rsid w:val="00D650B1"/>
    <w:rsid w:val="00D718C9"/>
    <w:rsid w:val="00D73405"/>
    <w:rsid w:val="00D75B6C"/>
    <w:rsid w:val="00D82C98"/>
    <w:rsid w:val="00D850C8"/>
    <w:rsid w:val="00DA16CD"/>
    <w:rsid w:val="00DB31C8"/>
    <w:rsid w:val="00DC0B0F"/>
    <w:rsid w:val="00DC1B28"/>
    <w:rsid w:val="00DC727C"/>
    <w:rsid w:val="00DC7E81"/>
    <w:rsid w:val="00DD1D39"/>
    <w:rsid w:val="00DD2826"/>
    <w:rsid w:val="00DF3B32"/>
    <w:rsid w:val="00DF758C"/>
    <w:rsid w:val="00DF7D48"/>
    <w:rsid w:val="00E03E9B"/>
    <w:rsid w:val="00E04E63"/>
    <w:rsid w:val="00E07CCE"/>
    <w:rsid w:val="00E13E2F"/>
    <w:rsid w:val="00E13E61"/>
    <w:rsid w:val="00E162FC"/>
    <w:rsid w:val="00E16B13"/>
    <w:rsid w:val="00E22E1D"/>
    <w:rsid w:val="00E26ABD"/>
    <w:rsid w:val="00E348BA"/>
    <w:rsid w:val="00E34A80"/>
    <w:rsid w:val="00E36D9F"/>
    <w:rsid w:val="00E471A8"/>
    <w:rsid w:val="00E52E2A"/>
    <w:rsid w:val="00E6549C"/>
    <w:rsid w:val="00E65C86"/>
    <w:rsid w:val="00E66CEF"/>
    <w:rsid w:val="00E73749"/>
    <w:rsid w:val="00E75450"/>
    <w:rsid w:val="00E759E4"/>
    <w:rsid w:val="00E77B8A"/>
    <w:rsid w:val="00E829D6"/>
    <w:rsid w:val="00E87276"/>
    <w:rsid w:val="00E9511F"/>
    <w:rsid w:val="00E966D1"/>
    <w:rsid w:val="00EA2226"/>
    <w:rsid w:val="00EA33BE"/>
    <w:rsid w:val="00EB13F8"/>
    <w:rsid w:val="00EB28A5"/>
    <w:rsid w:val="00EB3741"/>
    <w:rsid w:val="00EB3F3D"/>
    <w:rsid w:val="00EB577B"/>
    <w:rsid w:val="00EB6DE0"/>
    <w:rsid w:val="00EC593A"/>
    <w:rsid w:val="00ED10C8"/>
    <w:rsid w:val="00ED1B50"/>
    <w:rsid w:val="00ED445E"/>
    <w:rsid w:val="00ED687C"/>
    <w:rsid w:val="00ED6928"/>
    <w:rsid w:val="00EE3C1C"/>
    <w:rsid w:val="00EE5676"/>
    <w:rsid w:val="00F01DE1"/>
    <w:rsid w:val="00F063BF"/>
    <w:rsid w:val="00F120C3"/>
    <w:rsid w:val="00F21513"/>
    <w:rsid w:val="00F24DB0"/>
    <w:rsid w:val="00F26312"/>
    <w:rsid w:val="00F31133"/>
    <w:rsid w:val="00F32E26"/>
    <w:rsid w:val="00F35F9D"/>
    <w:rsid w:val="00F449D1"/>
    <w:rsid w:val="00F55AC8"/>
    <w:rsid w:val="00F57B63"/>
    <w:rsid w:val="00F62B97"/>
    <w:rsid w:val="00F63335"/>
    <w:rsid w:val="00F64E38"/>
    <w:rsid w:val="00F65486"/>
    <w:rsid w:val="00F71C3B"/>
    <w:rsid w:val="00F747FC"/>
    <w:rsid w:val="00F76523"/>
    <w:rsid w:val="00F8549F"/>
    <w:rsid w:val="00F917ED"/>
    <w:rsid w:val="00FA14B8"/>
    <w:rsid w:val="00FA44B3"/>
    <w:rsid w:val="00FA56DE"/>
    <w:rsid w:val="00FB4626"/>
    <w:rsid w:val="00FD2B0A"/>
    <w:rsid w:val="00FE222C"/>
    <w:rsid w:val="00FE24A6"/>
    <w:rsid w:val="00FE349E"/>
    <w:rsid w:val="00FE50AF"/>
    <w:rsid w:val="00FF53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2217A1F"/>
  <w15:docId w15:val="{3280848A-FADF-49CF-89AB-3F01877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0DDA"/>
    <w:pPr>
      <w:tabs>
        <w:tab w:val="left" w:pos="284"/>
      </w:tabs>
      <w:spacing w:line="264" w:lineRule="atLeast"/>
    </w:pPr>
    <w:rPr>
      <w:rFonts w:ascii="Arial" w:hAnsi="Arial"/>
      <w:lang w:eastAsia="en-US"/>
    </w:rPr>
  </w:style>
  <w:style w:type="paragraph" w:styleId="Heading1">
    <w:name w:val="heading 1"/>
    <w:basedOn w:val="Normal"/>
    <w:next w:val="Normal"/>
    <w:qFormat/>
    <w:rsid w:val="007A552B"/>
    <w:pPr>
      <w:keepNext/>
      <w:keepLines/>
      <w:numPr>
        <w:numId w:val="30"/>
      </w:numPr>
      <w:tabs>
        <w:tab w:val="clear" w:pos="284"/>
      </w:tabs>
      <w:spacing w:before="240" w:after="240"/>
      <w:jc w:val="both"/>
      <w:outlineLvl w:val="0"/>
    </w:pPr>
    <w:rPr>
      <w:u w:val="single"/>
    </w:rPr>
  </w:style>
  <w:style w:type="paragraph" w:styleId="Heading2">
    <w:name w:val="heading 2"/>
    <w:basedOn w:val="Normal"/>
    <w:next w:val="Normal"/>
    <w:qFormat/>
    <w:rsid w:val="007A552B"/>
    <w:pPr>
      <w:keepNext/>
      <w:keepLines/>
      <w:numPr>
        <w:ilvl w:val="1"/>
        <w:numId w:val="30"/>
      </w:numPr>
      <w:tabs>
        <w:tab w:val="clear" w:pos="284"/>
      </w:tabs>
      <w:spacing w:before="120" w:after="120"/>
      <w:jc w:val="both"/>
      <w:outlineLvl w:val="1"/>
    </w:pPr>
    <w:rPr>
      <w:u w:val="single"/>
    </w:rPr>
  </w:style>
  <w:style w:type="paragraph" w:styleId="Heading3">
    <w:name w:val="heading 3"/>
    <w:basedOn w:val="Normal"/>
    <w:next w:val="Normal"/>
    <w:qFormat/>
    <w:rsid w:val="007A552B"/>
    <w:pPr>
      <w:keepNext/>
      <w:keepLines/>
      <w:numPr>
        <w:ilvl w:val="2"/>
        <w:numId w:val="30"/>
      </w:numPr>
      <w:tabs>
        <w:tab w:val="clear" w:pos="284"/>
      </w:tabs>
      <w:jc w:val="both"/>
      <w:outlineLvl w:val="2"/>
    </w:pPr>
  </w:style>
  <w:style w:type="paragraph" w:styleId="Heading4">
    <w:name w:val="heading 4"/>
    <w:basedOn w:val="Normal"/>
    <w:next w:val="Heading4Continue"/>
    <w:qFormat/>
    <w:rsid w:val="007A552B"/>
    <w:pPr>
      <w:keepNext/>
      <w:keepLines/>
      <w:numPr>
        <w:ilvl w:val="3"/>
        <w:numId w:val="30"/>
      </w:numPr>
      <w:tabs>
        <w:tab w:val="clear" w:pos="284"/>
      </w:tabs>
      <w:jc w:val="both"/>
      <w:outlineLvl w:val="3"/>
    </w:pPr>
  </w:style>
  <w:style w:type="paragraph" w:styleId="Heading5">
    <w:name w:val="heading 5"/>
    <w:basedOn w:val="Normal"/>
    <w:next w:val="Normal"/>
    <w:semiHidden/>
    <w:qFormat/>
    <w:rsid w:val="004D12DD"/>
    <w:pPr>
      <w:keepNext/>
      <w:keepLines/>
      <w:tabs>
        <w:tab w:val="left" w:pos="964"/>
      </w:tabs>
      <w:jc w:val="both"/>
      <w:outlineLvl w:val="4"/>
    </w:pPr>
  </w:style>
  <w:style w:type="paragraph" w:styleId="Heading6">
    <w:name w:val="heading 6"/>
    <w:basedOn w:val="Normal"/>
    <w:next w:val="Normal"/>
    <w:semiHidden/>
    <w:qFormat/>
    <w:rsid w:val="004D12DD"/>
    <w:pPr>
      <w:keepNext/>
      <w:keepLines/>
      <w:tabs>
        <w:tab w:val="left" w:pos="1049"/>
      </w:tabs>
      <w:jc w:val="both"/>
      <w:outlineLvl w:val="5"/>
    </w:pPr>
  </w:style>
  <w:style w:type="paragraph" w:styleId="Heading7">
    <w:name w:val="heading 7"/>
    <w:basedOn w:val="Normal"/>
    <w:next w:val="Normal"/>
    <w:semiHidden/>
    <w:qFormat/>
    <w:rsid w:val="004D12DD"/>
    <w:pPr>
      <w:keepNext/>
      <w:keepLines/>
      <w:tabs>
        <w:tab w:val="left" w:pos="1219"/>
      </w:tabs>
      <w:jc w:val="both"/>
      <w:outlineLvl w:val="6"/>
    </w:pPr>
  </w:style>
  <w:style w:type="paragraph" w:styleId="Heading8">
    <w:name w:val="heading 8"/>
    <w:basedOn w:val="Normal"/>
    <w:next w:val="Normal"/>
    <w:semiHidden/>
    <w:qFormat/>
    <w:rsid w:val="004D12DD"/>
    <w:pPr>
      <w:keepNext/>
      <w:keepLines/>
      <w:tabs>
        <w:tab w:val="left" w:pos="1378"/>
      </w:tabs>
      <w:jc w:val="both"/>
      <w:outlineLvl w:val="7"/>
    </w:pPr>
  </w:style>
  <w:style w:type="paragraph" w:styleId="Heading9">
    <w:name w:val="heading 9"/>
    <w:basedOn w:val="Normal"/>
    <w:next w:val="Normal"/>
    <w:semiHidden/>
    <w:qFormat/>
    <w:rsid w:val="004D12DD"/>
    <w:pPr>
      <w:keepNext/>
      <w:keepLines/>
      <w:tabs>
        <w:tab w:val="left" w:pos="1548"/>
      </w:tabs>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val="fr-FR"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semiHidden/>
    <w:rsid w:val="00147933"/>
    <w:pPr>
      <w:tabs>
        <w:tab w:val="clear" w:pos="284"/>
        <w:tab w:val="center" w:pos="4678"/>
        <w:tab w:val="right" w:pos="9356"/>
      </w:tabs>
      <w:spacing w:line="240" w:lineRule="auto"/>
    </w:pPr>
    <w:rPr>
      <w:sz w:val="18"/>
    </w:rPr>
  </w:style>
  <w:style w:type="paragraph" w:styleId="Header">
    <w:name w:val="header"/>
    <w:basedOn w:val="Normal"/>
    <w:semiHidden/>
    <w:rsid w:val="00DC727C"/>
    <w:pPr>
      <w:tabs>
        <w:tab w:val="center" w:pos="4394"/>
        <w:tab w:val="right" w:pos="8789"/>
      </w:tabs>
      <w:spacing w:line="240" w:lineRule="auto"/>
    </w:pPr>
  </w:style>
  <w:style w:type="character" w:styleId="FootnoteReference">
    <w:name w:val="footnote reference"/>
    <w:basedOn w:val="DefaultParagraphFont"/>
    <w:uiPriority w:val="99"/>
    <w:rsid w:val="00D556C0"/>
    <w:rPr>
      <w:rFonts w:ascii="Arial" w:hAnsi="Arial"/>
      <w:spacing w:val="0"/>
      <w:position w:val="6"/>
      <w:sz w:val="16"/>
      <w:szCs w:val="16"/>
    </w:rPr>
  </w:style>
  <w:style w:type="paragraph" w:styleId="FootnoteText">
    <w:name w:val="footnote text"/>
    <w:basedOn w:val="Normal"/>
    <w:link w:val="FootnoteTextChar"/>
    <w:rsid w:val="00D556C0"/>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clear" w:pos="284"/>
        <w:tab w:val="right" w:leader="dot" w:pos="8789"/>
      </w:tabs>
      <w:ind w:left="1219" w:right="567" w:hanging="1219"/>
    </w:pPr>
  </w:style>
  <w:style w:type="paragraph" w:styleId="TOC8">
    <w:name w:val="toc 8"/>
    <w:basedOn w:val="Normal"/>
    <w:next w:val="Normal"/>
    <w:semiHidden/>
    <w:rsid w:val="00DC727C"/>
    <w:pPr>
      <w:keepLines/>
      <w:tabs>
        <w:tab w:val="clear" w:pos="284"/>
        <w:tab w:val="right" w:leader="dot" w:pos="8789"/>
      </w:tabs>
      <w:ind w:left="1378" w:right="567" w:hanging="1378"/>
    </w:pPr>
  </w:style>
  <w:style w:type="paragraph" w:styleId="TOC9">
    <w:name w:val="toc 9"/>
    <w:basedOn w:val="Normal"/>
    <w:next w:val="Normal"/>
    <w:semiHidden/>
    <w:rsid w:val="00DC727C"/>
    <w:pPr>
      <w:keepLines/>
      <w:tabs>
        <w:tab w:val="clear" w:pos="284"/>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rsid w:val="005B4C1C"/>
    <w:pPr>
      <w:spacing w:line="240" w:lineRule="atLeast"/>
    </w:pPr>
    <w:rPr>
      <w:rFonts w:ascii="Arial" w:hAnsi="Arial"/>
    </w:rPr>
    <w:tblPr/>
  </w:style>
  <w:style w:type="character" w:styleId="Hyperlink">
    <w:name w:val="Hyperlink"/>
    <w:basedOn w:val="DefaultParagraphFont"/>
    <w:semiHidden/>
    <w:rsid w:val="00571A24"/>
    <w:rPr>
      <w:color w:val="0000FF"/>
      <w:u w:val="single"/>
    </w:rPr>
  </w:style>
  <w:style w:type="paragraph" w:customStyle="1" w:styleId="DpartementDepartement">
    <w:name w:val="Département/Departement"/>
    <w:next w:val="Normal"/>
    <w:rsid w:val="00E04E63"/>
    <w:pPr>
      <w:spacing w:line="240" w:lineRule="exact"/>
    </w:pPr>
    <w:rPr>
      <w:rFonts w:ascii="Arial" w:hAnsi="Arial"/>
      <w:b/>
      <w:noProof/>
      <w:sz w:val="18"/>
      <w:szCs w:val="16"/>
      <w:lang w:val="fr-FR" w:eastAsia="en-US"/>
    </w:rPr>
  </w:style>
  <w:style w:type="paragraph" w:customStyle="1" w:styleId="ServiceDienst">
    <w:name w:val="Service/Dienst"/>
    <w:next w:val="Normal"/>
    <w:rsid w:val="00E04E63"/>
    <w:pPr>
      <w:spacing w:line="240" w:lineRule="exact"/>
    </w:pPr>
    <w:rPr>
      <w:rFonts w:ascii="Arial" w:hAnsi="Arial"/>
      <w:noProof/>
      <w:sz w:val="17"/>
      <w:szCs w:val="16"/>
      <w:lang w:val="fr-FR" w:eastAsia="en-US"/>
    </w:rPr>
  </w:style>
  <w:style w:type="paragraph" w:customStyle="1" w:styleId="SectionSectie">
    <w:name w:val="Section/Sectie"/>
    <w:next w:val="Normal"/>
    <w:semiHidden/>
    <w:rsid w:val="0081015C"/>
    <w:pPr>
      <w:spacing w:line="220" w:lineRule="exact"/>
    </w:pPr>
    <w:rPr>
      <w:rFonts w:ascii="Arial" w:hAnsi="Arial"/>
      <w:noProof/>
      <w:sz w:val="14"/>
      <w:szCs w:val="16"/>
      <w:lang w:val="fr-FR" w:eastAsia="en-US"/>
    </w:rPr>
  </w:style>
  <w:style w:type="paragraph" w:customStyle="1" w:styleId="TitreTitel">
    <w:name w:val="Titre/Titel"/>
    <w:rsid w:val="00EB3741"/>
    <w:pPr>
      <w:spacing w:line="260" w:lineRule="atLeast"/>
    </w:pPr>
    <w:rPr>
      <w:rFonts w:ascii="Arial" w:hAnsi="Arial"/>
      <w:b/>
      <w:noProof/>
      <w:sz w:val="28"/>
      <w:szCs w:val="16"/>
      <w:lang w:val="fr-FR" w:eastAsia="en-US"/>
    </w:rPr>
  </w:style>
  <w:style w:type="paragraph" w:customStyle="1" w:styleId="AdresseAdres">
    <w:name w:val="Adresse/Adres"/>
    <w:rsid w:val="00A605D0"/>
    <w:pPr>
      <w:spacing w:line="160" w:lineRule="exact"/>
    </w:pPr>
    <w:rPr>
      <w:rFonts w:ascii="Arial" w:hAnsi="Arial"/>
      <w:noProof/>
      <w:sz w:val="13"/>
      <w:szCs w:val="16"/>
      <w:lang w:val="fr-FR" w:eastAsia="en-US"/>
    </w:rPr>
  </w:style>
  <w:style w:type="paragraph" w:customStyle="1" w:styleId="BNBNBB">
    <w:name w:val="BNB/NBB"/>
    <w:next w:val="AdresseAdres"/>
    <w:semiHidden/>
    <w:rsid w:val="00A605D0"/>
    <w:pPr>
      <w:spacing w:line="160" w:lineRule="exact"/>
    </w:pPr>
    <w:rPr>
      <w:rFonts w:ascii="Arial" w:hAnsi="Arial"/>
      <w:b/>
      <w:noProof/>
      <w:sz w:val="13"/>
      <w:szCs w:val="16"/>
      <w:lang w:val="fr-FR" w:eastAsia="en-US"/>
    </w:rPr>
  </w:style>
  <w:style w:type="paragraph" w:customStyle="1" w:styleId="IntroductionInleiding">
    <w:name w:val="Introduction/Inleiding"/>
    <w:basedOn w:val="Normal"/>
    <w:qFormat/>
    <w:rsid w:val="00276804"/>
    <w:pPr>
      <w:spacing w:after="260"/>
    </w:pPr>
    <w:rPr>
      <w:i/>
      <w:sz w:val="22"/>
    </w:rPr>
  </w:style>
  <w:style w:type="paragraph" w:customStyle="1" w:styleId="Sous-titreOndertitel">
    <w:name w:val="Sous-titre/Ondertitel"/>
    <w:basedOn w:val="Normal"/>
    <w:uiPriority w:val="3"/>
    <w:qFormat/>
    <w:rsid w:val="003E4928"/>
    <w:pPr>
      <w:spacing w:after="60"/>
    </w:pPr>
    <w:rPr>
      <w:sz w:val="22"/>
      <w:szCs w:val="22"/>
      <w:u w:val="single"/>
    </w:rPr>
  </w:style>
  <w:style w:type="paragraph" w:styleId="BalloonText">
    <w:name w:val="Balloon Text"/>
    <w:basedOn w:val="Normal"/>
    <w:link w:val="BalloonTextChar"/>
    <w:semiHidden/>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65065"/>
    <w:rPr>
      <w:rFonts w:ascii="Tahoma" w:hAnsi="Tahoma" w:cs="Tahoma"/>
      <w:sz w:val="16"/>
      <w:szCs w:val="16"/>
      <w:lang w:val="en-GB" w:eastAsia="en-US"/>
    </w:rPr>
  </w:style>
  <w:style w:type="paragraph" w:customStyle="1" w:styleId="BoiteVakje">
    <w:name w:val="Boite/Vakje"/>
    <w:qFormat/>
    <w:rsid w:val="00FE24A6"/>
    <w:pPr>
      <w:spacing w:line="200" w:lineRule="atLeast"/>
    </w:pPr>
    <w:rPr>
      <w:rFonts w:ascii="Arial" w:hAnsi="Arial"/>
      <w:sz w:val="14"/>
      <w:szCs w:val="14"/>
      <w:lang w:val="fr-BE" w:eastAsia="en-US"/>
    </w:rPr>
  </w:style>
  <w:style w:type="paragraph" w:customStyle="1" w:styleId="BoitetexteVakjetekst">
    <w:name w:val="Boite_texte/Vakje_tekst"/>
    <w:basedOn w:val="BoiteVakje"/>
    <w:qFormat/>
    <w:rsid w:val="00FE24A6"/>
    <w:rPr>
      <w:sz w:val="16"/>
      <w:szCs w:val="16"/>
    </w:rPr>
  </w:style>
  <w:style w:type="paragraph" w:customStyle="1" w:styleId="Heading4Continue">
    <w:name w:val="Heading 4 Continue"/>
    <w:basedOn w:val="Normal"/>
    <w:qFormat/>
    <w:rsid w:val="007A552B"/>
    <w:pPr>
      <w:tabs>
        <w:tab w:val="clear" w:pos="284"/>
      </w:tabs>
      <w:ind w:left="993"/>
    </w:pPr>
  </w:style>
  <w:style w:type="paragraph" w:customStyle="1" w:styleId="SignaturesHandtekeningen">
    <w:name w:val="Signatures/Handtekeningen"/>
    <w:basedOn w:val="Normal"/>
    <w:qFormat/>
    <w:rsid w:val="00E348BA"/>
    <w:pPr>
      <w:tabs>
        <w:tab w:val="clear" w:pos="284"/>
        <w:tab w:val="left" w:pos="3402"/>
      </w:tabs>
    </w:p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val="en-GB" w:eastAsia="en-US"/>
    </w:rPr>
  </w:style>
  <w:style w:type="paragraph" w:customStyle="1" w:styleId="Default">
    <w:name w:val="Default"/>
    <w:rsid w:val="003D01F2"/>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B170C1"/>
    <w:pPr>
      <w:ind w:left="720"/>
      <w:contextualSpacing/>
    </w:pPr>
  </w:style>
  <w:style w:type="character" w:customStyle="1" w:styleId="FootnoteTextChar">
    <w:name w:val="Footnote Text Char"/>
    <w:basedOn w:val="DefaultParagraphFont"/>
    <w:link w:val="FootnoteText"/>
    <w:rsid w:val="006836CA"/>
    <w:rPr>
      <w:rFonts w:ascii="Arial" w:hAnsi="Arial"/>
      <w:sz w:val="18"/>
      <w:lang w:eastAsia="en-US"/>
    </w:rPr>
  </w:style>
  <w:style w:type="character" w:styleId="CommentReference">
    <w:name w:val="annotation reference"/>
    <w:basedOn w:val="DefaultParagraphFont"/>
    <w:semiHidden/>
    <w:unhideWhenUsed/>
    <w:rsid w:val="00A33255"/>
    <w:rPr>
      <w:sz w:val="16"/>
      <w:szCs w:val="16"/>
    </w:rPr>
  </w:style>
  <w:style w:type="paragraph" w:styleId="CommentText">
    <w:name w:val="annotation text"/>
    <w:basedOn w:val="Normal"/>
    <w:link w:val="CommentTextChar"/>
    <w:semiHidden/>
    <w:unhideWhenUsed/>
    <w:rsid w:val="00A33255"/>
    <w:pPr>
      <w:spacing w:line="240" w:lineRule="auto"/>
    </w:pPr>
  </w:style>
  <w:style w:type="character" w:customStyle="1" w:styleId="CommentTextChar">
    <w:name w:val="Comment Text Char"/>
    <w:basedOn w:val="DefaultParagraphFont"/>
    <w:link w:val="CommentText"/>
    <w:semiHidden/>
    <w:rsid w:val="00A33255"/>
    <w:rPr>
      <w:rFonts w:ascii="Arial" w:hAnsi="Arial"/>
      <w:lang w:eastAsia="en-US"/>
    </w:rPr>
  </w:style>
  <w:style w:type="paragraph" w:styleId="CommentSubject">
    <w:name w:val="annotation subject"/>
    <w:basedOn w:val="CommentText"/>
    <w:next w:val="CommentText"/>
    <w:link w:val="CommentSubjectChar"/>
    <w:semiHidden/>
    <w:unhideWhenUsed/>
    <w:rsid w:val="00A33255"/>
    <w:rPr>
      <w:b/>
      <w:bCs/>
    </w:rPr>
  </w:style>
  <w:style w:type="character" w:customStyle="1" w:styleId="CommentSubjectChar">
    <w:name w:val="Comment Subject Char"/>
    <w:basedOn w:val="CommentTextChar"/>
    <w:link w:val="CommentSubject"/>
    <w:semiHidden/>
    <w:rsid w:val="00A33255"/>
    <w:rPr>
      <w:rFonts w:ascii="Arial" w:hAnsi="Arial"/>
      <w:b/>
      <w:bCs/>
      <w:lang w:eastAsia="en-US"/>
    </w:rPr>
  </w:style>
  <w:style w:type="paragraph" w:styleId="Revision">
    <w:name w:val="Revision"/>
    <w:hidden/>
    <w:uiPriority w:val="99"/>
    <w:semiHidden/>
    <w:rsid w:val="003442F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06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therine.terrier@nbb.be"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bbTemplates\Others\CIRCU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BB_Document" ma:contentTypeID="0x010100FEDCBA0987654321FEDCBA09876573A1001EA99C4677D4C74DA2CBC65A390ED9FF" ma:contentTypeVersion="4" ma:contentTypeDescription="Document" ma:contentTypeScope="" ma:versionID="c8e5b7351ab946af579686667f29ab63">
  <xsd:schema xmlns:xsd="http://www.w3.org/2001/XMLSchema" xmlns:xs="http://www.w3.org/2001/XMLSchema" xmlns:p="http://schemas.microsoft.com/office/2006/metadata/properties" xmlns:ns2="73cb8da0-c499-4296-abe6-3abdb8d92b34" targetNamespace="http://schemas.microsoft.com/office/2006/metadata/properties" ma:root="true" ma:fieldsID="763ffcbcd8724fcfa4f14aea5760e9a8" ns2:_="">
    <xsd:import namespace="73cb8da0-c499-4296-abe6-3abdb8d92b34"/>
    <xsd:element name="properties">
      <xsd:complexType>
        <xsd:sequence>
          <xsd:element name="documentManagement">
            <xsd:complexType>
              <xsd:all>
                <xsd:element ref="ns2:NBB_ClassificationPath" minOccurs="0"/>
                <xsd:element ref="ns2:NBB_GroupName" minOccurs="0"/>
                <xsd:element ref="ns2:NBB_CompanyName" minOccurs="0"/>
                <xsd:element ref="ns2:NBB_Metier" minOccurs="0"/>
                <xsd:element ref="ns2:NBB_Author" minOccurs="0"/>
                <xsd:element ref="ns2:NBB_DocumentDate" minOccurs="0"/>
                <xsd:element ref="ns2:NBB_DocumentFlow" minOccurs="0"/>
                <xsd:element ref="ns2:NBB_PublicFoldersPath" minOccurs="0"/>
                <xsd:element ref="ns2:NBB_F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b8da0-c499-4296-abe6-3abdb8d92b34" elementFormDefault="qualified">
    <xsd:import namespace="http://schemas.microsoft.com/office/2006/documentManagement/types"/>
    <xsd:import namespace="http://schemas.microsoft.com/office/infopath/2007/PartnerControls"/>
    <xsd:element name="NBB_ClassificationPath" ma:index="8" nillable="true" ma:displayName="NBB_ClassificationPath" ma:internalName="NBB_ClassificationPath">
      <xsd:simpleType>
        <xsd:restriction base="dms:Text"/>
      </xsd:simpleType>
    </xsd:element>
    <xsd:element name="NBB_GroupName" ma:index="9" nillable="true" ma:displayName="NBB_GroupName" ma:internalName="NBB_GroupName">
      <xsd:simpleType>
        <xsd:restriction base="dms:Text"/>
      </xsd:simpleType>
    </xsd:element>
    <xsd:element name="NBB_CompanyName" ma:index="10" nillable="true" ma:displayName="NBB_CompanyName" ma:internalName="NBB_CompanyName">
      <xsd:simpleType>
        <xsd:restriction base="dms:Text"/>
      </xsd:simpleType>
    </xsd:element>
    <xsd:element name="NBB_Metier" ma:index="11" nillable="true" ma:displayName="NBB_Metier" ma:internalName="NBB_Metier">
      <xsd:simpleType>
        <xsd:restriction base="dms:Text"/>
      </xsd:simpleType>
    </xsd:element>
    <xsd:element name="NBB_Author" ma:index="12" nillable="true" ma:displayName="NBB_Author" ma:internalName="NBB_Author">
      <xsd:simpleType>
        <xsd:restriction base="dms:Text"/>
      </xsd:simpleType>
    </xsd:element>
    <xsd:element name="NBB_DocumentDate" ma:index="13" nillable="true" ma:displayName="NBB_DocumentDate" ma:format="DateTime" ma:internalName="NBB_DocumentDate">
      <xsd:simpleType>
        <xsd:restriction base="dms:DateTime"/>
      </xsd:simpleType>
    </xsd:element>
    <xsd:element name="NBB_DocumentFlow" ma:index="14" nillable="true" ma:displayName="NBB_DocumentFlow" ma:internalName="NBB_DocumentFlow">
      <xsd:simpleType>
        <xsd:restriction base="dms:Choice">
          <xsd:enumeration value="Intern"/>
          <xsd:enumeration value="In"/>
          <xsd:enumeration value="Out"/>
        </xsd:restriction>
      </xsd:simpleType>
    </xsd:element>
    <xsd:element name="NBB_PublicFoldersPath" ma:index="15" nillable="true" ma:displayName="NBB_PublicFoldersPath" ma:internalName="NBB_PublicFoldersPath">
      <xsd:simpleType>
        <xsd:restriction base="dms:Text"/>
      </xsd:simpleType>
    </xsd:element>
    <xsd:element name="NBB_Final" ma:index="16" nillable="true" ma:displayName="NBB_Final" ma:default="0" ma:internalName="NBB_Fin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BB_Final xmlns="73cb8da0-c499-4296-abe6-3abdb8d92b34">false</NBB_Final>
    <NBB_CompanyName xmlns="73cb8da0-c499-4296-abe6-3abdb8d92b34" xsi:nil="true"/>
    <NBB_GroupName xmlns="73cb8da0-c499-4296-abe6-3abdb8d92b34" xsi:nil="true"/>
    <NBB_DocumentDate xmlns="73cb8da0-c499-4296-abe6-3abdb8d92b34">2018-09-17T22:00:00+00:00</NBB_DocumentDate>
    <NBB_Author xmlns="73cb8da0-c499-4296-abe6-3abdb8d92b34">Catherine Terrier</NBB_Author>
    <NBB_DocumentFlow xmlns="73cb8da0-c499-4296-abe6-3abdb8d92b34">Out</NBB_DocumentFlow>
    <NBB_Metier xmlns="73cb8da0-c499-4296-abe6-3abdb8d92b34" xsi:nil="true"/>
    <NBB_PublicFoldersPath xmlns="73cb8da0-c499-4296-abe6-3abdb8d92b34" xsi:nil="true"/>
    <NBB_ClassificationPath xmlns="73cb8da0-c499-4296-abe6-3abdb8d92b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MyProperties xmlns="mypropertiesschema-NBB_Document">
  <ContentTypeSets>
    <ContentTypeSet>Common</ContentTypeSet>
  </ContentTypeSets>
</My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F2C2C-9C54-4286-BAD3-D2A660E9B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b8da0-c499-4296-abe6-3abdb8d92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81C3D-F478-4190-A776-AF3888481090}">
  <ds:schemaRefs>
    <ds:schemaRef ds:uri="http://www.w3.org/XML/1998/namespace"/>
    <ds:schemaRef ds:uri="http://purl.org/dc/dcmitype/"/>
    <ds:schemaRef ds:uri="http://purl.org/dc/elements/1.1/"/>
    <ds:schemaRef ds:uri="73cb8da0-c499-4296-abe6-3abdb8d92b3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F5BFC25-BF7A-4092-8DAA-D7C27F82A661}">
  <ds:schemaRefs>
    <ds:schemaRef ds:uri="http://schemas.microsoft.com/sharepoint/v3/contenttype/forms"/>
  </ds:schemaRefs>
</ds:datastoreItem>
</file>

<file path=customXml/itemProps4.xml><?xml version="1.0" encoding="utf-8"?>
<ds:datastoreItem xmlns:ds="http://schemas.openxmlformats.org/officeDocument/2006/customXml" ds:itemID="{07767251-34A6-4532-B5CA-D3E1B439F4B9}">
  <ds:schemaRefs>
    <ds:schemaRef ds:uri="mypropertiesschema-NBB_Document"/>
  </ds:schemaRefs>
</ds:datastoreItem>
</file>

<file path=customXml/itemProps5.xml><?xml version="1.0" encoding="utf-8"?>
<ds:datastoreItem xmlns:ds="http://schemas.openxmlformats.org/officeDocument/2006/customXml" ds:itemID="{F382E916-DC92-45CB-87FB-FD20D789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CIRCUL.dotm</Template>
  <TotalTime>0</TotalTime>
  <Pages>5</Pages>
  <Words>2056</Words>
  <Characters>13649</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Template BNB Cartouches</vt:lpstr>
    </vt:vector>
  </TitlesOfParts>
  <Company>National Bank of Belgium</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BNB Cartouches</dc:title>
  <dc:creator>Terrier Catherine</dc:creator>
  <cp:lastModifiedBy>Arys Viviane</cp:lastModifiedBy>
  <cp:revision>2</cp:revision>
  <cp:lastPrinted>2018-09-17T12:46:00Z</cp:lastPrinted>
  <dcterms:created xsi:type="dcterms:W3CDTF">2018-10-02T13:06:00Z</dcterms:created>
  <dcterms:modified xsi:type="dcterms:W3CDTF">2018-10-02T13:06:00Z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0x010100FEDCBA0987654321FEDCBA09876573A1001EA99C4677D4C74DA2CBC65A390ED9FF</vt:lpwstr>
  </property>
  <property fmtid="{D5CDD505-2E9C-101B-9397-08002B2CF9AE}" pid="3" name="Order">
    <vt:r8>297700</vt:r8>
  </property>
</Properties>
</file>