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055E48" w:rsidRPr="00734345" w14:paraId="4CC8FB33" w14:textId="77777777" w:rsidTr="09F45F91">
        <w:trPr>
          <w:cantSplit/>
          <w:trHeight w:hRule="exact" w:val="1077"/>
        </w:trPr>
        <w:tc>
          <w:tcPr>
            <w:tcW w:w="6067" w:type="dxa"/>
            <w:vAlign w:val="center"/>
          </w:tcPr>
          <w:p w14:paraId="1AE363FA" w14:textId="77777777" w:rsidR="00055E48" w:rsidRPr="00734345" w:rsidRDefault="00055E48" w:rsidP="007B7965">
            <w:pPr>
              <w:pStyle w:val="AdresseAdres"/>
              <w:spacing w:before="300"/>
              <w:rPr>
                <w:noProof w:val="0"/>
                <w:lang w:val="nl-BE"/>
              </w:rPr>
            </w:pPr>
            <w:r w:rsidRPr="00734345">
              <w:rPr>
                <w:noProof w:val="0"/>
                <w:lang w:val="nl-BE"/>
              </w:rPr>
              <w:t>de Berlaimontlaan 14 – BE-1000 Brussel</w:t>
            </w:r>
          </w:p>
          <w:p w14:paraId="207F1FBA" w14:textId="462221E2" w:rsidR="00055E48" w:rsidRPr="00734345" w:rsidRDefault="00055E48" w:rsidP="00C67902">
            <w:pPr>
              <w:pStyle w:val="AdresseAdres"/>
              <w:rPr>
                <w:noProof w:val="0"/>
                <w:lang w:val="nl-BE"/>
              </w:rPr>
            </w:pPr>
            <w:r w:rsidRPr="00734345">
              <w:rPr>
                <w:noProof w:val="0"/>
                <w:lang w:val="nl-BE"/>
              </w:rPr>
              <w:t xml:space="preserve">tel. +32 2 221 </w:t>
            </w:r>
            <w:r w:rsidR="00D41A26">
              <w:rPr>
                <w:noProof w:val="0"/>
                <w:lang w:val="nl-BE"/>
              </w:rPr>
              <w:t>44 74</w:t>
            </w:r>
            <w:r w:rsidRPr="00734345">
              <w:rPr>
                <w:noProof w:val="0"/>
                <w:lang w:val="nl-BE"/>
              </w:rPr>
              <w:t xml:space="preserve"> – fax + 32 2 221 </w:t>
            </w:r>
            <w:r w:rsidR="00BF529D" w:rsidRPr="00734345">
              <w:rPr>
                <w:noProof w:val="0"/>
                <w:lang w:val="nl-BE"/>
              </w:rPr>
              <w:t>31</w:t>
            </w:r>
            <w:r w:rsidRPr="00734345">
              <w:rPr>
                <w:noProof w:val="0"/>
                <w:lang w:val="nl-BE"/>
              </w:rPr>
              <w:t xml:space="preserve"> </w:t>
            </w:r>
            <w:r w:rsidR="00D41A26">
              <w:rPr>
                <w:noProof w:val="0"/>
                <w:lang w:val="nl-BE"/>
              </w:rPr>
              <w:t>36</w:t>
            </w:r>
          </w:p>
          <w:p w14:paraId="47F0D4FF" w14:textId="77777777" w:rsidR="00055E48" w:rsidRPr="00734345" w:rsidRDefault="00055E48" w:rsidP="00C67902">
            <w:pPr>
              <w:pStyle w:val="AdresseAdres"/>
              <w:rPr>
                <w:noProof w:val="0"/>
                <w:lang w:val="nl-BE"/>
              </w:rPr>
            </w:pPr>
            <w:r w:rsidRPr="00734345">
              <w:rPr>
                <w:noProof w:val="0"/>
                <w:lang w:val="nl-BE"/>
              </w:rPr>
              <w:t>ondernemingsnummer: 0203.201.340</w:t>
            </w:r>
          </w:p>
          <w:p w14:paraId="7D281DD7" w14:textId="77777777" w:rsidR="00055E48" w:rsidRPr="00795016" w:rsidRDefault="00055E48" w:rsidP="00C67902">
            <w:pPr>
              <w:pStyle w:val="AdresseAdres"/>
              <w:rPr>
                <w:noProof w:val="0"/>
                <w:lang w:val="fr-BE"/>
              </w:rPr>
            </w:pPr>
            <w:r w:rsidRPr="00795016">
              <w:rPr>
                <w:noProof w:val="0"/>
                <w:lang w:val="fr-BE"/>
              </w:rPr>
              <w:t>RPR Brussel</w:t>
            </w:r>
          </w:p>
          <w:p w14:paraId="070DADD5" w14:textId="77777777" w:rsidR="00055E48" w:rsidRPr="00795016" w:rsidRDefault="00055E48" w:rsidP="00055E48">
            <w:pPr>
              <w:pStyle w:val="AdresseAdres"/>
              <w:rPr>
                <w:noProof w:val="0"/>
                <w:lang w:val="fr-BE"/>
              </w:rPr>
            </w:pPr>
            <w:r w:rsidRPr="00795016">
              <w:rPr>
                <w:noProof w:val="0"/>
                <w:lang w:val="fr-BE"/>
              </w:rPr>
              <w:t>www.nbb.be</w:t>
            </w:r>
          </w:p>
        </w:tc>
        <w:tc>
          <w:tcPr>
            <w:tcW w:w="3856" w:type="dxa"/>
            <w:shd w:val="clear" w:color="auto" w:fill="auto"/>
            <w:vAlign w:val="center"/>
          </w:tcPr>
          <w:p w14:paraId="32D26712" w14:textId="77777777" w:rsidR="00055E48" w:rsidRPr="00734345" w:rsidRDefault="00055E48" w:rsidP="00682F2F">
            <w:pPr>
              <w:spacing w:line="260" w:lineRule="atLeast"/>
              <w:rPr>
                <w:sz w:val="16"/>
                <w:szCs w:val="16"/>
                <w:lang w:val="nl-BE"/>
              </w:rPr>
            </w:pPr>
            <w:r w:rsidRPr="00734345">
              <w:rPr>
                <w:noProof/>
                <w:sz w:val="16"/>
                <w:szCs w:val="16"/>
                <w:lang w:val="nl-BE"/>
              </w:rPr>
              <w:drawing>
                <wp:inline distT="0" distB="0" distL="0" distR="0" wp14:anchorId="69DF7540" wp14:editId="3CA1F77C">
                  <wp:extent cx="2343150" cy="581025"/>
                  <wp:effectExtent l="19050" t="0" r="0" b="0"/>
                  <wp:docPr id="18"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1"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055E48" w:rsidRPr="00734345" w14:paraId="7084D2D5" w14:textId="77777777" w:rsidTr="09F45F91">
        <w:trPr>
          <w:cantSplit/>
          <w:trHeight w:hRule="exact" w:val="850"/>
        </w:trPr>
        <w:tc>
          <w:tcPr>
            <w:tcW w:w="6067" w:type="dxa"/>
            <w:shd w:val="clear" w:color="auto" w:fill="auto"/>
          </w:tcPr>
          <w:p w14:paraId="5559AF50" w14:textId="77777777" w:rsidR="00055E48" w:rsidRPr="00734345" w:rsidRDefault="00055E48" w:rsidP="00682F2F">
            <w:pPr>
              <w:pStyle w:val="AdresseAdres"/>
              <w:tabs>
                <w:tab w:val="center" w:pos="4678"/>
                <w:tab w:val="right" w:pos="9356"/>
              </w:tabs>
              <w:spacing w:line="260" w:lineRule="atLeast"/>
              <w:rPr>
                <w:noProof w:val="0"/>
                <w:sz w:val="16"/>
                <w:lang w:val="nl-BE"/>
              </w:rPr>
            </w:pPr>
          </w:p>
        </w:tc>
        <w:tc>
          <w:tcPr>
            <w:tcW w:w="3856" w:type="dxa"/>
            <w:shd w:val="clear" w:color="auto" w:fill="auto"/>
            <w:vAlign w:val="bottom"/>
          </w:tcPr>
          <w:p w14:paraId="6CA77D75" w14:textId="77777777" w:rsidR="00055E48" w:rsidRPr="00734345" w:rsidRDefault="00055E48" w:rsidP="00682F2F">
            <w:pPr>
              <w:pStyle w:val="TitreTitel"/>
              <w:keepLines/>
              <w:tabs>
                <w:tab w:val="left" w:pos="284"/>
                <w:tab w:val="right" w:leader="dot" w:pos="9639"/>
              </w:tabs>
              <w:ind w:left="397" w:right="567" w:hanging="397"/>
              <w:rPr>
                <w:noProof w:val="0"/>
                <w:lang w:val="nl-BE"/>
              </w:rPr>
            </w:pPr>
          </w:p>
        </w:tc>
      </w:tr>
      <w:tr w:rsidR="00055E48" w:rsidRPr="00734345" w14:paraId="3942925C" w14:textId="77777777" w:rsidTr="09F45F91">
        <w:trPr>
          <w:cantSplit/>
          <w:trHeight w:hRule="exact" w:val="794"/>
        </w:trPr>
        <w:tc>
          <w:tcPr>
            <w:tcW w:w="6067" w:type="dxa"/>
            <w:shd w:val="clear" w:color="auto" w:fill="auto"/>
          </w:tcPr>
          <w:p w14:paraId="329933C9" w14:textId="77777777" w:rsidR="00055E48" w:rsidRPr="00734345" w:rsidRDefault="00055E48" w:rsidP="00C67902">
            <w:pPr>
              <w:pStyle w:val="AdresseAdres"/>
              <w:rPr>
                <w:noProof w:val="0"/>
                <w:lang w:val="nl-BE"/>
              </w:rPr>
            </w:pPr>
          </w:p>
        </w:tc>
        <w:tc>
          <w:tcPr>
            <w:tcW w:w="3856" w:type="dxa"/>
          </w:tcPr>
          <w:p w14:paraId="3A6469FB" w14:textId="044D2137" w:rsidR="00055E48" w:rsidRPr="00734345" w:rsidRDefault="00055E48" w:rsidP="00F409FC">
            <w:pPr>
              <w:spacing w:line="260" w:lineRule="atLeast"/>
              <w:rPr>
                <w:lang w:val="nl-BE"/>
              </w:rPr>
            </w:pPr>
            <w:r w:rsidRPr="00734345">
              <w:rPr>
                <w:lang w:val="nl-BE"/>
              </w:rPr>
              <w:t xml:space="preserve">Brussel, </w:t>
            </w:r>
            <w:r w:rsidR="00D41A26">
              <w:rPr>
                <w:lang w:val="nl-BE"/>
              </w:rPr>
              <w:t>17 maart 2021</w:t>
            </w:r>
          </w:p>
        </w:tc>
      </w:tr>
      <w:tr w:rsidR="00055E48" w:rsidRPr="002E5FFE" w14:paraId="6D501FB0" w14:textId="77777777" w:rsidTr="09F45F91">
        <w:trPr>
          <w:cantSplit/>
          <w:trHeight w:hRule="exact" w:val="340"/>
        </w:trPr>
        <w:tc>
          <w:tcPr>
            <w:tcW w:w="9923" w:type="dxa"/>
            <w:gridSpan w:val="2"/>
            <w:shd w:val="clear" w:color="auto" w:fill="auto"/>
            <w:vAlign w:val="center"/>
          </w:tcPr>
          <w:p w14:paraId="49F59489" w14:textId="49D62B88" w:rsidR="00055E48" w:rsidRPr="00734345" w:rsidRDefault="00055E48" w:rsidP="00F409FC">
            <w:pPr>
              <w:pStyle w:val="AnnexeBijlage"/>
              <w:rPr>
                <w:noProof w:val="0"/>
                <w:lang w:val="nl-BE"/>
              </w:rPr>
            </w:pPr>
            <w:r w:rsidRPr="00734345">
              <w:rPr>
                <w:noProof w:val="0"/>
                <w:lang w:val="nl-BE"/>
              </w:rPr>
              <w:t xml:space="preserve">Bijlage </w:t>
            </w:r>
            <w:r w:rsidR="0083479F" w:rsidRPr="00734345">
              <w:rPr>
                <w:noProof w:val="0"/>
                <w:lang w:val="nl-BE"/>
              </w:rPr>
              <w:t>2</w:t>
            </w:r>
            <w:r w:rsidRPr="00734345">
              <w:rPr>
                <w:noProof w:val="0"/>
                <w:lang w:val="nl-BE"/>
              </w:rPr>
              <w:t xml:space="preserve"> bij circulaire NBB_20</w:t>
            </w:r>
            <w:r w:rsidR="008422B0" w:rsidRPr="00734345">
              <w:rPr>
                <w:noProof w:val="0"/>
                <w:lang w:val="nl-BE"/>
              </w:rPr>
              <w:t>2</w:t>
            </w:r>
            <w:r w:rsidR="00D41A26">
              <w:rPr>
                <w:noProof w:val="0"/>
                <w:lang w:val="nl-BE"/>
              </w:rPr>
              <w:t>1</w:t>
            </w:r>
            <w:r w:rsidR="002C2DB7" w:rsidRPr="00734345">
              <w:rPr>
                <w:noProof w:val="0"/>
                <w:lang w:val="nl-BE"/>
              </w:rPr>
              <w:t>_</w:t>
            </w:r>
            <w:r w:rsidR="00D41A26">
              <w:rPr>
                <w:noProof w:val="0"/>
                <w:lang w:val="nl-BE"/>
              </w:rPr>
              <w:t>0</w:t>
            </w:r>
            <w:r w:rsidR="00251C5C">
              <w:rPr>
                <w:noProof w:val="0"/>
                <w:lang w:val="nl-BE"/>
              </w:rPr>
              <w:t>0</w:t>
            </w:r>
            <w:r w:rsidR="00D41A26">
              <w:rPr>
                <w:noProof w:val="0"/>
                <w:lang w:val="nl-BE"/>
              </w:rPr>
              <w:t>6</w:t>
            </w:r>
          </w:p>
        </w:tc>
      </w:tr>
      <w:tr w:rsidR="00055E48" w:rsidRPr="00A47691" w14:paraId="6129F77F" w14:textId="77777777" w:rsidTr="09F45F91">
        <w:trPr>
          <w:cantSplit/>
          <w:trHeight w:hRule="exact" w:val="1304"/>
        </w:trPr>
        <w:tc>
          <w:tcPr>
            <w:tcW w:w="9923" w:type="dxa"/>
            <w:gridSpan w:val="2"/>
            <w:tcMar>
              <w:top w:w="240" w:type="dxa"/>
            </w:tcMar>
            <w:vAlign w:val="bottom"/>
          </w:tcPr>
          <w:p w14:paraId="35DC8D90" w14:textId="640ECE2F" w:rsidR="0083479F" w:rsidRPr="00734345" w:rsidRDefault="0083479F" w:rsidP="00055E48">
            <w:pPr>
              <w:rPr>
                <w:b/>
                <w:lang w:val="nl-BE"/>
              </w:rPr>
            </w:pPr>
            <w:r w:rsidRPr="00734345">
              <w:rPr>
                <w:b/>
                <w:lang w:val="nl-BE"/>
              </w:rPr>
              <w:t>Overdracht van een portefeuille verzekerings- of herverzekeringsovereenkomsten</w:t>
            </w:r>
            <w:r w:rsidR="008422B0" w:rsidRPr="00734345">
              <w:rPr>
                <w:b/>
                <w:lang w:val="nl-BE"/>
              </w:rPr>
              <w:t>, fusie of splitsing</w:t>
            </w:r>
          </w:p>
          <w:p w14:paraId="692F9312" w14:textId="4AFA22BD" w:rsidR="00055E48" w:rsidRPr="00734345" w:rsidRDefault="0083479F" w:rsidP="00055E48">
            <w:pPr>
              <w:rPr>
                <w:b/>
                <w:lang w:val="nl-BE"/>
              </w:rPr>
            </w:pPr>
            <w:r w:rsidRPr="00734345">
              <w:rPr>
                <w:b/>
                <w:lang w:val="nl-BE"/>
              </w:rPr>
              <w:t xml:space="preserve">Informatie betreffende de overnemende </w:t>
            </w:r>
            <w:r w:rsidR="008422B0" w:rsidRPr="00734345">
              <w:rPr>
                <w:b/>
                <w:lang w:val="nl-BE"/>
              </w:rPr>
              <w:t xml:space="preserve">/ opslorpende / inbreng ontvangende </w:t>
            </w:r>
            <w:r w:rsidRPr="00734345">
              <w:rPr>
                <w:b/>
                <w:lang w:val="nl-BE"/>
              </w:rPr>
              <w:t>onderneming</w:t>
            </w:r>
          </w:p>
        </w:tc>
      </w:tr>
      <w:tr w:rsidR="00055E48" w:rsidRPr="00A47691" w14:paraId="43F30105" w14:textId="77777777" w:rsidTr="09F45F91">
        <w:trPr>
          <w:cantSplit/>
          <w:trHeight w:hRule="exact" w:val="397"/>
        </w:trPr>
        <w:tc>
          <w:tcPr>
            <w:tcW w:w="9923" w:type="dxa"/>
            <w:gridSpan w:val="2"/>
          </w:tcPr>
          <w:p w14:paraId="2208BACD" w14:textId="77777777" w:rsidR="00055E48" w:rsidRPr="00734345" w:rsidRDefault="00055E48" w:rsidP="00682F2F">
            <w:pPr>
              <w:spacing w:line="260" w:lineRule="atLeast"/>
              <w:rPr>
                <w:lang w:val="nl-BE"/>
              </w:rPr>
            </w:pPr>
          </w:p>
        </w:tc>
      </w:tr>
    </w:tbl>
    <w:p w14:paraId="5C7AFFA5" w14:textId="77777777" w:rsidR="0083479F" w:rsidRPr="00734345" w:rsidRDefault="0083479F" w:rsidP="0083479F">
      <w:pPr>
        <w:spacing w:before="240" w:after="120"/>
        <w:rPr>
          <w:sz w:val="22"/>
          <w:szCs w:val="24"/>
          <w:u w:val="single"/>
          <w:lang w:val="nl-BE"/>
        </w:rPr>
      </w:pPr>
      <w:r w:rsidRPr="00734345">
        <w:rPr>
          <w:sz w:val="22"/>
          <w:szCs w:val="24"/>
          <w:u w:val="single"/>
          <w:lang w:val="nl-BE"/>
        </w:rPr>
        <w:t>Toepassingsveld</w:t>
      </w:r>
    </w:p>
    <w:p w14:paraId="75AE4D2E" w14:textId="14075908" w:rsidR="0083479F" w:rsidRPr="00734345" w:rsidRDefault="0083479F" w:rsidP="0083479F">
      <w:pPr>
        <w:pStyle w:val="ListParagraph"/>
        <w:numPr>
          <w:ilvl w:val="0"/>
          <w:numId w:val="32"/>
        </w:numPr>
        <w:spacing w:after="120" w:line="260" w:lineRule="atLeast"/>
        <w:contextualSpacing w:val="0"/>
        <w:jc w:val="both"/>
        <w:rPr>
          <w:rFonts w:cs="Arial"/>
          <w:i/>
          <w:sz w:val="22"/>
          <w:lang w:val="nl-BE"/>
        </w:rPr>
      </w:pPr>
      <w:r w:rsidRPr="00734345">
        <w:rPr>
          <w:i/>
          <w:sz w:val="22"/>
          <w:lang w:val="nl-BE"/>
        </w:rPr>
        <w:t>De verzekerings- en herverzekeringsondernemingen naar Belgisch recht die zijn onderworpen aan de wet van 13 maart 2016 op het statuut van en het toezicht op de verzekerings- of herverzekeringsondernemingen (waaronder de verzekerings</w:t>
      </w:r>
      <w:r w:rsidR="0098393E">
        <w:rPr>
          <w:i/>
          <w:sz w:val="22"/>
          <w:lang w:val="nl-BE"/>
        </w:rPr>
        <w:softHyphen/>
      </w:r>
      <w:r w:rsidRPr="00734345">
        <w:rPr>
          <w:i/>
          <w:sz w:val="22"/>
          <w:lang w:val="nl-BE"/>
        </w:rPr>
        <w:t>ondernemingen zoals bedoeld in de artikelen 275, 276 en 294 van de voornoemde wet van 13 maart 2016);</w:t>
      </w:r>
    </w:p>
    <w:p w14:paraId="3AD3E1A9" w14:textId="77777777" w:rsidR="0083479F" w:rsidRPr="00734345" w:rsidRDefault="0083479F" w:rsidP="0083479F">
      <w:pPr>
        <w:pStyle w:val="ListParagraph"/>
        <w:numPr>
          <w:ilvl w:val="0"/>
          <w:numId w:val="32"/>
        </w:numPr>
        <w:spacing w:after="120" w:line="260" w:lineRule="atLeast"/>
        <w:ind w:left="714" w:hanging="357"/>
        <w:contextualSpacing w:val="0"/>
        <w:jc w:val="both"/>
        <w:rPr>
          <w:rFonts w:cs="Arial"/>
          <w:i/>
          <w:sz w:val="22"/>
          <w:lang w:val="nl-BE"/>
        </w:rPr>
      </w:pPr>
      <w:r w:rsidRPr="00734345">
        <w:rPr>
          <w:i/>
          <w:sz w:val="22"/>
          <w:lang w:val="nl-BE"/>
        </w:rPr>
        <w:t xml:space="preserve">De </w:t>
      </w:r>
      <w:proofErr w:type="spellStart"/>
      <w:r w:rsidRPr="00734345">
        <w:rPr>
          <w:i/>
          <w:sz w:val="22"/>
          <w:lang w:val="nl-BE"/>
        </w:rPr>
        <w:t>vergunninghoudende</w:t>
      </w:r>
      <w:proofErr w:type="spellEnd"/>
      <w:r w:rsidRPr="00734345">
        <w:rPr>
          <w:i/>
          <w:sz w:val="22"/>
          <w:lang w:val="nl-BE"/>
        </w:rPr>
        <w:t xml:space="preserve"> bijkantoren in België van verzekeringsondernemingen waarvan de zetel is gevestigd in een derde land (dat geen partij is bij de Overeenkomst betreffende de Europese Economische Ruimte (EER)).</w:t>
      </w:r>
    </w:p>
    <w:p w14:paraId="6D84E549" w14:textId="77777777" w:rsidR="00055E48" w:rsidRPr="00734345" w:rsidRDefault="00055E48" w:rsidP="00682F2F">
      <w:pPr>
        <w:rPr>
          <w:lang w:val="nl-BE"/>
        </w:rPr>
      </w:pPr>
    </w:p>
    <w:p w14:paraId="1E5D1A02" w14:textId="77777777" w:rsidR="00055E48" w:rsidRPr="00734345" w:rsidRDefault="00055E48">
      <w:pPr>
        <w:tabs>
          <w:tab w:val="clear" w:pos="284"/>
        </w:tabs>
        <w:spacing w:line="240" w:lineRule="auto"/>
        <w:rPr>
          <w:lang w:val="nl-BE"/>
        </w:rPr>
      </w:pPr>
      <w:r w:rsidRPr="00734345">
        <w:rPr>
          <w:lang w:val="nl-BE"/>
        </w:rPr>
        <w:br w:type="page"/>
      </w:r>
    </w:p>
    <w:p w14:paraId="74BB7532" w14:textId="4CF8653D" w:rsidR="0083479F" w:rsidRPr="00734345" w:rsidRDefault="0083479F" w:rsidP="0083479F">
      <w:pPr>
        <w:pBdr>
          <w:top w:val="single" w:sz="4" w:space="1" w:color="auto"/>
          <w:left w:val="single" w:sz="4" w:space="4" w:color="auto"/>
          <w:bottom w:val="single" w:sz="4" w:space="1" w:color="auto"/>
          <w:right w:val="single" w:sz="4" w:space="4" w:color="auto"/>
        </w:pBdr>
        <w:rPr>
          <w:i/>
          <w:lang w:val="nl-BE"/>
        </w:rPr>
      </w:pPr>
      <w:r w:rsidRPr="00734345">
        <w:rPr>
          <w:i/>
          <w:lang w:val="nl-BE"/>
        </w:rPr>
        <w:lastRenderedPageBreak/>
        <w:t>Dit formulier heeft betrekking op de informatie betreffende de overnemende</w:t>
      </w:r>
      <w:r w:rsidR="008422B0" w:rsidRPr="00734345">
        <w:rPr>
          <w:i/>
          <w:lang w:val="nl-BE"/>
        </w:rPr>
        <w:t xml:space="preserve"> / opslorpende / inbreng ontvangende</w:t>
      </w:r>
      <w:r w:rsidRPr="00734345">
        <w:rPr>
          <w:i/>
          <w:lang w:val="nl-BE"/>
        </w:rPr>
        <w:t xml:space="preserve"> onderneming, ongeacht of deze een verzekerings- of herverzekeringsonderneming naar Belgisch recht is, of het Belgisch bijkantoor van een verzekeringsonderneming die ressorteert onder het recht van een derde land. Dit formulier moet worden verstrekt door de overnemende</w:t>
      </w:r>
      <w:r w:rsidR="008422B0" w:rsidRPr="00734345">
        <w:rPr>
          <w:i/>
          <w:lang w:val="nl-BE"/>
        </w:rPr>
        <w:t xml:space="preserve"> / opslorpende / inbreng ontvangende</w:t>
      </w:r>
      <w:r w:rsidRPr="00734345">
        <w:rPr>
          <w:i/>
          <w:lang w:val="nl-BE"/>
        </w:rPr>
        <w:t xml:space="preserve"> onderneming, tenzij de overdragende</w:t>
      </w:r>
      <w:r w:rsidR="008422B0" w:rsidRPr="00734345">
        <w:rPr>
          <w:i/>
          <w:lang w:val="nl-BE"/>
        </w:rPr>
        <w:t xml:space="preserve"> / opgeslorpte</w:t>
      </w:r>
      <w:r w:rsidR="0037191D">
        <w:rPr>
          <w:i/>
          <w:lang w:val="nl-BE"/>
        </w:rPr>
        <w:t xml:space="preserve"> </w:t>
      </w:r>
      <w:r w:rsidR="008422B0" w:rsidRPr="00734345">
        <w:rPr>
          <w:i/>
          <w:lang w:val="nl-BE"/>
        </w:rPr>
        <w:t>/ gesplitste</w:t>
      </w:r>
      <w:r w:rsidRPr="00734345">
        <w:rPr>
          <w:i/>
          <w:lang w:val="nl-BE"/>
        </w:rPr>
        <w:t xml:space="preserve"> onderneming deze taak op zich neemt.</w:t>
      </w:r>
    </w:p>
    <w:p w14:paraId="568C0163" w14:textId="77777777" w:rsidR="0083479F" w:rsidRPr="00734345" w:rsidRDefault="0083479F" w:rsidP="0083479F">
      <w:pPr>
        <w:keepNext/>
        <w:keepLines/>
        <w:tabs>
          <w:tab w:val="clear" w:pos="284"/>
        </w:tabs>
        <w:spacing w:before="360" w:after="240" w:line="260" w:lineRule="atLeast"/>
        <w:jc w:val="both"/>
        <w:rPr>
          <w:b/>
          <w:lang w:val="nl-BE"/>
        </w:rPr>
      </w:pPr>
      <w:r w:rsidRPr="00734345">
        <w:rPr>
          <w:b/>
          <w:lang w:val="nl-BE"/>
        </w:rPr>
        <w:t>1.</w:t>
      </w:r>
      <w:r w:rsidRPr="00734345">
        <w:rPr>
          <w:b/>
          <w:lang w:val="nl-BE"/>
        </w:rPr>
        <w:tab/>
      </w:r>
      <w:r w:rsidRPr="00734345">
        <w:rPr>
          <w:b/>
          <w:u w:val="single"/>
          <w:lang w:val="nl-BE"/>
        </w:rPr>
        <w:t>Contactgegevens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497"/>
      </w:tblGrid>
      <w:tr w:rsidR="0083479F" w:rsidRPr="00A47691" w14:paraId="7E7DF1B0" w14:textId="77777777" w:rsidTr="0083479F">
        <w:tc>
          <w:tcPr>
            <w:tcW w:w="4507" w:type="dxa"/>
          </w:tcPr>
          <w:p w14:paraId="541E277A" w14:textId="61CC1608" w:rsidR="0083479F" w:rsidRPr="00734345" w:rsidRDefault="0083479F" w:rsidP="001C3681">
            <w:pPr>
              <w:rPr>
                <w:lang w:val="nl-BE"/>
              </w:rPr>
            </w:pPr>
            <w:r w:rsidRPr="00734345">
              <w:rPr>
                <w:lang w:val="nl-BE"/>
              </w:rPr>
              <w:t xml:space="preserve">Naam, Legal </w:t>
            </w:r>
            <w:proofErr w:type="spellStart"/>
            <w:r w:rsidRPr="00734345">
              <w:rPr>
                <w:lang w:val="nl-BE"/>
              </w:rPr>
              <w:t>Entity</w:t>
            </w:r>
            <w:proofErr w:type="spellEnd"/>
            <w:r w:rsidRPr="00734345">
              <w:rPr>
                <w:lang w:val="nl-BE"/>
              </w:rPr>
              <w:t xml:space="preserve"> </w:t>
            </w:r>
            <w:proofErr w:type="spellStart"/>
            <w:r w:rsidRPr="00734345">
              <w:rPr>
                <w:lang w:val="nl-BE"/>
              </w:rPr>
              <w:t>Identifier</w:t>
            </w:r>
            <w:proofErr w:type="spellEnd"/>
            <w:r w:rsidRPr="00734345">
              <w:rPr>
                <w:lang w:val="nl-BE"/>
              </w:rPr>
              <w:t xml:space="preserve"> (LEI), administratieve code en adres van de zetel van de overdragende</w:t>
            </w:r>
            <w:r w:rsidR="0037191D">
              <w:rPr>
                <w:lang w:val="nl-BE"/>
              </w:rPr>
              <w:t xml:space="preserve"> /</w:t>
            </w:r>
            <w:r w:rsidR="008422B0" w:rsidRPr="00734345">
              <w:rPr>
                <w:lang w:val="nl-BE"/>
              </w:rPr>
              <w:t xml:space="preserve"> </w:t>
            </w:r>
            <w:r w:rsidR="0037191D">
              <w:rPr>
                <w:lang w:val="nl-BE"/>
              </w:rPr>
              <w:t>opgeslorpte</w:t>
            </w:r>
            <w:r w:rsidR="008422B0" w:rsidRPr="00734345">
              <w:rPr>
                <w:lang w:val="nl-BE"/>
              </w:rPr>
              <w:t>, gesplitste</w:t>
            </w:r>
            <w:r w:rsidRPr="00734345">
              <w:rPr>
                <w:lang w:val="nl-BE"/>
              </w:rPr>
              <w:t xml:space="preserve"> onderneming</w:t>
            </w:r>
          </w:p>
        </w:tc>
        <w:tc>
          <w:tcPr>
            <w:tcW w:w="4497" w:type="dxa"/>
          </w:tcPr>
          <w:p w14:paraId="23DD5E78" w14:textId="77777777" w:rsidR="0083479F" w:rsidRPr="00734345" w:rsidRDefault="0083479F" w:rsidP="001C3681">
            <w:pPr>
              <w:rPr>
                <w:lang w:val="nl-BE"/>
              </w:rPr>
            </w:pPr>
            <w:r w:rsidRPr="00734345">
              <w:rPr>
                <w:lang w:val="nl-BE"/>
              </w:rPr>
              <w:t>[in te vullen door de onderneming]</w:t>
            </w:r>
          </w:p>
        </w:tc>
      </w:tr>
      <w:tr w:rsidR="0083479F" w:rsidRPr="00A47691" w14:paraId="7ECE2268" w14:textId="77777777" w:rsidTr="0083479F">
        <w:tc>
          <w:tcPr>
            <w:tcW w:w="4507" w:type="dxa"/>
          </w:tcPr>
          <w:p w14:paraId="40ADF3CF" w14:textId="7F377231" w:rsidR="0083479F" w:rsidRPr="00734345" w:rsidRDefault="0083479F" w:rsidP="001C3681">
            <w:pPr>
              <w:rPr>
                <w:lang w:val="nl-BE"/>
              </w:rPr>
            </w:pPr>
            <w:r w:rsidRPr="00734345">
              <w:rPr>
                <w:lang w:val="nl-BE"/>
              </w:rPr>
              <w:t xml:space="preserve">Naam, Legal </w:t>
            </w:r>
            <w:proofErr w:type="spellStart"/>
            <w:r w:rsidRPr="00734345">
              <w:rPr>
                <w:lang w:val="nl-BE"/>
              </w:rPr>
              <w:t>Entity</w:t>
            </w:r>
            <w:proofErr w:type="spellEnd"/>
            <w:r w:rsidRPr="00734345">
              <w:rPr>
                <w:lang w:val="nl-BE"/>
              </w:rPr>
              <w:t xml:space="preserve"> </w:t>
            </w:r>
            <w:proofErr w:type="spellStart"/>
            <w:r w:rsidRPr="00734345">
              <w:rPr>
                <w:lang w:val="nl-BE"/>
              </w:rPr>
              <w:t>Identifier</w:t>
            </w:r>
            <w:proofErr w:type="spellEnd"/>
            <w:r w:rsidRPr="00734345">
              <w:rPr>
                <w:lang w:val="nl-BE"/>
              </w:rPr>
              <w:t xml:space="preserve"> (LEI), administratieve code en adres van de zetel van de overnemende </w:t>
            </w:r>
            <w:r w:rsidR="008422B0" w:rsidRPr="00D41A26">
              <w:rPr>
                <w:iCs/>
                <w:lang w:val="nl-BE"/>
              </w:rPr>
              <w:t>/ opslorpende / inbreng ontvangende</w:t>
            </w:r>
            <w:r w:rsidR="008422B0" w:rsidRPr="00734345">
              <w:rPr>
                <w:i/>
                <w:lang w:val="nl-BE"/>
              </w:rPr>
              <w:t xml:space="preserve"> </w:t>
            </w:r>
            <w:r w:rsidRPr="00734345">
              <w:rPr>
                <w:lang w:val="nl-BE"/>
              </w:rPr>
              <w:t>verzekerings- of herverzekeringsonderneming</w:t>
            </w:r>
          </w:p>
        </w:tc>
        <w:tc>
          <w:tcPr>
            <w:tcW w:w="4497" w:type="dxa"/>
          </w:tcPr>
          <w:p w14:paraId="6C6F243D" w14:textId="77777777" w:rsidR="0083479F" w:rsidRPr="00734345" w:rsidRDefault="0083479F" w:rsidP="001C3681">
            <w:pPr>
              <w:rPr>
                <w:lang w:val="nl-BE"/>
              </w:rPr>
            </w:pPr>
            <w:r w:rsidRPr="00734345">
              <w:rPr>
                <w:lang w:val="nl-BE"/>
              </w:rPr>
              <w:t>[in te vullen door de onderneming]</w:t>
            </w:r>
          </w:p>
        </w:tc>
      </w:tr>
      <w:tr w:rsidR="0083479F" w:rsidRPr="00A47691" w14:paraId="531BE5A8" w14:textId="77777777" w:rsidTr="00710D64">
        <w:tc>
          <w:tcPr>
            <w:tcW w:w="4507" w:type="dxa"/>
            <w:tcBorders>
              <w:bottom w:val="single" w:sz="4" w:space="0" w:color="auto"/>
            </w:tcBorders>
          </w:tcPr>
          <w:p w14:paraId="450ADF80" w14:textId="77777777" w:rsidR="0083479F" w:rsidRPr="00734345" w:rsidRDefault="0083479F" w:rsidP="001C3681">
            <w:pPr>
              <w:rPr>
                <w:lang w:val="nl-BE"/>
              </w:rPr>
            </w:pPr>
            <w:r w:rsidRPr="00734345">
              <w:rPr>
                <w:lang w:val="nl-BE"/>
              </w:rPr>
              <w:t>Ingangsdatum van de overdracht (in voorkomend geval met onderscheid tussen de boekhoudkundige en de juridische ingangsdatum)</w:t>
            </w:r>
          </w:p>
        </w:tc>
        <w:tc>
          <w:tcPr>
            <w:tcW w:w="4497" w:type="dxa"/>
            <w:tcBorders>
              <w:bottom w:val="single" w:sz="4" w:space="0" w:color="auto"/>
            </w:tcBorders>
          </w:tcPr>
          <w:p w14:paraId="4D2D04BF" w14:textId="77777777" w:rsidR="0083479F" w:rsidRPr="00734345" w:rsidRDefault="0083479F" w:rsidP="001C3681">
            <w:pPr>
              <w:rPr>
                <w:lang w:val="nl-BE"/>
              </w:rPr>
            </w:pPr>
            <w:r w:rsidRPr="00734345">
              <w:rPr>
                <w:lang w:val="nl-BE"/>
              </w:rPr>
              <w:t>[in te vullen door de onderneming]</w:t>
            </w:r>
          </w:p>
        </w:tc>
      </w:tr>
      <w:tr w:rsidR="0083479F" w:rsidRPr="00A47691" w14:paraId="38C08941" w14:textId="77777777" w:rsidTr="00710D64">
        <w:tc>
          <w:tcPr>
            <w:tcW w:w="4507" w:type="dxa"/>
            <w:tcBorders>
              <w:bottom w:val="single" w:sz="4" w:space="0" w:color="auto"/>
            </w:tcBorders>
          </w:tcPr>
          <w:p w14:paraId="704648CD" w14:textId="0C276CEF" w:rsidR="0083479F" w:rsidRPr="00734345" w:rsidRDefault="0083479F" w:rsidP="001C3681">
            <w:pPr>
              <w:rPr>
                <w:lang w:val="nl-BE"/>
              </w:rPr>
            </w:pPr>
            <w:r w:rsidRPr="00734345">
              <w:rPr>
                <w:lang w:val="nl-BE"/>
              </w:rPr>
              <w:t>Naam, telefoonnummer en e-mailadres van de contactpersoon bij de overnemende</w:t>
            </w:r>
            <w:r w:rsidR="008422B0" w:rsidRPr="00734345">
              <w:rPr>
                <w:lang w:val="nl-BE"/>
              </w:rPr>
              <w:t xml:space="preserve"> </w:t>
            </w:r>
            <w:r w:rsidR="008422B0" w:rsidRPr="00D41A26">
              <w:rPr>
                <w:iCs/>
                <w:lang w:val="nl-BE"/>
              </w:rPr>
              <w:t>/ opslorpende / inbreng ontvangende</w:t>
            </w:r>
            <w:r w:rsidRPr="00734345">
              <w:rPr>
                <w:lang w:val="nl-BE"/>
              </w:rPr>
              <w:t xml:space="preserve"> onderneming</w:t>
            </w:r>
          </w:p>
        </w:tc>
        <w:tc>
          <w:tcPr>
            <w:tcW w:w="4497" w:type="dxa"/>
            <w:tcBorders>
              <w:bottom w:val="single" w:sz="4" w:space="0" w:color="auto"/>
            </w:tcBorders>
          </w:tcPr>
          <w:p w14:paraId="5363DA74" w14:textId="77777777" w:rsidR="0083479F" w:rsidRPr="00734345" w:rsidRDefault="0083479F" w:rsidP="001C3681">
            <w:pPr>
              <w:rPr>
                <w:lang w:val="nl-BE"/>
              </w:rPr>
            </w:pPr>
            <w:r w:rsidRPr="00734345">
              <w:rPr>
                <w:lang w:val="nl-BE"/>
              </w:rPr>
              <w:t>[in te vullen door de onderneming]</w:t>
            </w:r>
          </w:p>
        </w:tc>
      </w:tr>
    </w:tbl>
    <w:p w14:paraId="4D5E58C8" w14:textId="77777777" w:rsidR="0083479F" w:rsidRPr="00734345" w:rsidRDefault="0083479F" w:rsidP="0083479F">
      <w:pPr>
        <w:keepNext/>
        <w:keepLines/>
        <w:tabs>
          <w:tab w:val="clear" w:pos="284"/>
        </w:tabs>
        <w:spacing w:before="480" w:after="120" w:line="260" w:lineRule="atLeast"/>
        <w:jc w:val="both"/>
        <w:rPr>
          <w:b/>
          <w:lang w:val="nl-BE"/>
        </w:rPr>
      </w:pPr>
      <w:r w:rsidRPr="00734345">
        <w:rPr>
          <w:b/>
          <w:lang w:val="nl-BE"/>
        </w:rPr>
        <w:t>2.</w:t>
      </w:r>
      <w:r w:rsidRPr="00734345">
        <w:rPr>
          <w:b/>
          <w:lang w:val="nl-BE"/>
        </w:rPr>
        <w:tab/>
      </w:r>
      <w:r w:rsidRPr="00734345">
        <w:rPr>
          <w:b/>
          <w:u w:val="single"/>
          <w:lang w:val="nl-BE"/>
        </w:rPr>
        <w:t>Algemene informatie betreffende de overdracht</w:t>
      </w:r>
    </w:p>
    <w:p w14:paraId="3780C626" w14:textId="0124C6CD" w:rsidR="0083479F" w:rsidRPr="00734345" w:rsidRDefault="0083479F" w:rsidP="00710D64">
      <w:pPr>
        <w:spacing w:before="240" w:after="120" w:line="260" w:lineRule="atLeast"/>
        <w:ind w:left="567" w:hanging="567"/>
        <w:jc w:val="both"/>
        <w:rPr>
          <w:szCs w:val="24"/>
          <w:lang w:val="nl-BE"/>
        </w:rPr>
      </w:pPr>
      <w:r w:rsidRPr="00734345">
        <w:rPr>
          <w:szCs w:val="24"/>
          <w:lang w:val="nl-BE"/>
        </w:rPr>
        <w:t xml:space="preserve">2.1. </w:t>
      </w:r>
      <w:r w:rsidRPr="00734345">
        <w:rPr>
          <w:szCs w:val="24"/>
          <w:lang w:val="nl-BE"/>
        </w:rPr>
        <w:tab/>
        <w:t>Beschrijving van de motivering van de overnemende onderneming voor de verrichting (strategie, voorgenomen businessplan met betrekking tot de over te nemen portefeuille, enz.)</w:t>
      </w:r>
      <w:r w:rsidR="008422B0" w:rsidRPr="00734345">
        <w:rPr>
          <w:szCs w:val="24"/>
          <w:lang w:val="nl-BE"/>
        </w:rPr>
        <w:t>, ook in geval van fusie of splitsing</w:t>
      </w:r>
      <w:r w:rsidRPr="00734345">
        <w:rPr>
          <w:szCs w:val="24"/>
          <w:lang w:val="nl-BE"/>
        </w:rPr>
        <w:t>.</w:t>
      </w:r>
    </w:p>
    <w:p w14:paraId="623E834F" w14:textId="67EC166E" w:rsidR="0083479F" w:rsidRPr="00734345" w:rsidRDefault="0083479F" w:rsidP="00710D64">
      <w:pPr>
        <w:spacing w:before="240" w:after="120" w:line="260" w:lineRule="atLeast"/>
        <w:ind w:left="567" w:hanging="567"/>
        <w:jc w:val="both"/>
        <w:rPr>
          <w:szCs w:val="24"/>
          <w:lang w:val="nl-BE"/>
        </w:rPr>
      </w:pPr>
      <w:r w:rsidRPr="00734345">
        <w:rPr>
          <w:szCs w:val="24"/>
          <w:lang w:val="nl-BE"/>
        </w:rPr>
        <w:t>2.2.</w:t>
      </w:r>
      <w:r w:rsidRPr="00734345">
        <w:rPr>
          <w:szCs w:val="24"/>
          <w:lang w:val="nl-BE"/>
        </w:rPr>
        <w:tab/>
        <w:t>Wanneer de overdragende</w:t>
      </w:r>
      <w:r w:rsidR="005640B5">
        <w:rPr>
          <w:szCs w:val="24"/>
          <w:lang w:val="nl-BE"/>
        </w:rPr>
        <w:t>,</w:t>
      </w:r>
      <w:r w:rsidR="008422B0" w:rsidRPr="00D41A26">
        <w:rPr>
          <w:iCs/>
          <w:lang w:val="nl-BE"/>
        </w:rPr>
        <w:t xml:space="preserve"> op</w:t>
      </w:r>
      <w:r w:rsidR="0037191D">
        <w:rPr>
          <w:iCs/>
          <w:lang w:val="nl-BE"/>
        </w:rPr>
        <w:t>geslorpte</w:t>
      </w:r>
      <w:r w:rsidR="008422B0" w:rsidRPr="00D41A26">
        <w:rPr>
          <w:iCs/>
          <w:lang w:val="nl-BE"/>
        </w:rPr>
        <w:t xml:space="preserve"> </w:t>
      </w:r>
      <w:r w:rsidR="005640B5">
        <w:rPr>
          <w:iCs/>
          <w:lang w:val="nl-BE"/>
        </w:rPr>
        <w:t>of</w:t>
      </w:r>
      <w:r w:rsidR="008422B0" w:rsidRPr="00D41A26">
        <w:rPr>
          <w:iCs/>
          <w:lang w:val="nl-BE"/>
        </w:rPr>
        <w:t xml:space="preserve"> </w:t>
      </w:r>
      <w:r w:rsidR="0037191D">
        <w:rPr>
          <w:iCs/>
          <w:lang w:val="nl-BE"/>
        </w:rPr>
        <w:t xml:space="preserve">gesplitste </w:t>
      </w:r>
      <w:r w:rsidRPr="00734345">
        <w:rPr>
          <w:szCs w:val="24"/>
          <w:lang w:val="nl-BE"/>
        </w:rPr>
        <w:t>onderneming ressorteert onder het recht van een derde land, een beschrijving van de over te dragen portefeuille (betrokken verzekeringstakken of herverzekeringsactiviteiten, aard van de over te dragen overeenkomsten, transactiekosten, technische modaliteiten voor de overdracht, enz.)</w:t>
      </w:r>
      <w:r w:rsidR="008422B0" w:rsidRPr="00734345">
        <w:rPr>
          <w:lang w:val="nl-BE"/>
        </w:rPr>
        <w:t xml:space="preserve"> of, in geval van fusie of splitsing, </w:t>
      </w:r>
      <w:r w:rsidR="0037191D">
        <w:rPr>
          <w:lang w:val="nl-BE"/>
        </w:rPr>
        <w:t>i</w:t>
      </w:r>
      <w:r w:rsidR="0037191D" w:rsidRPr="004A5C13">
        <w:rPr>
          <w:lang w:val="nl-BE"/>
        </w:rPr>
        <w:t xml:space="preserve">ndien de </w:t>
      </w:r>
      <w:r w:rsidR="0037191D">
        <w:rPr>
          <w:lang w:val="nl-BE"/>
        </w:rPr>
        <w:t xml:space="preserve">overgedragen activiteit </w:t>
      </w:r>
      <w:r w:rsidR="0037191D" w:rsidRPr="004A5C13">
        <w:rPr>
          <w:lang w:val="nl-BE"/>
        </w:rPr>
        <w:t xml:space="preserve">betrekking heeft op andere </w:t>
      </w:r>
      <w:r w:rsidR="0037191D">
        <w:rPr>
          <w:lang w:val="nl-BE"/>
        </w:rPr>
        <w:t xml:space="preserve">elementen </w:t>
      </w:r>
      <w:r w:rsidR="0037191D" w:rsidRPr="004A5C13">
        <w:rPr>
          <w:lang w:val="nl-BE"/>
        </w:rPr>
        <w:t xml:space="preserve">dan een </w:t>
      </w:r>
      <w:r w:rsidR="0037191D">
        <w:rPr>
          <w:lang w:val="nl-BE"/>
        </w:rPr>
        <w:t>verzekerings- of herverzekerings</w:t>
      </w:r>
      <w:r w:rsidR="0037191D" w:rsidRPr="004A5C13">
        <w:rPr>
          <w:lang w:val="nl-BE"/>
        </w:rPr>
        <w:t xml:space="preserve">portefeuille </w:t>
      </w:r>
      <w:r w:rsidR="0037191D">
        <w:rPr>
          <w:lang w:val="nl-BE"/>
        </w:rPr>
        <w:t xml:space="preserve">of </w:t>
      </w:r>
      <w:r w:rsidR="008422B0" w:rsidRPr="00734345">
        <w:rPr>
          <w:lang w:val="nl-BE"/>
        </w:rPr>
        <w:t xml:space="preserve">indien de opgeslorpte </w:t>
      </w:r>
      <w:r w:rsidR="0037191D">
        <w:rPr>
          <w:lang w:val="nl-BE"/>
        </w:rPr>
        <w:t xml:space="preserve">of </w:t>
      </w:r>
      <w:r w:rsidR="008422B0" w:rsidRPr="00734345">
        <w:rPr>
          <w:lang w:val="nl-BE"/>
        </w:rPr>
        <w:t>gesplitste onderneming geen verzekerings- of herverzekeringsonderneming is, beschrijving van de over te dragen activiteit (soort activiteit, cliënten, financiële kerncijfers, overzicht van de over te dragen activa en passiva)</w:t>
      </w:r>
      <w:r w:rsidRPr="00734345">
        <w:rPr>
          <w:szCs w:val="24"/>
          <w:lang w:val="nl-BE"/>
        </w:rPr>
        <w:t>.</w:t>
      </w:r>
    </w:p>
    <w:p w14:paraId="13404FEF" w14:textId="78EF39F5" w:rsidR="0083479F" w:rsidRDefault="0083479F" w:rsidP="09F45F91">
      <w:pPr>
        <w:spacing w:before="240" w:after="120" w:line="260" w:lineRule="atLeast"/>
        <w:ind w:left="567" w:hanging="567"/>
        <w:jc w:val="both"/>
        <w:rPr>
          <w:lang w:val="nl-BE"/>
        </w:rPr>
      </w:pPr>
      <w:r w:rsidRPr="09F45F91">
        <w:rPr>
          <w:lang w:val="nl-BE"/>
        </w:rPr>
        <w:t>2.3.</w:t>
      </w:r>
      <w:r w:rsidRPr="00A47691">
        <w:rPr>
          <w:lang w:val="nl-BE"/>
        </w:rPr>
        <w:tab/>
      </w:r>
      <w:r w:rsidRPr="09F45F91">
        <w:rPr>
          <w:lang w:val="nl-BE"/>
        </w:rPr>
        <w:t>Wanneer de overdragende</w:t>
      </w:r>
      <w:r w:rsidR="005640B5" w:rsidRPr="09F45F91">
        <w:rPr>
          <w:lang w:val="nl-BE"/>
        </w:rPr>
        <w:t>,</w:t>
      </w:r>
      <w:r w:rsidR="008422B0" w:rsidRPr="09F45F91">
        <w:rPr>
          <w:lang w:val="nl-BE"/>
        </w:rPr>
        <w:t xml:space="preserve"> </w:t>
      </w:r>
      <w:r w:rsidR="00453943" w:rsidRPr="09F45F91">
        <w:rPr>
          <w:lang w:val="nl-BE"/>
        </w:rPr>
        <w:t>opgeslorpte</w:t>
      </w:r>
      <w:r w:rsidR="008422B0" w:rsidRPr="09F45F91">
        <w:rPr>
          <w:lang w:val="nl-BE"/>
        </w:rPr>
        <w:t xml:space="preserve"> </w:t>
      </w:r>
      <w:r w:rsidR="005640B5" w:rsidRPr="09F45F91">
        <w:rPr>
          <w:lang w:val="nl-BE"/>
        </w:rPr>
        <w:t>of</w:t>
      </w:r>
      <w:r w:rsidR="008422B0" w:rsidRPr="09F45F91">
        <w:rPr>
          <w:lang w:val="nl-BE"/>
        </w:rPr>
        <w:t xml:space="preserve"> gesplitste </w:t>
      </w:r>
      <w:r w:rsidRPr="09F45F91">
        <w:rPr>
          <w:lang w:val="nl-BE"/>
        </w:rPr>
        <w:t xml:space="preserve">onderneming ressorteert onder het recht van een derde land, een kopie van </w:t>
      </w:r>
      <w:r w:rsidR="005640B5" w:rsidRPr="09F45F91">
        <w:rPr>
          <w:lang w:val="nl-BE"/>
        </w:rPr>
        <w:t xml:space="preserve">de </w:t>
      </w:r>
      <w:r w:rsidRPr="09F45F91">
        <w:rPr>
          <w:lang w:val="nl-BE"/>
        </w:rPr>
        <w:t xml:space="preserve">overdrachtsovereenkomst of </w:t>
      </w:r>
      <w:r w:rsidR="005640B5" w:rsidRPr="09F45F91">
        <w:rPr>
          <w:lang w:val="nl-BE"/>
        </w:rPr>
        <w:t xml:space="preserve">van een ontwerp daarvan of van het </w:t>
      </w:r>
      <w:r w:rsidR="008422B0" w:rsidRPr="09F45F91">
        <w:rPr>
          <w:lang w:val="nl-BE"/>
        </w:rPr>
        <w:t>fusie- of splitsings</w:t>
      </w:r>
      <w:r w:rsidR="005640B5" w:rsidRPr="09F45F91">
        <w:rPr>
          <w:lang w:val="nl-BE"/>
        </w:rPr>
        <w:t>voorstel</w:t>
      </w:r>
      <w:r w:rsidRPr="09F45F91">
        <w:rPr>
          <w:lang w:val="nl-BE"/>
        </w:rPr>
        <w:t xml:space="preserve"> en, in voorkomend geval, van de ‘</w:t>
      </w:r>
      <w:proofErr w:type="spellStart"/>
      <w:r w:rsidRPr="09F45F91">
        <w:rPr>
          <w:lang w:val="nl-BE"/>
        </w:rPr>
        <w:t>due</w:t>
      </w:r>
      <w:proofErr w:type="spellEnd"/>
      <w:r w:rsidRPr="09F45F91">
        <w:rPr>
          <w:lang w:val="nl-BE"/>
        </w:rPr>
        <w:t xml:space="preserve"> diligence’-bevindingen </w:t>
      </w:r>
      <w:r w:rsidR="008422B0" w:rsidRPr="09F45F91">
        <w:rPr>
          <w:lang w:val="nl-BE"/>
        </w:rPr>
        <w:t>en/</w:t>
      </w:r>
      <w:r w:rsidRPr="09F45F91">
        <w:rPr>
          <w:lang w:val="nl-BE"/>
        </w:rPr>
        <w:t>of van de audits die werden uitgevoerd met betrekking tot de over te dragen portefeuil</w:t>
      </w:r>
      <w:r w:rsidR="00710D64" w:rsidRPr="09F45F91">
        <w:rPr>
          <w:lang w:val="nl-BE"/>
        </w:rPr>
        <w:t>le of bepaalde elementen ervan.</w:t>
      </w:r>
    </w:p>
    <w:p w14:paraId="0C8F52BC" w14:textId="7165AAF8" w:rsidR="0098393E" w:rsidRDefault="0098393E" w:rsidP="00710D64">
      <w:pPr>
        <w:spacing w:before="240" w:after="120" w:line="260" w:lineRule="atLeast"/>
        <w:ind w:left="567" w:hanging="567"/>
        <w:jc w:val="both"/>
        <w:rPr>
          <w:szCs w:val="24"/>
          <w:lang w:val="nl-BE"/>
        </w:rPr>
      </w:pPr>
    </w:p>
    <w:p w14:paraId="645CE088" w14:textId="77777777" w:rsidR="0098393E" w:rsidRPr="00734345" w:rsidRDefault="0098393E" w:rsidP="00710D64">
      <w:pPr>
        <w:spacing w:before="240" w:after="120" w:line="260" w:lineRule="atLeast"/>
        <w:ind w:left="567" w:hanging="567"/>
        <w:jc w:val="both"/>
        <w:rPr>
          <w:szCs w:val="24"/>
          <w:lang w:val="nl-BE"/>
        </w:rPr>
      </w:pPr>
    </w:p>
    <w:p w14:paraId="25473C52" w14:textId="77777777" w:rsidR="0083479F" w:rsidRPr="00734345" w:rsidRDefault="006D409C" w:rsidP="006D409C">
      <w:pPr>
        <w:keepNext/>
        <w:keepLines/>
        <w:tabs>
          <w:tab w:val="clear" w:pos="284"/>
        </w:tabs>
        <w:spacing w:before="480" w:after="120" w:line="260" w:lineRule="atLeast"/>
        <w:jc w:val="both"/>
        <w:rPr>
          <w:b/>
          <w:lang w:val="nl-BE"/>
        </w:rPr>
      </w:pPr>
      <w:r w:rsidRPr="00734345">
        <w:rPr>
          <w:b/>
          <w:lang w:val="nl-BE"/>
        </w:rPr>
        <w:lastRenderedPageBreak/>
        <w:t>3.</w:t>
      </w:r>
      <w:r w:rsidRPr="00734345">
        <w:rPr>
          <w:b/>
          <w:lang w:val="nl-BE"/>
        </w:rPr>
        <w:tab/>
      </w:r>
      <w:r w:rsidR="0083479F" w:rsidRPr="00734345">
        <w:rPr>
          <w:b/>
          <w:u w:val="single"/>
          <w:lang w:val="nl-BE"/>
        </w:rPr>
        <w:t>Financiële aspecten</w:t>
      </w:r>
    </w:p>
    <w:p w14:paraId="38E1EDFB" w14:textId="77777777" w:rsidR="0083479F" w:rsidRPr="00734345" w:rsidRDefault="0083479F" w:rsidP="00710D64">
      <w:pPr>
        <w:spacing w:before="240" w:after="120" w:line="260" w:lineRule="atLeast"/>
        <w:ind w:left="567" w:hanging="567"/>
        <w:jc w:val="both"/>
        <w:rPr>
          <w:szCs w:val="24"/>
          <w:lang w:val="nl-BE"/>
        </w:rPr>
      </w:pPr>
      <w:r w:rsidRPr="00734345">
        <w:rPr>
          <w:szCs w:val="24"/>
          <w:lang w:val="nl-BE"/>
        </w:rPr>
        <w:t>3.1.</w:t>
      </w:r>
      <w:r w:rsidRPr="00734345">
        <w:rPr>
          <w:szCs w:val="24"/>
          <w:lang w:val="nl-BE"/>
        </w:rPr>
        <w:tab/>
        <w:t>Informatie over de herverzekering</w:t>
      </w:r>
      <w:r w:rsidR="002C2DB7" w:rsidRPr="00734345">
        <w:rPr>
          <w:szCs w:val="24"/>
          <w:lang w:val="nl-BE"/>
        </w:rPr>
        <w:t xml:space="preserve"> van de over te nemen risico’s.</w:t>
      </w:r>
    </w:p>
    <w:p w14:paraId="4E738801" w14:textId="77777777" w:rsidR="0083479F" w:rsidRPr="00734345" w:rsidRDefault="0083479F" w:rsidP="00710D64">
      <w:pPr>
        <w:spacing w:before="240" w:after="120" w:line="260" w:lineRule="atLeast"/>
        <w:ind w:left="567" w:hanging="567"/>
        <w:jc w:val="both"/>
        <w:rPr>
          <w:szCs w:val="24"/>
          <w:lang w:val="nl-BE"/>
        </w:rPr>
      </w:pPr>
      <w:r w:rsidRPr="00734345">
        <w:rPr>
          <w:szCs w:val="24"/>
          <w:lang w:val="nl-BE"/>
        </w:rPr>
        <w:t>3.2.</w:t>
      </w:r>
      <w:r w:rsidRPr="00734345">
        <w:rPr>
          <w:szCs w:val="24"/>
          <w:lang w:val="nl-BE"/>
        </w:rPr>
        <w:tab/>
        <w:t>Verslag van de actuariële functie van de onderneming over het niveau van de technische voorzieningen, de winstgevendheid en de modaliteiten voor de herverzekering van de over te nemen portefeuille.</w:t>
      </w:r>
    </w:p>
    <w:p w14:paraId="413575B1" w14:textId="77777777" w:rsidR="0083479F" w:rsidRPr="00734345" w:rsidRDefault="0083479F" w:rsidP="00710D64">
      <w:pPr>
        <w:spacing w:before="240" w:after="120" w:line="260" w:lineRule="atLeast"/>
        <w:ind w:left="567" w:hanging="567"/>
        <w:jc w:val="both"/>
        <w:rPr>
          <w:szCs w:val="24"/>
          <w:lang w:val="nl-BE"/>
        </w:rPr>
      </w:pPr>
      <w:r w:rsidRPr="00734345">
        <w:rPr>
          <w:szCs w:val="24"/>
          <w:lang w:val="nl-BE"/>
        </w:rPr>
        <w:t>3.3.</w:t>
      </w:r>
      <w:r w:rsidRPr="00734345">
        <w:rPr>
          <w:szCs w:val="24"/>
          <w:lang w:val="nl-BE"/>
        </w:rPr>
        <w:tab/>
        <w:t>Invloed van de transactie op de financiële situatie en de solvabiliteit (SCR).</w:t>
      </w:r>
    </w:p>
    <w:p w14:paraId="3AF0CD49" w14:textId="77777777" w:rsidR="0083479F" w:rsidRPr="00734345" w:rsidRDefault="0083479F" w:rsidP="006D409C">
      <w:pPr>
        <w:keepNext/>
        <w:keepLines/>
        <w:tabs>
          <w:tab w:val="clear" w:pos="284"/>
        </w:tabs>
        <w:spacing w:before="480" w:after="120" w:line="260" w:lineRule="atLeast"/>
        <w:jc w:val="both"/>
        <w:rPr>
          <w:b/>
          <w:lang w:val="nl-BE"/>
        </w:rPr>
      </w:pPr>
      <w:r w:rsidRPr="00734345">
        <w:rPr>
          <w:b/>
          <w:lang w:val="nl-BE"/>
        </w:rPr>
        <w:t>4.</w:t>
      </w:r>
      <w:r w:rsidRPr="00734345">
        <w:rPr>
          <w:b/>
          <w:lang w:val="nl-BE"/>
        </w:rPr>
        <w:tab/>
      </w:r>
      <w:proofErr w:type="spellStart"/>
      <w:r w:rsidRPr="00734345">
        <w:rPr>
          <w:b/>
          <w:u w:val="single"/>
          <w:lang w:val="nl-BE"/>
        </w:rPr>
        <w:t>Governance</w:t>
      </w:r>
      <w:proofErr w:type="spellEnd"/>
      <w:r w:rsidRPr="00734345">
        <w:rPr>
          <w:b/>
          <w:u w:val="single"/>
          <w:lang w:val="nl-BE"/>
        </w:rPr>
        <w:t>- en organisatorische aspecten</w:t>
      </w:r>
    </w:p>
    <w:p w14:paraId="43003605" w14:textId="77777777" w:rsidR="0083479F" w:rsidRPr="00734345" w:rsidRDefault="0083479F" w:rsidP="00710D64">
      <w:pPr>
        <w:spacing w:before="240" w:after="120" w:line="260" w:lineRule="atLeast"/>
        <w:ind w:left="567" w:hanging="567"/>
        <w:jc w:val="both"/>
        <w:rPr>
          <w:szCs w:val="24"/>
          <w:lang w:val="nl-BE"/>
        </w:rPr>
      </w:pPr>
      <w:r w:rsidRPr="00734345">
        <w:rPr>
          <w:szCs w:val="24"/>
          <w:lang w:val="nl-BE"/>
        </w:rPr>
        <w:t>4.1.</w:t>
      </w:r>
      <w:r w:rsidRPr="00734345">
        <w:rPr>
          <w:szCs w:val="24"/>
          <w:lang w:val="nl-BE"/>
        </w:rPr>
        <w:tab/>
        <w:t>Beslissingen van de bevoegde beleidsbepalende organen en bevestiging van de naleving van de statuten van de onderneming.</w:t>
      </w:r>
    </w:p>
    <w:p w14:paraId="7A25491C" w14:textId="000AD7D3" w:rsidR="0083479F" w:rsidRPr="00734345" w:rsidRDefault="0083479F" w:rsidP="09F45F91">
      <w:pPr>
        <w:spacing w:before="240" w:after="120" w:line="260" w:lineRule="atLeast"/>
        <w:ind w:left="567" w:hanging="567"/>
        <w:jc w:val="both"/>
        <w:rPr>
          <w:lang w:val="nl-BE"/>
        </w:rPr>
      </w:pPr>
      <w:r w:rsidRPr="09F45F91">
        <w:rPr>
          <w:lang w:val="nl-BE"/>
        </w:rPr>
        <w:t>4.2.</w:t>
      </w:r>
      <w:r w:rsidRPr="00A47691">
        <w:rPr>
          <w:lang w:val="nl-BE"/>
        </w:rPr>
        <w:tab/>
      </w:r>
      <w:r w:rsidRPr="09F45F91">
        <w:rPr>
          <w:lang w:val="nl-BE"/>
        </w:rPr>
        <w:t xml:space="preserve">Beschrijving van de invloed van de verrichting op het risicoprofiel van de onderneming (nieuwe </w:t>
      </w:r>
      <w:r w:rsidR="005640B5" w:rsidRPr="09F45F91">
        <w:rPr>
          <w:lang w:val="nl-BE"/>
        </w:rPr>
        <w:t xml:space="preserve">beoordeling van het eigen risico en de solvabiliteit – </w:t>
      </w:r>
      <w:proofErr w:type="spellStart"/>
      <w:r w:rsidR="005640B5" w:rsidRPr="09F45F91">
        <w:rPr>
          <w:lang w:val="nl-BE"/>
        </w:rPr>
        <w:t>Own</w:t>
      </w:r>
      <w:proofErr w:type="spellEnd"/>
      <w:r w:rsidR="005640B5" w:rsidRPr="09F45F91">
        <w:rPr>
          <w:lang w:val="nl-BE"/>
        </w:rPr>
        <w:t xml:space="preserve"> Risk </w:t>
      </w:r>
      <w:proofErr w:type="spellStart"/>
      <w:r w:rsidR="005640B5" w:rsidRPr="09F45F91">
        <w:rPr>
          <w:lang w:val="nl-BE"/>
        </w:rPr>
        <w:t>and</w:t>
      </w:r>
      <w:proofErr w:type="spellEnd"/>
      <w:r w:rsidR="005640B5" w:rsidRPr="09F45F91">
        <w:rPr>
          <w:lang w:val="nl-BE"/>
        </w:rPr>
        <w:t xml:space="preserve"> </w:t>
      </w:r>
      <w:proofErr w:type="spellStart"/>
      <w:r w:rsidR="005640B5" w:rsidRPr="09F45F91">
        <w:rPr>
          <w:lang w:val="nl-BE"/>
        </w:rPr>
        <w:t>Solvency</w:t>
      </w:r>
      <w:proofErr w:type="spellEnd"/>
      <w:r w:rsidR="005640B5" w:rsidRPr="09F45F91">
        <w:rPr>
          <w:lang w:val="nl-BE"/>
        </w:rPr>
        <w:t xml:space="preserve"> Assessment - </w:t>
      </w:r>
      <w:r w:rsidRPr="09F45F91">
        <w:rPr>
          <w:lang w:val="nl-BE"/>
        </w:rPr>
        <w:t>bij een duidelijke wijziging in dit risicoprofiel).</w:t>
      </w:r>
    </w:p>
    <w:p w14:paraId="0372BB93" w14:textId="3FE5250B" w:rsidR="0083479F" w:rsidRPr="00734345" w:rsidRDefault="0083479F" w:rsidP="00710D64">
      <w:pPr>
        <w:spacing w:before="240" w:after="120" w:line="260" w:lineRule="atLeast"/>
        <w:ind w:left="567" w:hanging="567"/>
        <w:jc w:val="both"/>
        <w:rPr>
          <w:szCs w:val="24"/>
          <w:lang w:val="nl-BE"/>
        </w:rPr>
      </w:pPr>
      <w:r w:rsidRPr="00734345">
        <w:rPr>
          <w:szCs w:val="24"/>
          <w:lang w:val="nl-BE"/>
        </w:rPr>
        <w:t>4.3.</w:t>
      </w:r>
      <w:r w:rsidRPr="00734345">
        <w:rPr>
          <w:szCs w:val="24"/>
          <w:lang w:val="nl-BE"/>
        </w:rPr>
        <w:tab/>
        <w:t>Beschrijving van de invloed van de verrichting op de beleidsstructuur</w:t>
      </w:r>
      <w:r w:rsidR="00734345" w:rsidRPr="00734345">
        <w:rPr>
          <w:szCs w:val="24"/>
          <w:lang w:val="nl-BE"/>
        </w:rPr>
        <w:t xml:space="preserve"> (in voorkomend geval, de Fit</w:t>
      </w:r>
      <w:r w:rsidR="00EF36D8">
        <w:rPr>
          <w:szCs w:val="24"/>
          <w:lang w:val="nl-BE"/>
        </w:rPr>
        <w:t> </w:t>
      </w:r>
      <w:r w:rsidR="00734345" w:rsidRPr="00734345">
        <w:rPr>
          <w:szCs w:val="24"/>
          <w:lang w:val="nl-BE"/>
        </w:rPr>
        <w:t>&amp;</w:t>
      </w:r>
      <w:r w:rsidR="00EF36D8">
        <w:rPr>
          <w:szCs w:val="24"/>
          <w:lang w:val="nl-BE"/>
        </w:rPr>
        <w:t> </w:t>
      </w:r>
      <w:r w:rsidR="00734345" w:rsidRPr="00734345">
        <w:rPr>
          <w:szCs w:val="24"/>
          <w:lang w:val="nl-BE"/>
        </w:rPr>
        <w:t>Proper-dossiers voor de betrokken personen</w:t>
      </w:r>
      <w:r w:rsidR="002E5FFE">
        <w:rPr>
          <w:szCs w:val="24"/>
          <w:lang w:val="nl-BE"/>
        </w:rPr>
        <w:t>)</w:t>
      </w:r>
      <w:r w:rsidRPr="00734345">
        <w:rPr>
          <w:szCs w:val="24"/>
          <w:lang w:val="nl-BE"/>
        </w:rPr>
        <w:t xml:space="preserve">, de organisatie (nieuw organogram, invloed op het personeel, distributienetwerk, ...) en de </w:t>
      </w:r>
      <w:proofErr w:type="spellStart"/>
      <w:r w:rsidRPr="00734345">
        <w:rPr>
          <w:szCs w:val="24"/>
          <w:lang w:val="nl-BE"/>
        </w:rPr>
        <w:t>internecontrolemechanismen</w:t>
      </w:r>
      <w:proofErr w:type="spellEnd"/>
      <w:r w:rsidRPr="00734345">
        <w:rPr>
          <w:szCs w:val="24"/>
          <w:lang w:val="nl-BE"/>
        </w:rPr>
        <w:t xml:space="preserve"> van de onderneming.</w:t>
      </w:r>
    </w:p>
    <w:p w14:paraId="6392A861" w14:textId="77777777" w:rsidR="0083479F" w:rsidRPr="00734345" w:rsidRDefault="0083479F" w:rsidP="00710D64">
      <w:pPr>
        <w:spacing w:before="240" w:after="120" w:line="260" w:lineRule="atLeast"/>
        <w:ind w:left="567" w:hanging="567"/>
        <w:jc w:val="both"/>
        <w:rPr>
          <w:szCs w:val="24"/>
          <w:lang w:val="nl-BE"/>
        </w:rPr>
      </w:pPr>
      <w:r w:rsidRPr="00734345">
        <w:rPr>
          <w:szCs w:val="24"/>
          <w:lang w:val="nl-BE"/>
        </w:rPr>
        <w:t>4.4.</w:t>
      </w:r>
      <w:r w:rsidRPr="00734345">
        <w:rPr>
          <w:szCs w:val="24"/>
          <w:lang w:val="nl-BE"/>
        </w:rPr>
        <w:tab/>
        <w:t xml:space="preserve">Beschrijving van de invloed van de verrichting op de controlefuncties (risicobeheer-, actuariële, compliance- en </w:t>
      </w:r>
      <w:proofErr w:type="spellStart"/>
      <w:r w:rsidRPr="00734345">
        <w:rPr>
          <w:szCs w:val="24"/>
          <w:lang w:val="nl-BE"/>
        </w:rPr>
        <w:t>interneauditfunctie</w:t>
      </w:r>
      <w:proofErr w:type="spellEnd"/>
      <w:r w:rsidRPr="00734345">
        <w:rPr>
          <w:szCs w:val="24"/>
          <w:lang w:val="nl-BE"/>
        </w:rPr>
        <w:t>).</w:t>
      </w:r>
    </w:p>
    <w:p w14:paraId="0C527100" w14:textId="24943AFD" w:rsidR="0083479F" w:rsidRPr="00734345" w:rsidRDefault="0083479F" w:rsidP="00710D64">
      <w:pPr>
        <w:spacing w:before="240" w:after="120" w:line="260" w:lineRule="atLeast"/>
        <w:ind w:left="567" w:hanging="567"/>
        <w:jc w:val="both"/>
        <w:rPr>
          <w:szCs w:val="24"/>
          <w:lang w:val="nl-BE"/>
        </w:rPr>
      </w:pPr>
      <w:r w:rsidRPr="00734345">
        <w:rPr>
          <w:szCs w:val="24"/>
          <w:lang w:val="nl-BE"/>
        </w:rPr>
        <w:t>4.5.</w:t>
      </w:r>
      <w:r w:rsidRPr="00734345">
        <w:rPr>
          <w:szCs w:val="24"/>
          <w:lang w:val="nl-BE"/>
        </w:rPr>
        <w:tab/>
        <w:t xml:space="preserve">Beschrijving van de gevolgen van de verrichting voor de door de Bank verleende toestemmingen (intern model, </w:t>
      </w:r>
      <w:proofErr w:type="spellStart"/>
      <w:r w:rsidRPr="00734345">
        <w:rPr>
          <w:szCs w:val="24"/>
          <w:lang w:val="nl-BE"/>
        </w:rPr>
        <w:t>ondernemingsspecifieke</w:t>
      </w:r>
      <w:proofErr w:type="spellEnd"/>
      <w:r w:rsidRPr="00734345">
        <w:rPr>
          <w:szCs w:val="24"/>
          <w:lang w:val="nl-BE"/>
        </w:rPr>
        <w:t xml:space="preserve"> parameters of </w:t>
      </w:r>
      <w:proofErr w:type="spellStart"/>
      <w:r w:rsidRPr="00734345">
        <w:rPr>
          <w:szCs w:val="24"/>
          <w:lang w:val="nl-BE"/>
        </w:rPr>
        <w:t>USP’s</w:t>
      </w:r>
      <w:proofErr w:type="spellEnd"/>
      <w:r w:rsidRPr="00734345">
        <w:rPr>
          <w:szCs w:val="24"/>
          <w:lang w:val="nl-BE"/>
        </w:rPr>
        <w:t>, enz.).</w:t>
      </w:r>
    </w:p>
    <w:p w14:paraId="5A5AEEA1" w14:textId="702ABBAE" w:rsidR="00734345" w:rsidRPr="00734345" w:rsidRDefault="00734345" w:rsidP="00734345">
      <w:pPr>
        <w:spacing w:after="120" w:line="260" w:lineRule="atLeast"/>
        <w:ind w:left="568" w:hanging="568"/>
        <w:jc w:val="both"/>
        <w:rPr>
          <w:szCs w:val="24"/>
          <w:lang w:val="nl-BE"/>
        </w:rPr>
      </w:pPr>
      <w:r w:rsidRPr="00734345">
        <w:rPr>
          <w:szCs w:val="24"/>
          <w:lang w:val="nl-BE"/>
        </w:rPr>
        <w:t>4.6.</w:t>
      </w:r>
      <w:r w:rsidRPr="00734345">
        <w:rPr>
          <w:szCs w:val="24"/>
          <w:lang w:val="nl-BE"/>
        </w:rPr>
        <w:tab/>
        <w:t>In voorkomend geval, ontwerp van wijziging van de statuten.</w:t>
      </w:r>
    </w:p>
    <w:p w14:paraId="6D817499" w14:textId="2297AF07" w:rsidR="00734345" w:rsidRPr="00734345" w:rsidRDefault="00734345" w:rsidP="00734345">
      <w:pPr>
        <w:spacing w:after="120" w:line="260" w:lineRule="atLeast"/>
        <w:ind w:left="568" w:hanging="568"/>
        <w:jc w:val="both"/>
        <w:rPr>
          <w:szCs w:val="24"/>
          <w:lang w:val="nl-BE"/>
        </w:rPr>
      </w:pPr>
      <w:r w:rsidRPr="00734345">
        <w:rPr>
          <w:szCs w:val="24"/>
          <w:lang w:val="nl-BE"/>
        </w:rPr>
        <w:t>4.7.</w:t>
      </w:r>
      <w:r w:rsidRPr="00734345">
        <w:rPr>
          <w:szCs w:val="24"/>
          <w:lang w:val="nl-BE"/>
        </w:rPr>
        <w:tab/>
        <w:t>In voorkomend geval, in geval van fusie of splitsing met wijziging van de aandeelhoudersstructuur, dossier(s) betreffende een gekwalificeerde deelneming of een wijziging van de aandeelhoudersstructuur</w:t>
      </w:r>
      <w:r w:rsidRPr="00734345">
        <w:rPr>
          <w:rStyle w:val="FootnoteReference"/>
          <w:lang w:val="nl-BE"/>
        </w:rPr>
        <w:footnoteReference w:id="2"/>
      </w:r>
      <w:r w:rsidRPr="00734345">
        <w:rPr>
          <w:szCs w:val="24"/>
          <w:lang w:val="nl-BE"/>
        </w:rPr>
        <w:t xml:space="preserve"> </w:t>
      </w:r>
    </w:p>
    <w:p w14:paraId="1A62F0D2" w14:textId="52D272D2" w:rsidR="00734345" w:rsidRPr="00734345" w:rsidRDefault="00734345" w:rsidP="00734345">
      <w:pPr>
        <w:spacing w:after="120" w:line="260" w:lineRule="atLeast"/>
        <w:ind w:left="568" w:hanging="568"/>
        <w:jc w:val="both"/>
        <w:rPr>
          <w:szCs w:val="24"/>
          <w:lang w:val="nl-BE"/>
        </w:rPr>
      </w:pPr>
      <w:r w:rsidRPr="00734345">
        <w:rPr>
          <w:szCs w:val="24"/>
          <w:lang w:val="nl-BE"/>
        </w:rPr>
        <w:t>4.8.</w:t>
      </w:r>
      <w:r w:rsidRPr="00734345">
        <w:rPr>
          <w:szCs w:val="24"/>
          <w:lang w:val="nl-BE"/>
        </w:rPr>
        <w:tab/>
        <w:t xml:space="preserve">In voorkomend geval, </w:t>
      </w:r>
      <w:r w:rsidR="00802ECF">
        <w:rPr>
          <w:szCs w:val="24"/>
          <w:lang w:val="nl-BE"/>
        </w:rPr>
        <w:t xml:space="preserve">de </w:t>
      </w:r>
      <w:r w:rsidRPr="00734345">
        <w:rPr>
          <w:szCs w:val="24"/>
          <w:lang w:val="nl-BE"/>
        </w:rPr>
        <w:t xml:space="preserve">vergunningsaanvragen die vereist zijn </w:t>
      </w:r>
      <w:r w:rsidR="00453943">
        <w:rPr>
          <w:szCs w:val="24"/>
          <w:lang w:val="nl-BE"/>
        </w:rPr>
        <w:t xml:space="preserve">voor de uitoefening van </w:t>
      </w:r>
      <w:r w:rsidRPr="00734345">
        <w:rPr>
          <w:szCs w:val="24"/>
          <w:lang w:val="nl-BE"/>
        </w:rPr>
        <w:t>de overgedragen activiteiten.</w:t>
      </w:r>
    </w:p>
    <w:p w14:paraId="60BD56AB" w14:textId="54E8BCC1" w:rsidR="00734345" w:rsidRPr="00734345" w:rsidRDefault="00734345" w:rsidP="00734345">
      <w:pPr>
        <w:spacing w:after="120" w:line="260" w:lineRule="atLeast"/>
        <w:ind w:left="568" w:hanging="568"/>
        <w:jc w:val="both"/>
        <w:rPr>
          <w:szCs w:val="24"/>
          <w:lang w:val="nl-BE"/>
        </w:rPr>
      </w:pPr>
      <w:r w:rsidRPr="00734345">
        <w:rPr>
          <w:szCs w:val="24"/>
          <w:lang w:val="nl-BE"/>
        </w:rPr>
        <w:t>4.9.</w:t>
      </w:r>
      <w:r w:rsidRPr="00734345">
        <w:rPr>
          <w:szCs w:val="24"/>
          <w:lang w:val="nl-BE"/>
        </w:rPr>
        <w:tab/>
        <w:t xml:space="preserve">In voorkomend geval, in geval van fusie of splitsing, verslag van de erkend commissaris over de voorgenomen fusie / splitsing. </w:t>
      </w:r>
    </w:p>
    <w:p w14:paraId="5AB2C8AB" w14:textId="098EBA3F" w:rsidR="00734345" w:rsidRPr="00734345" w:rsidRDefault="00734345" w:rsidP="00734345">
      <w:pPr>
        <w:spacing w:after="120" w:line="260" w:lineRule="atLeast"/>
        <w:ind w:left="568" w:hanging="568"/>
        <w:jc w:val="both"/>
        <w:rPr>
          <w:szCs w:val="24"/>
          <w:lang w:val="nl-BE"/>
        </w:rPr>
      </w:pPr>
      <w:r w:rsidRPr="00734345">
        <w:rPr>
          <w:szCs w:val="24"/>
          <w:lang w:val="nl-BE"/>
        </w:rPr>
        <w:t xml:space="preserve">4.10. </w:t>
      </w:r>
      <w:r w:rsidRPr="00734345">
        <w:rPr>
          <w:szCs w:val="24"/>
          <w:lang w:val="nl-BE"/>
        </w:rPr>
        <w:tab/>
        <w:t>In voorkomend geval, in geval van fusie, de goedkeuring van de Belgische of Europese mededingingsautoriteiten.</w:t>
      </w:r>
    </w:p>
    <w:p w14:paraId="71074870" w14:textId="4A6C369E" w:rsidR="00734345" w:rsidRPr="00734345" w:rsidRDefault="00734345" w:rsidP="00D41A26">
      <w:pPr>
        <w:spacing w:after="120" w:line="260" w:lineRule="atLeast"/>
        <w:jc w:val="both"/>
        <w:rPr>
          <w:szCs w:val="24"/>
          <w:lang w:val="nl-BE"/>
        </w:rPr>
      </w:pPr>
    </w:p>
    <w:p w14:paraId="51C5C5B8" w14:textId="77777777" w:rsidR="0083479F" w:rsidRPr="00734345" w:rsidRDefault="006D409C" w:rsidP="006D409C">
      <w:pPr>
        <w:keepNext/>
        <w:keepLines/>
        <w:tabs>
          <w:tab w:val="clear" w:pos="284"/>
        </w:tabs>
        <w:spacing w:before="480" w:after="120" w:line="260" w:lineRule="atLeast"/>
        <w:jc w:val="both"/>
        <w:rPr>
          <w:b/>
          <w:lang w:val="nl-BE"/>
        </w:rPr>
      </w:pPr>
      <w:r w:rsidRPr="00734345">
        <w:rPr>
          <w:b/>
          <w:lang w:val="nl-BE"/>
        </w:rPr>
        <w:t>5.</w:t>
      </w:r>
      <w:r w:rsidRPr="00734345">
        <w:rPr>
          <w:b/>
          <w:lang w:val="nl-BE"/>
        </w:rPr>
        <w:tab/>
      </w:r>
      <w:r w:rsidR="0083479F" w:rsidRPr="00734345">
        <w:rPr>
          <w:b/>
          <w:u w:val="single"/>
          <w:lang w:val="nl-BE"/>
        </w:rPr>
        <w:t>Overige</w:t>
      </w:r>
    </w:p>
    <w:p w14:paraId="2B3F10F1" w14:textId="77777777" w:rsidR="0083479F" w:rsidRPr="00734345" w:rsidRDefault="0083479F" w:rsidP="00710D64">
      <w:pPr>
        <w:spacing w:before="240" w:after="120" w:line="260" w:lineRule="atLeast"/>
        <w:ind w:left="567" w:hanging="567"/>
        <w:jc w:val="both"/>
        <w:rPr>
          <w:szCs w:val="24"/>
          <w:lang w:val="nl-BE"/>
        </w:rPr>
      </w:pPr>
      <w:r w:rsidRPr="00734345">
        <w:rPr>
          <w:szCs w:val="24"/>
          <w:lang w:val="nl-BE"/>
        </w:rPr>
        <w:t>5.1.</w:t>
      </w:r>
      <w:r w:rsidRPr="00734345">
        <w:rPr>
          <w:szCs w:val="24"/>
          <w:lang w:val="nl-BE"/>
        </w:rPr>
        <w:tab/>
        <w:t>Indien de portefeuille betrekking heeft op arbeidsongevallenrisico's, een bevestiging van de naleving van de specifieke bepalingen die voor dit type risico’s zijn vastgesteld.</w:t>
      </w:r>
    </w:p>
    <w:p w14:paraId="2D79B303" w14:textId="77777777" w:rsidR="0083479F" w:rsidRPr="00734345" w:rsidRDefault="0083479F" w:rsidP="00710D64">
      <w:pPr>
        <w:spacing w:before="240" w:after="120" w:line="260" w:lineRule="atLeast"/>
        <w:ind w:left="567" w:hanging="567"/>
        <w:jc w:val="both"/>
        <w:rPr>
          <w:szCs w:val="24"/>
          <w:lang w:val="nl-BE"/>
        </w:rPr>
      </w:pPr>
      <w:r w:rsidRPr="00734345">
        <w:rPr>
          <w:szCs w:val="24"/>
          <w:lang w:val="nl-BE"/>
        </w:rPr>
        <w:t>5.2.</w:t>
      </w:r>
      <w:r w:rsidRPr="00734345">
        <w:rPr>
          <w:szCs w:val="24"/>
          <w:lang w:val="nl-BE"/>
        </w:rPr>
        <w:tab/>
        <w:t>Indien de portefeuille betrekking heeft op hypothecaire leningen, een bevestiging van de naleving van de wettelijke bepalingen ter zake.</w:t>
      </w:r>
    </w:p>
    <w:p w14:paraId="30D53C2E" w14:textId="77777777" w:rsidR="0083479F" w:rsidRPr="00734345" w:rsidRDefault="0083479F" w:rsidP="0083479F">
      <w:pPr>
        <w:tabs>
          <w:tab w:val="clear" w:pos="284"/>
        </w:tabs>
        <w:spacing w:line="240" w:lineRule="auto"/>
        <w:rPr>
          <w:lang w:val="nl-BE"/>
        </w:rPr>
      </w:pPr>
    </w:p>
    <w:sectPr w:rsidR="0083479F" w:rsidRPr="00734345" w:rsidSect="00D850C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510" w:right="1134" w:bottom="1361" w:left="1418" w:header="397" w:footer="119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E3595" w14:textId="77777777" w:rsidR="00055E48" w:rsidRDefault="00055E48">
      <w:r>
        <w:separator/>
      </w:r>
    </w:p>
  </w:endnote>
  <w:endnote w:type="continuationSeparator" w:id="0">
    <w:p w14:paraId="784A5AA9" w14:textId="77777777" w:rsidR="00055E48" w:rsidRDefault="0005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ACF30" w14:textId="384E7B91" w:rsidR="00E87276" w:rsidRPr="00055E48" w:rsidRDefault="00055E48" w:rsidP="00E87276">
    <w:pPr>
      <w:pStyle w:val="Footer"/>
      <w:pBdr>
        <w:top w:val="single" w:sz="4" w:space="1" w:color="auto"/>
      </w:pBdr>
      <w:rPr>
        <w:b/>
        <w:sz w:val="16"/>
        <w:szCs w:val="16"/>
        <w:lang w:val="nl-BE"/>
      </w:rPr>
    </w:pPr>
    <w:r>
      <w:rPr>
        <w:b/>
        <w:sz w:val="16"/>
        <w:szCs w:val="16"/>
        <w:lang w:val="nl-BE"/>
      </w:rPr>
      <w:t xml:space="preserve">Bijlage </w:t>
    </w:r>
    <w:r w:rsidR="001B326A">
      <w:rPr>
        <w:b/>
        <w:sz w:val="16"/>
        <w:szCs w:val="16"/>
        <w:lang w:val="nl-BE"/>
      </w:rPr>
      <w:t>2</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sidR="001B326A">
      <w:rPr>
        <w:b/>
        <w:noProof/>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sidR="001B326A">
      <w:rPr>
        <w:b/>
        <w:noProof/>
        <w:sz w:val="16"/>
        <w:szCs w:val="16"/>
        <w:lang w:val="nl-BE"/>
      </w:rPr>
      <w:t>3</w:t>
    </w:r>
    <w:r>
      <w:rPr>
        <w:b/>
        <w:sz w:val="16"/>
        <w:szCs w:val="16"/>
        <w:lang w:val="nl-BE"/>
      </w:rPr>
      <w:fldChar w:fldCharType="end"/>
    </w:r>
    <w:r>
      <w:rPr>
        <w:b/>
        <w:sz w:val="16"/>
        <w:szCs w:val="16"/>
        <w:lang w:val="nl-BE"/>
      </w:rPr>
      <w:tab/>
    </w:r>
    <w:r w:rsidR="002C2DB7">
      <w:rPr>
        <w:sz w:val="14"/>
        <w:szCs w:val="16"/>
        <w:lang w:val="nl-BE"/>
      </w:rPr>
      <w:t>NBB_20</w:t>
    </w:r>
    <w:r w:rsidR="008422B0">
      <w:rPr>
        <w:sz w:val="14"/>
        <w:szCs w:val="16"/>
        <w:lang w:val="nl-BE"/>
      </w:rPr>
      <w:t>20</w:t>
    </w:r>
    <w:r w:rsidR="002C2DB7">
      <w:rPr>
        <w:sz w:val="14"/>
        <w:szCs w:val="16"/>
        <w:lang w:val="nl-BE"/>
      </w:rPr>
      <w:t>_</w:t>
    </w:r>
    <w:r w:rsidR="00D41A26">
      <w:rPr>
        <w:sz w:val="14"/>
        <w:szCs w:val="16"/>
        <w:lang w:val="nl-BE"/>
      </w:rPr>
      <w:t>0</w:t>
    </w:r>
    <w:r w:rsidR="00251C5C">
      <w:rPr>
        <w:sz w:val="14"/>
        <w:szCs w:val="16"/>
        <w:lang w:val="nl-BE"/>
      </w:rPr>
      <w:t>0</w:t>
    </w:r>
    <w:r w:rsidR="00D41A26">
      <w:rPr>
        <w:sz w:val="14"/>
        <w:szCs w:val="16"/>
        <w:lang w:val="nl-BE"/>
      </w:rPr>
      <w:t>6</w:t>
    </w:r>
    <w:r w:rsidR="002C2DB7">
      <w:rPr>
        <w:rFonts w:cs="Arial"/>
        <w:sz w:val="14"/>
        <w:szCs w:val="16"/>
        <w:lang w:val="nl-BE"/>
      </w:rPr>
      <w:t> </w:t>
    </w:r>
    <w:r w:rsidR="002C2DB7">
      <w:rPr>
        <w:rFonts w:cs="Arial"/>
        <w:sz w:val="14"/>
        <w:szCs w:val="16"/>
        <w:lang w:val="nl-BE"/>
      </w:rPr>
      <w:t>–</w:t>
    </w:r>
    <w:r w:rsidR="002C2DB7">
      <w:rPr>
        <w:rFonts w:cs="Arial"/>
        <w:sz w:val="14"/>
        <w:szCs w:val="16"/>
        <w:lang w:val="nl-BE"/>
      </w:rPr>
      <w:t> </w:t>
    </w:r>
    <w:r w:rsidR="00D41A26">
      <w:rPr>
        <w:rFonts w:cs="Arial"/>
        <w:sz w:val="14"/>
        <w:szCs w:val="16"/>
        <w:lang w:val="nl-BE"/>
      </w:rPr>
      <w:t>17 maart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6A95" w14:textId="35E74A56" w:rsidR="00450949" w:rsidRPr="00055E48" w:rsidRDefault="00055E48" w:rsidP="00F64E38">
    <w:pPr>
      <w:pStyle w:val="Footer"/>
      <w:pBdr>
        <w:top w:val="single" w:sz="4" w:space="1" w:color="auto"/>
      </w:pBdr>
      <w:rPr>
        <w:b/>
        <w:sz w:val="16"/>
        <w:szCs w:val="14"/>
        <w:lang w:val="nl-BE"/>
      </w:rPr>
    </w:pPr>
    <w:r>
      <w:rPr>
        <w:b/>
        <w:sz w:val="16"/>
        <w:szCs w:val="14"/>
        <w:lang w:val="nl-BE"/>
      </w:rPr>
      <w:tab/>
    </w:r>
    <w:r w:rsidR="002C2DB7">
      <w:rPr>
        <w:sz w:val="14"/>
        <w:szCs w:val="16"/>
        <w:lang w:val="nl-BE"/>
      </w:rPr>
      <w:t>NBB_20</w:t>
    </w:r>
    <w:r w:rsidR="00453943">
      <w:rPr>
        <w:sz w:val="14"/>
        <w:szCs w:val="16"/>
        <w:lang w:val="nl-BE"/>
      </w:rPr>
      <w:t>2</w:t>
    </w:r>
    <w:r w:rsidR="00D41A26">
      <w:rPr>
        <w:sz w:val="14"/>
        <w:szCs w:val="16"/>
        <w:lang w:val="nl-BE"/>
      </w:rPr>
      <w:t>1</w:t>
    </w:r>
    <w:r w:rsidR="002C2DB7">
      <w:rPr>
        <w:sz w:val="14"/>
        <w:szCs w:val="16"/>
        <w:lang w:val="nl-BE"/>
      </w:rPr>
      <w:t>_</w:t>
    </w:r>
    <w:r w:rsidR="00251C5C">
      <w:rPr>
        <w:sz w:val="14"/>
        <w:szCs w:val="16"/>
        <w:lang w:val="nl-BE"/>
      </w:rPr>
      <w:t>0</w:t>
    </w:r>
    <w:r w:rsidR="00D41A26">
      <w:rPr>
        <w:sz w:val="14"/>
        <w:szCs w:val="16"/>
        <w:lang w:val="nl-BE"/>
      </w:rPr>
      <w:t>06</w:t>
    </w:r>
    <w:r w:rsidR="002C2DB7">
      <w:rPr>
        <w:rFonts w:cs="Arial"/>
        <w:sz w:val="14"/>
        <w:szCs w:val="16"/>
        <w:lang w:val="nl-BE"/>
      </w:rPr>
      <w:t> </w:t>
    </w:r>
    <w:r w:rsidR="002C2DB7">
      <w:rPr>
        <w:rFonts w:cs="Arial"/>
        <w:sz w:val="14"/>
        <w:szCs w:val="16"/>
        <w:lang w:val="nl-BE"/>
      </w:rPr>
      <w:t>–</w:t>
    </w:r>
    <w:r w:rsidR="002C2DB7">
      <w:rPr>
        <w:rFonts w:cs="Arial"/>
        <w:sz w:val="14"/>
        <w:szCs w:val="16"/>
        <w:lang w:val="nl-BE"/>
      </w:rPr>
      <w:t> </w:t>
    </w:r>
    <w:r w:rsidR="00D41A26">
      <w:rPr>
        <w:rFonts w:cs="Arial"/>
        <w:sz w:val="14"/>
        <w:szCs w:val="16"/>
        <w:lang w:val="nl-BE"/>
      </w:rPr>
      <w:t>17 maart 2021</w:t>
    </w:r>
    <w:r>
      <w:rPr>
        <w:b/>
        <w:sz w:val="16"/>
        <w:szCs w:val="14"/>
        <w:lang w:val="nl-BE"/>
      </w:rPr>
      <w:tab/>
      <w:t xml:space="preserve">Bijlage </w:t>
    </w:r>
    <w:r w:rsidR="001B326A">
      <w:rPr>
        <w:b/>
        <w:sz w:val="16"/>
        <w:szCs w:val="14"/>
        <w:lang w:val="nl-BE"/>
      </w:rPr>
      <w:t>2</w:t>
    </w:r>
    <w:r>
      <w:rPr>
        <w:rFonts w:cs="Arial"/>
        <w:b/>
        <w:sz w:val="16"/>
        <w:szCs w:val="14"/>
        <w:lang w:val="nl-BE"/>
      </w:rPr>
      <w:t> </w:t>
    </w:r>
    <w:r>
      <w:rPr>
        <w:rFonts w:cs="Arial"/>
        <w:b/>
        <w:sz w:val="16"/>
        <w:szCs w:val="14"/>
        <w:lang w:val="nl-BE"/>
      </w:rPr>
      <w:t>–</w:t>
    </w:r>
    <w:r>
      <w:rPr>
        <w:rFonts w:cs="Arial"/>
        <w:b/>
        <w:sz w:val="16"/>
        <w:szCs w:val="14"/>
        <w:lang w:val="nl-BE"/>
      </w:rPr>
      <w:t> </w:t>
    </w:r>
    <w:r>
      <w:rPr>
        <w:b/>
        <w:sz w:val="16"/>
        <w:szCs w:val="14"/>
        <w:lang w:val="nl-BE"/>
      </w:rPr>
      <w:t xml:space="preserve">Blz. </w:t>
    </w:r>
    <w:r>
      <w:rPr>
        <w:b/>
        <w:sz w:val="16"/>
        <w:szCs w:val="14"/>
        <w:lang w:val="nl-BE"/>
      </w:rPr>
      <w:fldChar w:fldCharType="begin"/>
    </w:r>
    <w:r>
      <w:rPr>
        <w:b/>
        <w:sz w:val="16"/>
        <w:szCs w:val="14"/>
        <w:lang w:val="nl-BE"/>
      </w:rPr>
      <w:instrText xml:space="preserve"> PAGE   </w:instrText>
    </w:r>
    <w:r>
      <w:rPr>
        <w:b/>
        <w:sz w:val="16"/>
        <w:szCs w:val="14"/>
        <w:lang w:val="nl-BE"/>
      </w:rPr>
      <w:fldChar w:fldCharType="separate"/>
    </w:r>
    <w:r w:rsidR="001B326A">
      <w:rPr>
        <w:b/>
        <w:noProof/>
        <w:sz w:val="16"/>
        <w:szCs w:val="14"/>
        <w:lang w:val="nl-BE"/>
      </w:rPr>
      <w:t>3</w:t>
    </w:r>
    <w:r>
      <w:rPr>
        <w:b/>
        <w:sz w:val="16"/>
        <w:szCs w:val="14"/>
        <w:lang w:val="nl-BE"/>
      </w:rPr>
      <w:fldChar w:fldCharType="end"/>
    </w:r>
    <w:r>
      <w:rPr>
        <w:b/>
        <w:sz w:val="16"/>
        <w:szCs w:val="14"/>
        <w:lang w:val="nl-BE"/>
      </w:rPr>
      <w:t>/</w:t>
    </w:r>
    <w:r>
      <w:rPr>
        <w:b/>
        <w:sz w:val="16"/>
        <w:szCs w:val="14"/>
        <w:lang w:val="nl-BE"/>
      </w:rPr>
      <w:fldChar w:fldCharType="begin"/>
    </w:r>
    <w:r>
      <w:rPr>
        <w:b/>
        <w:sz w:val="16"/>
        <w:szCs w:val="14"/>
        <w:lang w:val="nl-BE"/>
      </w:rPr>
      <w:instrText xml:space="preserve"> NUMPAGES   </w:instrText>
    </w:r>
    <w:r>
      <w:rPr>
        <w:b/>
        <w:sz w:val="16"/>
        <w:szCs w:val="14"/>
        <w:lang w:val="nl-BE"/>
      </w:rPr>
      <w:fldChar w:fldCharType="separate"/>
    </w:r>
    <w:r w:rsidR="001B326A">
      <w:rPr>
        <w:b/>
        <w:noProof/>
        <w:sz w:val="16"/>
        <w:szCs w:val="14"/>
        <w:lang w:val="nl-BE"/>
      </w:rPr>
      <w:t>3</w:t>
    </w:r>
    <w:r>
      <w:rPr>
        <w:b/>
        <w:sz w:val="16"/>
        <w:szCs w:val="14"/>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473CF" w14:textId="3E1C2EB2" w:rsidR="00450949" w:rsidRPr="00055E48" w:rsidRDefault="00055E48" w:rsidP="00CB2202">
    <w:pPr>
      <w:pStyle w:val="Footer"/>
      <w:pBdr>
        <w:top w:val="single" w:sz="4" w:space="1" w:color="auto"/>
      </w:pBdr>
      <w:rPr>
        <w:b/>
        <w:sz w:val="16"/>
        <w:szCs w:val="16"/>
        <w:lang w:val="nl-BE"/>
      </w:rPr>
    </w:pPr>
    <w:r>
      <w:rPr>
        <w:b/>
        <w:sz w:val="16"/>
        <w:szCs w:val="16"/>
        <w:lang w:val="nl-BE"/>
      </w:rPr>
      <w:tab/>
    </w:r>
    <w:r>
      <w:rPr>
        <w:sz w:val="14"/>
        <w:szCs w:val="16"/>
        <w:lang w:val="nl-BE"/>
      </w:rPr>
      <w:t>NBB_</w:t>
    </w:r>
    <w:r w:rsidR="000E5D89">
      <w:rPr>
        <w:sz w:val="14"/>
        <w:szCs w:val="16"/>
        <w:lang w:val="nl-BE"/>
      </w:rPr>
      <w:t>202</w:t>
    </w:r>
    <w:r w:rsidR="00D41A26">
      <w:rPr>
        <w:sz w:val="14"/>
        <w:szCs w:val="16"/>
        <w:lang w:val="nl-BE"/>
      </w:rPr>
      <w:t>1</w:t>
    </w:r>
    <w:r w:rsidR="002C2DB7">
      <w:rPr>
        <w:sz w:val="14"/>
        <w:szCs w:val="16"/>
        <w:lang w:val="nl-BE"/>
      </w:rPr>
      <w:t>_</w:t>
    </w:r>
    <w:r w:rsidR="00D41A26">
      <w:rPr>
        <w:sz w:val="14"/>
        <w:szCs w:val="16"/>
        <w:lang w:val="nl-BE"/>
      </w:rPr>
      <w:t>0</w:t>
    </w:r>
    <w:r w:rsidR="005D1BF8">
      <w:rPr>
        <w:sz w:val="14"/>
        <w:szCs w:val="16"/>
        <w:lang w:val="nl-BE"/>
      </w:rPr>
      <w:t>0</w:t>
    </w:r>
    <w:r w:rsidR="00D41A26">
      <w:rPr>
        <w:sz w:val="14"/>
        <w:szCs w:val="16"/>
        <w:lang w:val="nl-BE"/>
      </w:rPr>
      <w:t>6</w:t>
    </w:r>
    <w:r>
      <w:rPr>
        <w:rFonts w:cs="Arial"/>
        <w:sz w:val="14"/>
        <w:szCs w:val="16"/>
        <w:lang w:val="nl-BE"/>
      </w:rPr>
      <w:t> </w:t>
    </w:r>
    <w:r>
      <w:rPr>
        <w:rFonts w:cs="Arial"/>
        <w:sz w:val="14"/>
        <w:szCs w:val="16"/>
        <w:lang w:val="nl-BE"/>
      </w:rPr>
      <w:t>–</w:t>
    </w:r>
    <w:r>
      <w:rPr>
        <w:rFonts w:cs="Arial"/>
        <w:sz w:val="14"/>
        <w:szCs w:val="16"/>
        <w:lang w:val="nl-BE"/>
      </w:rPr>
      <w:t> </w:t>
    </w:r>
    <w:r w:rsidR="00D41A26">
      <w:rPr>
        <w:rFonts w:cs="Arial"/>
        <w:sz w:val="14"/>
        <w:szCs w:val="16"/>
        <w:lang w:val="nl-BE"/>
      </w:rPr>
      <w:t>17 maart 2021</w:t>
    </w:r>
    <w:r>
      <w:rPr>
        <w:b/>
        <w:sz w:val="16"/>
        <w:szCs w:val="16"/>
        <w:lang w:val="nl-BE"/>
      </w:rPr>
      <w:tab/>
      <w:t xml:space="preserve">Bijlage </w:t>
    </w:r>
    <w:r w:rsidR="001B326A">
      <w:rPr>
        <w:b/>
        <w:sz w:val="16"/>
        <w:szCs w:val="16"/>
        <w:lang w:val="nl-BE"/>
      </w:rPr>
      <w:t>2</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sidR="001B326A">
      <w:rPr>
        <w:b/>
        <w:noProof/>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sidR="001B326A">
      <w:rPr>
        <w:b/>
        <w:noProof/>
        <w:sz w:val="16"/>
        <w:szCs w:val="16"/>
        <w:lang w:val="nl-BE"/>
      </w:rPr>
      <w:t>3</w:t>
    </w:r>
    <w:r>
      <w:rPr>
        <w:b/>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BACDB" w14:textId="77777777" w:rsidR="00055E48" w:rsidRPr="00117F31" w:rsidRDefault="00055E48" w:rsidP="00117F31">
      <w:pPr>
        <w:pStyle w:val="Footer"/>
      </w:pPr>
    </w:p>
  </w:footnote>
  <w:footnote w:type="continuationSeparator" w:id="0">
    <w:p w14:paraId="6D9333AF" w14:textId="77777777" w:rsidR="00055E48" w:rsidRPr="00117F31" w:rsidRDefault="00055E48" w:rsidP="00117F31">
      <w:pPr>
        <w:pStyle w:val="Footer"/>
      </w:pPr>
    </w:p>
  </w:footnote>
  <w:footnote w:type="continuationNotice" w:id="1">
    <w:p w14:paraId="3D135B9C" w14:textId="77777777" w:rsidR="00055E48" w:rsidRDefault="00055E48"/>
  </w:footnote>
  <w:footnote w:id="2">
    <w:p w14:paraId="3C1A5CA9" w14:textId="4F9095C1" w:rsidR="00734345" w:rsidRPr="0098393E" w:rsidRDefault="00734345" w:rsidP="0098393E">
      <w:pPr>
        <w:pStyle w:val="FootnoteText"/>
        <w:spacing w:line="240" w:lineRule="auto"/>
        <w:jc w:val="both"/>
        <w:rPr>
          <w:sz w:val="16"/>
          <w:szCs w:val="16"/>
          <w:lang w:val="nl-BE"/>
        </w:rPr>
      </w:pPr>
      <w:r w:rsidRPr="0098393E">
        <w:rPr>
          <w:rStyle w:val="FootnoteReference"/>
        </w:rPr>
        <w:footnoteRef/>
      </w:r>
      <w:r w:rsidRPr="0098393E">
        <w:rPr>
          <w:sz w:val="16"/>
          <w:szCs w:val="16"/>
          <w:lang w:val="nl-BE"/>
        </w:rPr>
        <w:tab/>
        <w:t>Zie mededeling 2017_22 aan de kandidaat-aandeelhouders en aan de overdragers en circulaire 2017_23 aan de financiële instellingen over verwervingen, vergrotingen, verkleiningen of overdrachten van gekwalificeerde deelnemingen</w:t>
      </w:r>
      <w:r w:rsidR="00453943" w:rsidRPr="0098393E">
        <w:rPr>
          <w:sz w:val="16"/>
          <w:szCs w:val="16"/>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B0966" w14:textId="77777777" w:rsidR="00450949" w:rsidRDefault="00450949" w:rsidP="00E829D6">
    <w:pPr>
      <w:pStyle w:val="Header"/>
      <w:tabs>
        <w:tab w:val="clear" w:pos="4394"/>
        <w:tab w:val="center" w:pos="4395"/>
      </w:tabs>
      <w:rPr>
        <w:lang w:val="nl-BE"/>
      </w:rPr>
    </w:pPr>
  </w:p>
  <w:p w14:paraId="33947EF9" w14:textId="77777777" w:rsidR="00450949" w:rsidRPr="00BF29ED" w:rsidRDefault="00450949"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09701" w14:textId="77777777" w:rsidR="00450949" w:rsidRDefault="00450949" w:rsidP="00D850C8">
    <w:pPr>
      <w:pStyle w:val="Header"/>
      <w:rPr>
        <w:lang w:val="nl-BE"/>
      </w:rPr>
    </w:pPr>
  </w:p>
  <w:p w14:paraId="1ECDA987" w14:textId="77777777" w:rsidR="00450949" w:rsidRPr="00D850C8" w:rsidRDefault="00450949" w:rsidP="00D850C8">
    <w:pPr>
      <w:pStyle w:val="Header"/>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B93B6" w14:textId="77777777" w:rsidR="00251C5C" w:rsidRDefault="00251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0C4C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56B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C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54D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C28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1" w15:restartNumberingAfterBreak="0">
    <w:nsid w:val="153670E0"/>
    <w:multiLevelType w:val="hybridMultilevel"/>
    <w:tmpl w:val="2D98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3" w15:restartNumberingAfterBreak="0">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4" w15:restartNumberingAfterBreak="0">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6" w15:restartNumberingAfterBreak="0">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7" w15:restartNumberingAfterBreak="0">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8" w15:restartNumberingAfterBreak="0">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9" w15:restartNumberingAfterBreak="0">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5" w15:restartNumberingAfterBreak="0">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25510B2"/>
    <w:multiLevelType w:val="hybridMultilevel"/>
    <w:tmpl w:val="1E0280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1" w15:restartNumberingAfterBreak="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5"/>
  </w:num>
  <w:num w:numId="12">
    <w:abstractNumId w:val="20"/>
  </w:num>
  <w:num w:numId="13">
    <w:abstractNumId w:val="29"/>
  </w:num>
  <w:num w:numId="14">
    <w:abstractNumId w:val="22"/>
  </w:num>
  <w:num w:numId="15">
    <w:abstractNumId w:val="19"/>
  </w:num>
  <w:num w:numId="16">
    <w:abstractNumId w:val="14"/>
  </w:num>
  <w:num w:numId="17">
    <w:abstractNumId w:val="30"/>
  </w:num>
  <w:num w:numId="18">
    <w:abstractNumId w:val="13"/>
  </w:num>
  <w:num w:numId="19">
    <w:abstractNumId w:val="15"/>
  </w:num>
  <w:num w:numId="20">
    <w:abstractNumId w:val="31"/>
  </w:num>
  <w:num w:numId="21">
    <w:abstractNumId w:val="12"/>
  </w:num>
  <w:num w:numId="22">
    <w:abstractNumId w:val="23"/>
  </w:num>
  <w:num w:numId="23">
    <w:abstractNumId w:val="27"/>
  </w:num>
  <w:num w:numId="24">
    <w:abstractNumId w:val="17"/>
  </w:num>
  <w:num w:numId="25">
    <w:abstractNumId w:val="16"/>
  </w:num>
  <w:num w:numId="26">
    <w:abstractNumId w:val="24"/>
  </w:num>
  <w:num w:numId="27">
    <w:abstractNumId w:val="10"/>
  </w:num>
  <w:num w:numId="28">
    <w:abstractNumId w:val="18"/>
  </w:num>
  <w:num w:numId="29">
    <w:abstractNumId w:val="28"/>
  </w:num>
  <w:num w:numId="30">
    <w:abstractNumId w:val="21"/>
  </w:num>
  <w:num w:numId="31">
    <w:abstractNumId w:val="1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hideGrammaticalErrors/>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48"/>
    <w:rsid w:val="00024A9E"/>
    <w:rsid w:val="000327D2"/>
    <w:rsid w:val="0003333C"/>
    <w:rsid w:val="00036E81"/>
    <w:rsid w:val="0004319E"/>
    <w:rsid w:val="0004570B"/>
    <w:rsid w:val="00051F2C"/>
    <w:rsid w:val="00053EEF"/>
    <w:rsid w:val="00055E48"/>
    <w:rsid w:val="00062C1B"/>
    <w:rsid w:val="00064AC6"/>
    <w:rsid w:val="00082FA7"/>
    <w:rsid w:val="000869C2"/>
    <w:rsid w:val="00090275"/>
    <w:rsid w:val="00097598"/>
    <w:rsid w:val="000A1DA9"/>
    <w:rsid w:val="000B6441"/>
    <w:rsid w:val="000B68AE"/>
    <w:rsid w:val="000C35AA"/>
    <w:rsid w:val="000C37AB"/>
    <w:rsid w:val="000C7C77"/>
    <w:rsid w:val="000D10C0"/>
    <w:rsid w:val="000D405E"/>
    <w:rsid w:val="000E0090"/>
    <w:rsid w:val="000E2A68"/>
    <w:rsid w:val="000E5D89"/>
    <w:rsid w:val="000F1EB6"/>
    <w:rsid w:val="000F7268"/>
    <w:rsid w:val="000F7C34"/>
    <w:rsid w:val="001126F5"/>
    <w:rsid w:val="00114821"/>
    <w:rsid w:val="00117F31"/>
    <w:rsid w:val="00124312"/>
    <w:rsid w:val="0012433D"/>
    <w:rsid w:val="00124AA8"/>
    <w:rsid w:val="00133D4B"/>
    <w:rsid w:val="00145EF1"/>
    <w:rsid w:val="00147933"/>
    <w:rsid w:val="001516F5"/>
    <w:rsid w:val="0015337A"/>
    <w:rsid w:val="00154310"/>
    <w:rsid w:val="001548A9"/>
    <w:rsid w:val="00155349"/>
    <w:rsid w:val="00160D31"/>
    <w:rsid w:val="00167ACD"/>
    <w:rsid w:val="00172DAF"/>
    <w:rsid w:val="00175ADE"/>
    <w:rsid w:val="001763C2"/>
    <w:rsid w:val="001767CB"/>
    <w:rsid w:val="0018615D"/>
    <w:rsid w:val="00186EC7"/>
    <w:rsid w:val="0019158E"/>
    <w:rsid w:val="00197FEB"/>
    <w:rsid w:val="001A1D68"/>
    <w:rsid w:val="001A7DC7"/>
    <w:rsid w:val="001B326A"/>
    <w:rsid w:val="001B4EEE"/>
    <w:rsid w:val="001B7F21"/>
    <w:rsid w:val="001D503F"/>
    <w:rsid w:val="001F1805"/>
    <w:rsid w:val="001F711D"/>
    <w:rsid w:val="00200D79"/>
    <w:rsid w:val="00202B0B"/>
    <w:rsid w:val="00204BE8"/>
    <w:rsid w:val="00215E02"/>
    <w:rsid w:val="00221231"/>
    <w:rsid w:val="00223911"/>
    <w:rsid w:val="002307B0"/>
    <w:rsid w:val="00231694"/>
    <w:rsid w:val="002333AF"/>
    <w:rsid w:val="00233828"/>
    <w:rsid w:val="002406B2"/>
    <w:rsid w:val="002477FA"/>
    <w:rsid w:val="00251C5C"/>
    <w:rsid w:val="002554D2"/>
    <w:rsid w:val="00261D63"/>
    <w:rsid w:val="002754A4"/>
    <w:rsid w:val="00275C1C"/>
    <w:rsid w:val="00276804"/>
    <w:rsid w:val="00277EDB"/>
    <w:rsid w:val="002859A3"/>
    <w:rsid w:val="00287538"/>
    <w:rsid w:val="0028790D"/>
    <w:rsid w:val="002B5743"/>
    <w:rsid w:val="002C2DB7"/>
    <w:rsid w:val="002D5723"/>
    <w:rsid w:val="002D75B3"/>
    <w:rsid w:val="002E10A2"/>
    <w:rsid w:val="002E15B9"/>
    <w:rsid w:val="002E409B"/>
    <w:rsid w:val="002E5144"/>
    <w:rsid w:val="002E5FFE"/>
    <w:rsid w:val="002F1611"/>
    <w:rsid w:val="003116AA"/>
    <w:rsid w:val="003135E6"/>
    <w:rsid w:val="003364D4"/>
    <w:rsid w:val="00336912"/>
    <w:rsid w:val="003419C5"/>
    <w:rsid w:val="00352B22"/>
    <w:rsid w:val="00353178"/>
    <w:rsid w:val="00353E3D"/>
    <w:rsid w:val="00354956"/>
    <w:rsid w:val="00362513"/>
    <w:rsid w:val="00365065"/>
    <w:rsid w:val="00365FFE"/>
    <w:rsid w:val="0037191D"/>
    <w:rsid w:val="00377371"/>
    <w:rsid w:val="003802EE"/>
    <w:rsid w:val="0038095A"/>
    <w:rsid w:val="00381F4A"/>
    <w:rsid w:val="00383392"/>
    <w:rsid w:val="00387716"/>
    <w:rsid w:val="00395A49"/>
    <w:rsid w:val="00397DDA"/>
    <w:rsid w:val="003A3CC6"/>
    <w:rsid w:val="003B1662"/>
    <w:rsid w:val="003B7866"/>
    <w:rsid w:val="003D7096"/>
    <w:rsid w:val="003E4928"/>
    <w:rsid w:val="003F2836"/>
    <w:rsid w:val="003F792F"/>
    <w:rsid w:val="004003CC"/>
    <w:rsid w:val="00407822"/>
    <w:rsid w:val="00412C56"/>
    <w:rsid w:val="0042595A"/>
    <w:rsid w:val="004275C8"/>
    <w:rsid w:val="004449B7"/>
    <w:rsid w:val="00450949"/>
    <w:rsid w:val="00453943"/>
    <w:rsid w:val="004540E1"/>
    <w:rsid w:val="00454C65"/>
    <w:rsid w:val="00456DEB"/>
    <w:rsid w:val="004619EE"/>
    <w:rsid w:val="00464101"/>
    <w:rsid w:val="004679FA"/>
    <w:rsid w:val="00477F18"/>
    <w:rsid w:val="00485F3C"/>
    <w:rsid w:val="004A477F"/>
    <w:rsid w:val="004A4C5C"/>
    <w:rsid w:val="004B400F"/>
    <w:rsid w:val="004C14FA"/>
    <w:rsid w:val="004C2424"/>
    <w:rsid w:val="004D12DD"/>
    <w:rsid w:val="004E136D"/>
    <w:rsid w:val="004F04DA"/>
    <w:rsid w:val="004F0F6B"/>
    <w:rsid w:val="004F41BA"/>
    <w:rsid w:val="005033DA"/>
    <w:rsid w:val="0050792E"/>
    <w:rsid w:val="0051268A"/>
    <w:rsid w:val="00552963"/>
    <w:rsid w:val="0055492B"/>
    <w:rsid w:val="00557A3F"/>
    <w:rsid w:val="0056043D"/>
    <w:rsid w:val="005616A3"/>
    <w:rsid w:val="00561A9A"/>
    <w:rsid w:val="005640B5"/>
    <w:rsid w:val="00567693"/>
    <w:rsid w:val="00571A24"/>
    <w:rsid w:val="00582D56"/>
    <w:rsid w:val="00592469"/>
    <w:rsid w:val="00592957"/>
    <w:rsid w:val="005932C7"/>
    <w:rsid w:val="0059396D"/>
    <w:rsid w:val="005A3DA7"/>
    <w:rsid w:val="005B4C1C"/>
    <w:rsid w:val="005B7CA4"/>
    <w:rsid w:val="005C1B25"/>
    <w:rsid w:val="005C3450"/>
    <w:rsid w:val="005C3F84"/>
    <w:rsid w:val="005D1BF8"/>
    <w:rsid w:val="005E33F6"/>
    <w:rsid w:val="006107D5"/>
    <w:rsid w:val="00610B4E"/>
    <w:rsid w:val="00611E02"/>
    <w:rsid w:val="00627AF2"/>
    <w:rsid w:val="0063089E"/>
    <w:rsid w:val="0063141C"/>
    <w:rsid w:val="006316A4"/>
    <w:rsid w:val="00631E3C"/>
    <w:rsid w:val="00634558"/>
    <w:rsid w:val="00635AD7"/>
    <w:rsid w:val="00635DCE"/>
    <w:rsid w:val="006372C7"/>
    <w:rsid w:val="006376E3"/>
    <w:rsid w:val="006506E6"/>
    <w:rsid w:val="00651843"/>
    <w:rsid w:val="00653A88"/>
    <w:rsid w:val="006602F1"/>
    <w:rsid w:val="006626A0"/>
    <w:rsid w:val="00667481"/>
    <w:rsid w:val="006703F5"/>
    <w:rsid w:val="0067198D"/>
    <w:rsid w:val="0068065A"/>
    <w:rsid w:val="00683802"/>
    <w:rsid w:val="0068679D"/>
    <w:rsid w:val="0069769C"/>
    <w:rsid w:val="00697CF5"/>
    <w:rsid w:val="00697F48"/>
    <w:rsid w:val="006A3829"/>
    <w:rsid w:val="006B6BFC"/>
    <w:rsid w:val="006D409C"/>
    <w:rsid w:val="006E7D13"/>
    <w:rsid w:val="00702DA6"/>
    <w:rsid w:val="00706B32"/>
    <w:rsid w:val="0071004E"/>
    <w:rsid w:val="00710D64"/>
    <w:rsid w:val="00714070"/>
    <w:rsid w:val="007148AA"/>
    <w:rsid w:val="00730DDA"/>
    <w:rsid w:val="00733829"/>
    <w:rsid w:val="00733DE9"/>
    <w:rsid w:val="00734345"/>
    <w:rsid w:val="00741E9C"/>
    <w:rsid w:val="007459B1"/>
    <w:rsid w:val="00750B57"/>
    <w:rsid w:val="00752FC4"/>
    <w:rsid w:val="007552CF"/>
    <w:rsid w:val="007654E7"/>
    <w:rsid w:val="00766F4D"/>
    <w:rsid w:val="0077019B"/>
    <w:rsid w:val="00773E81"/>
    <w:rsid w:val="00785B6F"/>
    <w:rsid w:val="00787601"/>
    <w:rsid w:val="00795016"/>
    <w:rsid w:val="00796920"/>
    <w:rsid w:val="00797BED"/>
    <w:rsid w:val="007A1C59"/>
    <w:rsid w:val="007A1F21"/>
    <w:rsid w:val="007A3EF3"/>
    <w:rsid w:val="007A552B"/>
    <w:rsid w:val="007A6D1E"/>
    <w:rsid w:val="007B25F7"/>
    <w:rsid w:val="007B793B"/>
    <w:rsid w:val="007C6D45"/>
    <w:rsid w:val="007E0494"/>
    <w:rsid w:val="007E0667"/>
    <w:rsid w:val="007E71C9"/>
    <w:rsid w:val="007F0A8C"/>
    <w:rsid w:val="007F462A"/>
    <w:rsid w:val="007F5AF5"/>
    <w:rsid w:val="007F78DB"/>
    <w:rsid w:val="00802ECF"/>
    <w:rsid w:val="00804480"/>
    <w:rsid w:val="00805AFA"/>
    <w:rsid w:val="0081015C"/>
    <w:rsid w:val="00814FBE"/>
    <w:rsid w:val="00821F74"/>
    <w:rsid w:val="00822375"/>
    <w:rsid w:val="00824A23"/>
    <w:rsid w:val="0083479F"/>
    <w:rsid w:val="00836C05"/>
    <w:rsid w:val="008422B0"/>
    <w:rsid w:val="008437C4"/>
    <w:rsid w:val="00843F67"/>
    <w:rsid w:val="00847145"/>
    <w:rsid w:val="008503E8"/>
    <w:rsid w:val="008837CF"/>
    <w:rsid w:val="00896CFE"/>
    <w:rsid w:val="008977A1"/>
    <w:rsid w:val="008C4032"/>
    <w:rsid w:val="008E5948"/>
    <w:rsid w:val="008E6931"/>
    <w:rsid w:val="0090354E"/>
    <w:rsid w:val="0090398E"/>
    <w:rsid w:val="00905D03"/>
    <w:rsid w:val="00914031"/>
    <w:rsid w:val="00932175"/>
    <w:rsid w:val="00935B26"/>
    <w:rsid w:val="00937808"/>
    <w:rsid w:val="00940C81"/>
    <w:rsid w:val="00942B19"/>
    <w:rsid w:val="00942EE2"/>
    <w:rsid w:val="009466D6"/>
    <w:rsid w:val="00950C45"/>
    <w:rsid w:val="00954143"/>
    <w:rsid w:val="009600D3"/>
    <w:rsid w:val="00974952"/>
    <w:rsid w:val="00983714"/>
    <w:rsid w:val="0098393E"/>
    <w:rsid w:val="00985229"/>
    <w:rsid w:val="00987DEA"/>
    <w:rsid w:val="00991E7A"/>
    <w:rsid w:val="009939BE"/>
    <w:rsid w:val="00994BF4"/>
    <w:rsid w:val="009A0346"/>
    <w:rsid w:val="009A140C"/>
    <w:rsid w:val="009B132A"/>
    <w:rsid w:val="009B6FA0"/>
    <w:rsid w:val="009C0BC7"/>
    <w:rsid w:val="009D10D0"/>
    <w:rsid w:val="009D1225"/>
    <w:rsid w:val="009D15BD"/>
    <w:rsid w:val="009D277D"/>
    <w:rsid w:val="009D3040"/>
    <w:rsid w:val="009D3082"/>
    <w:rsid w:val="009D784B"/>
    <w:rsid w:val="009E2A0A"/>
    <w:rsid w:val="009E56DB"/>
    <w:rsid w:val="00A01013"/>
    <w:rsid w:val="00A06B19"/>
    <w:rsid w:val="00A11F91"/>
    <w:rsid w:val="00A122B7"/>
    <w:rsid w:val="00A141C9"/>
    <w:rsid w:val="00A147E1"/>
    <w:rsid w:val="00A16F91"/>
    <w:rsid w:val="00A17571"/>
    <w:rsid w:val="00A22BEC"/>
    <w:rsid w:val="00A24A3D"/>
    <w:rsid w:val="00A2514A"/>
    <w:rsid w:val="00A25A33"/>
    <w:rsid w:val="00A267AD"/>
    <w:rsid w:val="00A351FF"/>
    <w:rsid w:val="00A355E9"/>
    <w:rsid w:val="00A47691"/>
    <w:rsid w:val="00A51FAA"/>
    <w:rsid w:val="00A55A96"/>
    <w:rsid w:val="00A56340"/>
    <w:rsid w:val="00A605D0"/>
    <w:rsid w:val="00A621A5"/>
    <w:rsid w:val="00A62501"/>
    <w:rsid w:val="00A679F2"/>
    <w:rsid w:val="00A709E5"/>
    <w:rsid w:val="00A7250C"/>
    <w:rsid w:val="00A73D60"/>
    <w:rsid w:val="00A876D8"/>
    <w:rsid w:val="00A912F7"/>
    <w:rsid w:val="00A973C8"/>
    <w:rsid w:val="00AA074E"/>
    <w:rsid w:val="00AB4D11"/>
    <w:rsid w:val="00AB5B67"/>
    <w:rsid w:val="00AB5F38"/>
    <w:rsid w:val="00AB6BD9"/>
    <w:rsid w:val="00AC619F"/>
    <w:rsid w:val="00AD6907"/>
    <w:rsid w:val="00AD7BAB"/>
    <w:rsid w:val="00AE028E"/>
    <w:rsid w:val="00AE0FA5"/>
    <w:rsid w:val="00AF77D2"/>
    <w:rsid w:val="00B04933"/>
    <w:rsid w:val="00B11BB2"/>
    <w:rsid w:val="00B144C0"/>
    <w:rsid w:val="00B338D7"/>
    <w:rsid w:val="00B34FEF"/>
    <w:rsid w:val="00B352D4"/>
    <w:rsid w:val="00B402AF"/>
    <w:rsid w:val="00B404A0"/>
    <w:rsid w:val="00B41942"/>
    <w:rsid w:val="00B44C6F"/>
    <w:rsid w:val="00B44D45"/>
    <w:rsid w:val="00B46BAE"/>
    <w:rsid w:val="00B52F2E"/>
    <w:rsid w:val="00B614D1"/>
    <w:rsid w:val="00B63B89"/>
    <w:rsid w:val="00B661C8"/>
    <w:rsid w:val="00B80CFD"/>
    <w:rsid w:val="00B83843"/>
    <w:rsid w:val="00B908B1"/>
    <w:rsid w:val="00B92424"/>
    <w:rsid w:val="00B97B40"/>
    <w:rsid w:val="00BC351F"/>
    <w:rsid w:val="00BD7A38"/>
    <w:rsid w:val="00BE0CD8"/>
    <w:rsid w:val="00BF29ED"/>
    <w:rsid w:val="00BF529D"/>
    <w:rsid w:val="00BF5C8A"/>
    <w:rsid w:val="00C0402A"/>
    <w:rsid w:val="00C0490F"/>
    <w:rsid w:val="00C079B3"/>
    <w:rsid w:val="00C24707"/>
    <w:rsid w:val="00C33CD7"/>
    <w:rsid w:val="00C34E1C"/>
    <w:rsid w:val="00C474DC"/>
    <w:rsid w:val="00C47857"/>
    <w:rsid w:val="00C5387A"/>
    <w:rsid w:val="00C563FE"/>
    <w:rsid w:val="00C61050"/>
    <w:rsid w:val="00C634C5"/>
    <w:rsid w:val="00C641E4"/>
    <w:rsid w:val="00C66480"/>
    <w:rsid w:val="00C753E9"/>
    <w:rsid w:val="00C81B69"/>
    <w:rsid w:val="00C84EA1"/>
    <w:rsid w:val="00C90176"/>
    <w:rsid w:val="00C9043A"/>
    <w:rsid w:val="00C94B35"/>
    <w:rsid w:val="00C961A9"/>
    <w:rsid w:val="00CA4E5F"/>
    <w:rsid w:val="00CA5A74"/>
    <w:rsid w:val="00CB2202"/>
    <w:rsid w:val="00CB30C8"/>
    <w:rsid w:val="00CB4A52"/>
    <w:rsid w:val="00CC0365"/>
    <w:rsid w:val="00CC4296"/>
    <w:rsid w:val="00CE5D84"/>
    <w:rsid w:val="00CF6318"/>
    <w:rsid w:val="00CF63B4"/>
    <w:rsid w:val="00D00492"/>
    <w:rsid w:val="00D05113"/>
    <w:rsid w:val="00D0540B"/>
    <w:rsid w:val="00D06A39"/>
    <w:rsid w:val="00D07BF7"/>
    <w:rsid w:val="00D231CE"/>
    <w:rsid w:val="00D25CC0"/>
    <w:rsid w:val="00D2603A"/>
    <w:rsid w:val="00D2703D"/>
    <w:rsid w:val="00D32B1A"/>
    <w:rsid w:val="00D346B5"/>
    <w:rsid w:val="00D36C5D"/>
    <w:rsid w:val="00D41A26"/>
    <w:rsid w:val="00D423C7"/>
    <w:rsid w:val="00D527DE"/>
    <w:rsid w:val="00D556C0"/>
    <w:rsid w:val="00D62D9B"/>
    <w:rsid w:val="00D63DA6"/>
    <w:rsid w:val="00D650B1"/>
    <w:rsid w:val="00D718C9"/>
    <w:rsid w:val="00D75B6C"/>
    <w:rsid w:val="00D82C98"/>
    <w:rsid w:val="00D850C8"/>
    <w:rsid w:val="00DB31C8"/>
    <w:rsid w:val="00DC0B0F"/>
    <w:rsid w:val="00DC1B28"/>
    <w:rsid w:val="00DC727C"/>
    <w:rsid w:val="00DD1D39"/>
    <w:rsid w:val="00DD2826"/>
    <w:rsid w:val="00DF3B32"/>
    <w:rsid w:val="00DF758C"/>
    <w:rsid w:val="00DF7D48"/>
    <w:rsid w:val="00E04E63"/>
    <w:rsid w:val="00E07CCE"/>
    <w:rsid w:val="00E13E2F"/>
    <w:rsid w:val="00E13E61"/>
    <w:rsid w:val="00E162FC"/>
    <w:rsid w:val="00E16B13"/>
    <w:rsid w:val="00E22E1D"/>
    <w:rsid w:val="00E25B29"/>
    <w:rsid w:val="00E26ABD"/>
    <w:rsid w:val="00E348BA"/>
    <w:rsid w:val="00E34A80"/>
    <w:rsid w:val="00E36D9F"/>
    <w:rsid w:val="00E471A8"/>
    <w:rsid w:val="00E47F71"/>
    <w:rsid w:val="00E65C86"/>
    <w:rsid w:val="00E66CEF"/>
    <w:rsid w:val="00E73749"/>
    <w:rsid w:val="00E759E4"/>
    <w:rsid w:val="00E77B8A"/>
    <w:rsid w:val="00E829D6"/>
    <w:rsid w:val="00E87276"/>
    <w:rsid w:val="00E9511F"/>
    <w:rsid w:val="00E966D1"/>
    <w:rsid w:val="00EA2226"/>
    <w:rsid w:val="00EA33BE"/>
    <w:rsid w:val="00EB13F8"/>
    <w:rsid w:val="00EB28A5"/>
    <w:rsid w:val="00EB3741"/>
    <w:rsid w:val="00EB3F3D"/>
    <w:rsid w:val="00EB6DE0"/>
    <w:rsid w:val="00ED10C8"/>
    <w:rsid w:val="00ED1B50"/>
    <w:rsid w:val="00ED445E"/>
    <w:rsid w:val="00ED687C"/>
    <w:rsid w:val="00ED6928"/>
    <w:rsid w:val="00EE3C1C"/>
    <w:rsid w:val="00EE5676"/>
    <w:rsid w:val="00EF36D8"/>
    <w:rsid w:val="00EF6C9D"/>
    <w:rsid w:val="00F01DE1"/>
    <w:rsid w:val="00F063BF"/>
    <w:rsid w:val="00F120C3"/>
    <w:rsid w:val="00F21513"/>
    <w:rsid w:val="00F24DB0"/>
    <w:rsid w:val="00F31133"/>
    <w:rsid w:val="00F32E26"/>
    <w:rsid w:val="00F35F9D"/>
    <w:rsid w:val="00F409FC"/>
    <w:rsid w:val="00F55AC8"/>
    <w:rsid w:val="00F57B63"/>
    <w:rsid w:val="00F62B97"/>
    <w:rsid w:val="00F63335"/>
    <w:rsid w:val="00F64E38"/>
    <w:rsid w:val="00F65486"/>
    <w:rsid w:val="00F747FC"/>
    <w:rsid w:val="00F76523"/>
    <w:rsid w:val="00F8549F"/>
    <w:rsid w:val="00F917ED"/>
    <w:rsid w:val="00FA14B8"/>
    <w:rsid w:val="00FA56DE"/>
    <w:rsid w:val="00FE222C"/>
    <w:rsid w:val="00FE24A6"/>
    <w:rsid w:val="00FF53D1"/>
    <w:rsid w:val="09F45F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8F920C5"/>
  <w15:docId w15:val="{132A96FE-06BF-4A24-B18B-1810F795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055E48"/>
    <w:pPr>
      <w:spacing w:line="260" w:lineRule="atLeast"/>
    </w:pPr>
    <w:rPr>
      <w:rFonts w:ascii="Arial" w:hAnsi="Arial"/>
      <w:b/>
      <w:noProof/>
      <w:sz w:val="24"/>
      <w:szCs w:val="16"/>
      <w:lang w:val="fr-FR" w:eastAsia="en-US"/>
    </w:rPr>
  </w:style>
  <w:style w:type="paragraph" w:styleId="ListParagraph">
    <w:name w:val="List Paragraph"/>
    <w:basedOn w:val="Normal"/>
    <w:uiPriority w:val="34"/>
    <w:qFormat/>
    <w:rsid w:val="00055E48"/>
    <w:pPr>
      <w:ind w:left="720"/>
      <w:contextualSpacing/>
    </w:pPr>
    <w:rPr>
      <w:lang w:val="nl-NL" w:eastAsia="nl-NL" w:bidi="nl-NL"/>
    </w:rPr>
  </w:style>
  <w:style w:type="character" w:styleId="CommentReference">
    <w:name w:val="annotation reference"/>
    <w:basedOn w:val="DefaultParagraphFont"/>
    <w:semiHidden/>
    <w:unhideWhenUsed/>
    <w:rsid w:val="008422B0"/>
    <w:rPr>
      <w:sz w:val="16"/>
      <w:szCs w:val="16"/>
    </w:rPr>
  </w:style>
  <w:style w:type="paragraph" w:styleId="CommentText">
    <w:name w:val="annotation text"/>
    <w:basedOn w:val="Normal"/>
    <w:link w:val="CommentTextChar"/>
    <w:semiHidden/>
    <w:unhideWhenUsed/>
    <w:rsid w:val="008422B0"/>
    <w:pPr>
      <w:spacing w:line="240" w:lineRule="auto"/>
    </w:pPr>
  </w:style>
  <w:style w:type="character" w:customStyle="1" w:styleId="CommentTextChar">
    <w:name w:val="Comment Text Char"/>
    <w:basedOn w:val="DefaultParagraphFont"/>
    <w:link w:val="CommentText"/>
    <w:semiHidden/>
    <w:rsid w:val="008422B0"/>
    <w:rPr>
      <w:rFonts w:ascii="Arial" w:hAnsi="Arial"/>
      <w:lang w:val="en-GB" w:eastAsia="en-US"/>
    </w:rPr>
  </w:style>
  <w:style w:type="paragraph" w:styleId="CommentSubject">
    <w:name w:val="annotation subject"/>
    <w:basedOn w:val="CommentText"/>
    <w:next w:val="CommentText"/>
    <w:link w:val="CommentSubjectChar"/>
    <w:semiHidden/>
    <w:unhideWhenUsed/>
    <w:rsid w:val="008422B0"/>
    <w:rPr>
      <w:b/>
      <w:bCs/>
    </w:rPr>
  </w:style>
  <w:style w:type="character" w:customStyle="1" w:styleId="CommentSubjectChar">
    <w:name w:val="Comment Subject Char"/>
    <w:basedOn w:val="CommentTextChar"/>
    <w:link w:val="CommentSubject"/>
    <w:semiHidden/>
    <w:rsid w:val="008422B0"/>
    <w:rPr>
      <w:rFonts w:ascii="Arial" w:hAnsi="Arial"/>
      <w:b/>
      <w:bCs/>
      <w:lang w:val="en-GB" w:eastAsia="en-US"/>
    </w:rPr>
  </w:style>
  <w:style w:type="paragraph" w:styleId="Revision">
    <w:name w:val="Revision"/>
    <w:hidden/>
    <w:uiPriority w:val="99"/>
    <w:semiHidden/>
    <w:rsid w:val="008422B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1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161A6CE92F9142923765AC371B3570" ma:contentTypeVersion="5" ma:contentTypeDescription="Create a new document." ma:contentTypeScope="" ma:versionID="3a4f09337f3aa62eff3d0a227872bc2c">
  <xsd:schema xmlns:xsd="http://www.w3.org/2001/XMLSchema" xmlns:xs="http://www.w3.org/2001/XMLSchema" xmlns:p="http://schemas.microsoft.com/office/2006/metadata/properties" xmlns:ns2="b3403e5b-417f-49ff-913f-a10a07af8b14" xmlns:ns3="25b973ea-aa32-4fa7-8983-79cdfc529123" targetNamespace="http://schemas.microsoft.com/office/2006/metadata/properties" ma:root="true" ma:fieldsID="e9a49d2d8e3e2a0210d2638015d77f74" ns2:_="" ns3:_="">
    <xsd:import namespace="b3403e5b-417f-49ff-913f-a10a07af8b14"/>
    <xsd:import namespace="25b973ea-aa32-4fa7-8983-79cdfc529123"/>
    <xsd:element name="properties">
      <xsd:complexType>
        <xsd:sequence>
          <xsd:element name="documentManagement">
            <xsd:complexType>
              <xsd:all>
                <xsd:element ref="ns2:DocDat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03e5b-417f-49ff-913f-a10a07af8b14" elementFormDefault="qualified">
    <xsd:import namespace="http://schemas.microsoft.com/office/2006/documentManagement/types"/>
    <xsd:import namespace="http://schemas.microsoft.com/office/infopath/2007/PartnerControls"/>
    <xsd:element name="DocDate" ma:index="8" nillable="true" ma:displayName="DocDate" ma:format="DateOnly" ma:internalName="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b973ea-aa32-4fa7-8983-79cdfc52912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Date xmlns="b3403e5b-417f-49ff-913f-a10a07af8b14" xsi:nil="true"/>
  </documentManagement>
</p:properties>
</file>

<file path=customXml/itemProps1.xml><?xml version="1.0" encoding="utf-8"?>
<ds:datastoreItem xmlns:ds="http://schemas.openxmlformats.org/officeDocument/2006/customXml" ds:itemID="{6BF6D4BB-CD5E-4A99-A10B-14CA39127D2E}">
  <ds:schemaRefs>
    <ds:schemaRef ds:uri="http://schemas.openxmlformats.org/officeDocument/2006/bibliography"/>
  </ds:schemaRefs>
</ds:datastoreItem>
</file>

<file path=customXml/itemProps2.xml><?xml version="1.0" encoding="utf-8"?>
<ds:datastoreItem xmlns:ds="http://schemas.openxmlformats.org/officeDocument/2006/customXml" ds:itemID="{EE2682A3-6EEC-4A5B-B3C4-20C0234AF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03e5b-417f-49ff-913f-a10a07af8b14"/>
    <ds:schemaRef ds:uri="25b973ea-aa32-4fa7-8983-79cdfc529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EC473-5666-4DDD-96BF-DA79D15B6BCA}">
  <ds:schemaRefs>
    <ds:schemaRef ds:uri="http://schemas.microsoft.com/sharepoint/v3/contenttype/forms"/>
  </ds:schemaRefs>
</ds:datastoreItem>
</file>

<file path=customXml/itemProps4.xml><?xml version="1.0" encoding="utf-8"?>
<ds:datastoreItem xmlns:ds="http://schemas.openxmlformats.org/officeDocument/2006/customXml" ds:itemID="{66AC0D0C-15A8-4A85-BA08-27539B722AF4}">
  <ds:schemaRefs>
    <ds:schemaRef ds:uri="http://purl.org/dc/elements/1.1/"/>
    <ds:schemaRef ds:uri="http://schemas.microsoft.com/office/infopath/2007/PartnerControls"/>
    <ds:schemaRef ds:uri="http://schemas.microsoft.com/office/2006/documentManagement/types"/>
    <ds:schemaRef ds:uri="http://www.w3.org/XML/1998/namespace"/>
    <ds:schemaRef ds:uri="8a9c461b-77d6-46a9-915a-72eb0f473247"/>
    <ds:schemaRef ds:uri="http://purl.org/dc/terms/"/>
    <ds:schemaRef ds:uri="6b56c36c-fa25-4874-8bb0-8a390e96ea64"/>
    <ds:schemaRef ds:uri="http://schemas.openxmlformats.org/package/2006/metadata/core-properties"/>
    <ds:schemaRef ds:uri="a3b93d67-a78b-4faf-8f00-04b230e27357"/>
    <ds:schemaRef ds:uri="http://schemas.microsoft.com/sharepoint/v3"/>
    <ds:schemaRef ds:uri="http://schemas.microsoft.com/office/2006/metadata/properties"/>
    <ds:schemaRef ds:uri="http://purl.org/dc/dcmitype/"/>
    <ds:schemaRef ds:uri="b3403e5b-417f-49ff-913f-a10a07af8b14"/>
  </ds:schemaRefs>
</ds:datastoreItem>
</file>

<file path=docProps/app.xml><?xml version="1.0" encoding="utf-8"?>
<Properties xmlns="http://schemas.openxmlformats.org/officeDocument/2006/extended-properties" xmlns:vt="http://schemas.openxmlformats.org/officeDocument/2006/docPropsVTypes">
  <Template>CIRCUL.dotm</Template>
  <TotalTime>0</TotalTime>
  <Pages>3</Pages>
  <Words>820</Words>
  <Characters>5188</Characters>
  <Application>Microsoft Office Word</Application>
  <DocSecurity>4</DocSecurity>
  <Lines>43</Lines>
  <Paragraphs>11</Paragraphs>
  <ScaleCrop>false</ScaleCrop>
  <Company>National Bank of Belgium</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creator>Eemans Marleen</dc:creator>
  <cp:lastModifiedBy>Arys Viviane</cp:lastModifiedBy>
  <cp:revision>2</cp:revision>
  <cp:lastPrinted>2021-03-10T09:31:00Z</cp:lastPrinted>
  <dcterms:created xsi:type="dcterms:W3CDTF">2021-03-15T09:06:00Z</dcterms:created>
  <dcterms:modified xsi:type="dcterms:W3CDTF">2021-03-15T09:06:00Z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0x01010074161A6CE92F9142923765AC371B3570</vt:lpwstr>
  </property>
</Properties>
</file>