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113" w:type="dxa"/>
          <w:right w:w="0" w:type="dxa"/>
        </w:tblCellMar>
        <w:tblLook w:val="01E0" w:firstRow="1" w:lastRow="1" w:firstColumn="1" w:lastColumn="1" w:noHBand="0" w:noVBand="0"/>
      </w:tblPr>
      <w:tblGrid>
        <w:gridCol w:w="6067"/>
        <w:gridCol w:w="3856"/>
      </w:tblGrid>
      <w:tr w:rsidR="00815A99" w:rsidRPr="00562A44" w14:paraId="13D04E2B" w14:textId="77777777" w:rsidTr="004E6FD5">
        <w:trPr>
          <w:cantSplit/>
          <w:trHeight w:hRule="exact" w:val="1077"/>
        </w:trPr>
        <w:tc>
          <w:tcPr>
            <w:tcW w:w="6067" w:type="dxa"/>
            <w:vAlign w:val="center"/>
          </w:tcPr>
          <w:p w14:paraId="5DB86B90" w14:textId="77777777" w:rsidR="00815A99" w:rsidRPr="00FE24A6" w:rsidRDefault="00815A99" w:rsidP="007B7965">
            <w:pPr>
              <w:pStyle w:val="AdresseAdres"/>
              <w:spacing w:before="300"/>
            </w:pPr>
            <w:r>
              <w:t>de Berlaimontlaan 14 – 1000 Brussel</w:t>
            </w:r>
          </w:p>
          <w:p w14:paraId="07036475" w14:textId="235A826B" w:rsidR="00815A99" w:rsidRPr="00FE24A6" w:rsidRDefault="00815A99" w:rsidP="00F07FD0">
            <w:pPr>
              <w:pStyle w:val="AdresseAdres"/>
            </w:pPr>
            <w:r>
              <w:t xml:space="preserve">tel. +32 2 221 </w:t>
            </w:r>
            <w:r w:rsidR="005078A0">
              <w:t>38 12</w:t>
            </w:r>
          </w:p>
          <w:p w14:paraId="28319A9F" w14:textId="77777777" w:rsidR="00815A99" w:rsidRPr="00FE24A6" w:rsidRDefault="00815A99" w:rsidP="00F07FD0">
            <w:pPr>
              <w:pStyle w:val="AdresseAdres"/>
            </w:pPr>
            <w:r>
              <w:t>ondernemingsnummer: 0203.201.340</w:t>
            </w:r>
          </w:p>
          <w:p w14:paraId="12058F7F" w14:textId="77777777" w:rsidR="00815A99" w:rsidRPr="00FE24A6" w:rsidRDefault="00815A99" w:rsidP="00F07FD0">
            <w:pPr>
              <w:pStyle w:val="AdresseAdres"/>
            </w:pPr>
            <w:r>
              <w:t>RPR Brussel</w:t>
            </w:r>
          </w:p>
          <w:p w14:paraId="7A5EA46B" w14:textId="77777777" w:rsidR="00815A99" w:rsidRPr="00562A44" w:rsidRDefault="00815A99" w:rsidP="00815A99">
            <w:pPr>
              <w:pStyle w:val="AdresseAdres"/>
            </w:pPr>
            <w:r>
              <w:t>www.nbb.be</w:t>
            </w:r>
          </w:p>
        </w:tc>
        <w:tc>
          <w:tcPr>
            <w:tcW w:w="3856" w:type="dxa"/>
            <w:shd w:val="clear" w:color="auto" w:fill="auto"/>
            <w:vAlign w:val="center"/>
          </w:tcPr>
          <w:p w14:paraId="1BD6A04C" w14:textId="77777777" w:rsidR="00815A99" w:rsidRPr="00562A44" w:rsidRDefault="00815A99" w:rsidP="00682F2F">
            <w:pPr>
              <w:rPr>
                <w:sz w:val="16"/>
                <w:szCs w:val="16"/>
              </w:rPr>
            </w:pPr>
            <w:r>
              <w:rPr>
                <w:noProof/>
                <w:sz w:val="16"/>
                <w:szCs w:val="16"/>
              </w:rPr>
              <w:drawing>
                <wp:inline distT="0" distB="0" distL="0" distR="0" wp14:anchorId="4746E380" wp14:editId="0592911A">
                  <wp:extent cx="2343150" cy="581025"/>
                  <wp:effectExtent l="19050" t="0" r="0" b="0"/>
                  <wp:docPr id="15"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1"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815A99" w:rsidRPr="00562A44" w14:paraId="0ABE3F50" w14:textId="77777777" w:rsidTr="00A52B3E">
        <w:trPr>
          <w:cantSplit/>
          <w:trHeight w:hRule="exact" w:val="850"/>
        </w:trPr>
        <w:tc>
          <w:tcPr>
            <w:tcW w:w="6067" w:type="dxa"/>
            <w:shd w:val="clear" w:color="auto" w:fill="auto"/>
          </w:tcPr>
          <w:p w14:paraId="395370D5" w14:textId="77777777" w:rsidR="00815A99" w:rsidRPr="000A56E5" w:rsidRDefault="00815A99" w:rsidP="00682F2F">
            <w:pPr>
              <w:pStyle w:val="AdresseAdres"/>
              <w:tabs>
                <w:tab w:val="center" w:pos="4678"/>
                <w:tab w:val="right" w:pos="9356"/>
              </w:tabs>
              <w:spacing w:line="260" w:lineRule="atLeast"/>
              <w:rPr>
                <w:sz w:val="16"/>
              </w:rPr>
            </w:pPr>
          </w:p>
        </w:tc>
        <w:tc>
          <w:tcPr>
            <w:tcW w:w="3856" w:type="dxa"/>
            <w:shd w:val="clear" w:color="auto" w:fill="auto"/>
          </w:tcPr>
          <w:p w14:paraId="511C7179" w14:textId="77777777" w:rsidR="00815A99" w:rsidRDefault="00815A99" w:rsidP="00A52B3E">
            <w:pPr>
              <w:pStyle w:val="TitreTitel"/>
              <w:keepLines/>
              <w:tabs>
                <w:tab w:val="left" w:pos="284"/>
                <w:tab w:val="right" w:leader="dot" w:pos="9639"/>
              </w:tabs>
              <w:spacing w:after="120"/>
              <w:ind w:left="397" w:right="567" w:hanging="397"/>
            </w:pPr>
          </w:p>
          <w:p w14:paraId="4B39FD7B" w14:textId="77777777" w:rsidR="00815A99" w:rsidRPr="00815A99" w:rsidRDefault="00815A99" w:rsidP="00A52B3E">
            <w:pPr>
              <w:pStyle w:val="TitreTitel"/>
              <w:keepLines/>
              <w:tabs>
                <w:tab w:val="left" w:pos="284"/>
                <w:tab w:val="right" w:leader="dot" w:pos="9639"/>
              </w:tabs>
              <w:spacing w:after="120"/>
              <w:ind w:left="397" w:right="567" w:hanging="397"/>
              <w:rPr>
                <w:sz w:val="20"/>
              </w:rPr>
            </w:pPr>
            <w:r>
              <w:rPr>
                <w:bCs/>
                <w:sz w:val="20"/>
              </w:rPr>
              <w:t>Openbaar</w:t>
            </w:r>
          </w:p>
        </w:tc>
      </w:tr>
      <w:tr w:rsidR="00815A99" w:rsidRPr="00812A3E" w14:paraId="1AE08887" w14:textId="77777777" w:rsidTr="004E6FD5">
        <w:trPr>
          <w:cantSplit/>
          <w:trHeight w:hRule="exact" w:val="794"/>
        </w:trPr>
        <w:tc>
          <w:tcPr>
            <w:tcW w:w="6067" w:type="dxa"/>
            <w:shd w:val="clear" w:color="auto" w:fill="auto"/>
          </w:tcPr>
          <w:p w14:paraId="3F8F9B8E" w14:textId="77777777" w:rsidR="00815A99" w:rsidRPr="00562A44" w:rsidRDefault="00815A99" w:rsidP="00C67902">
            <w:pPr>
              <w:pStyle w:val="AdresseAdres"/>
              <w:rPr>
                <w:lang w:val="fr-BE"/>
              </w:rPr>
            </w:pPr>
          </w:p>
        </w:tc>
        <w:tc>
          <w:tcPr>
            <w:tcW w:w="3856" w:type="dxa"/>
          </w:tcPr>
          <w:p w14:paraId="034F78F9" w14:textId="2D3F8BB6" w:rsidR="00815A99" w:rsidRPr="00562A44" w:rsidRDefault="00815A99" w:rsidP="00F07FD0">
            <w:r>
              <w:t xml:space="preserve">Brussel, </w:t>
            </w:r>
            <w:r w:rsidR="008C4363">
              <w:t>27 juni</w:t>
            </w:r>
            <w:r>
              <w:t xml:space="preserve"> 2023</w:t>
            </w:r>
          </w:p>
        </w:tc>
      </w:tr>
      <w:tr w:rsidR="00815A99" w:rsidRPr="005B17DE" w14:paraId="346263D9" w14:textId="77777777" w:rsidTr="00F07FD0">
        <w:trPr>
          <w:cantSplit/>
          <w:trHeight w:hRule="exact" w:val="340"/>
        </w:trPr>
        <w:tc>
          <w:tcPr>
            <w:tcW w:w="9923" w:type="dxa"/>
            <w:gridSpan w:val="2"/>
            <w:shd w:val="clear" w:color="auto" w:fill="auto"/>
            <w:vAlign w:val="center"/>
          </w:tcPr>
          <w:p w14:paraId="32E272FF" w14:textId="4B5AC146" w:rsidR="00815A99" w:rsidRPr="00562A44" w:rsidRDefault="00815A99" w:rsidP="00F07FD0">
            <w:pPr>
              <w:pStyle w:val="AnnexeBijlage"/>
            </w:pPr>
            <w:r>
              <w:t>Bijlage 3 bij circulaire NBB_2023</w:t>
            </w:r>
            <w:r w:rsidR="005078A0">
              <w:t>_</w:t>
            </w:r>
            <w:r w:rsidR="008C4363">
              <w:t>07</w:t>
            </w:r>
          </w:p>
        </w:tc>
      </w:tr>
      <w:tr w:rsidR="00815A99" w:rsidRPr="005B17DE" w14:paraId="5787DDAE" w14:textId="77777777" w:rsidTr="00F07FD0">
        <w:trPr>
          <w:cantSplit/>
          <w:trHeight w:hRule="exact" w:val="1304"/>
        </w:trPr>
        <w:tc>
          <w:tcPr>
            <w:tcW w:w="9923" w:type="dxa"/>
            <w:gridSpan w:val="2"/>
            <w:tcMar>
              <w:top w:w="240" w:type="dxa"/>
            </w:tcMar>
            <w:vAlign w:val="bottom"/>
          </w:tcPr>
          <w:p w14:paraId="3D9D530D" w14:textId="79DF9403" w:rsidR="00815A99" w:rsidRPr="005B17DE" w:rsidRDefault="005B17DE" w:rsidP="00F07FD0">
            <w:pPr>
              <w:pStyle w:val="SujetOnderwerp"/>
            </w:pPr>
            <w:r>
              <w:t>Toelichting bij rapporteringstabellen 90.30.a, 90.30.b en 90.30.c</w:t>
            </w:r>
          </w:p>
        </w:tc>
      </w:tr>
      <w:tr w:rsidR="00815A99" w:rsidRPr="005B17DE" w14:paraId="2E8350DD" w14:textId="77777777" w:rsidTr="00682F2F">
        <w:trPr>
          <w:cantSplit/>
          <w:trHeight w:hRule="exact" w:val="397"/>
        </w:trPr>
        <w:tc>
          <w:tcPr>
            <w:tcW w:w="9923" w:type="dxa"/>
            <w:gridSpan w:val="2"/>
          </w:tcPr>
          <w:p w14:paraId="125052C0" w14:textId="77777777" w:rsidR="00815A99" w:rsidRPr="002C4174" w:rsidRDefault="00815A99" w:rsidP="00682F2F">
            <w:pPr>
              <w:rPr>
                <w:lang w:val="nl-BE"/>
              </w:rPr>
            </w:pPr>
          </w:p>
        </w:tc>
      </w:tr>
    </w:tbl>
    <w:p w14:paraId="7EC20234" w14:textId="77777777" w:rsidR="0015124C" w:rsidRPr="002C4174" w:rsidRDefault="0015124C" w:rsidP="0015124C">
      <w:pPr>
        <w:widowControl w:val="0"/>
        <w:autoSpaceDE w:val="0"/>
        <w:autoSpaceDN w:val="0"/>
        <w:spacing w:line="260" w:lineRule="auto"/>
        <w:ind w:left="360"/>
        <w:rPr>
          <w:rFonts w:ascii="Arial MT" w:eastAsia="Arial MT" w:hAnsi="Arial MT" w:cs="Arial MT"/>
          <w:b/>
          <w:bCs/>
          <w:sz w:val="22"/>
          <w:szCs w:val="22"/>
          <w:lang w:val="nl-BE"/>
        </w:rPr>
      </w:pPr>
    </w:p>
    <w:p w14:paraId="73DB6F83" w14:textId="77777777" w:rsidR="00046F25" w:rsidRPr="002C4174" w:rsidRDefault="00046F25" w:rsidP="00046F25">
      <w:pPr>
        <w:widowControl w:val="0"/>
        <w:autoSpaceDE w:val="0"/>
        <w:autoSpaceDN w:val="0"/>
        <w:spacing w:line="260" w:lineRule="auto"/>
        <w:ind w:left="360"/>
        <w:rPr>
          <w:rFonts w:ascii="Arial MT" w:eastAsia="Arial MT" w:hAnsi="Arial MT" w:cs="Arial MT"/>
          <w:b/>
          <w:bCs/>
          <w:sz w:val="22"/>
          <w:szCs w:val="22"/>
          <w:lang w:val="nl-BE"/>
        </w:rPr>
      </w:pPr>
    </w:p>
    <w:p w14:paraId="4451E0B6" w14:textId="77777777" w:rsidR="00A10895" w:rsidRPr="0052784F" w:rsidRDefault="0015124C" w:rsidP="00A10895">
      <w:pPr>
        <w:widowControl w:val="0"/>
        <w:numPr>
          <w:ilvl w:val="0"/>
          <w:numId w:val="45"/>
        </w:numPr>
        <w:autoSpaceDE w:val="0"/>
        <w:autoSpaceDN w:val="0"/>
        <w:spacing w:line="260" w:lineRule="auto"/>
        <w:rPr>
          <w:rFonts w:ascii="Arial MT" w:eastAsia="Arial MT" w:hAnsi="Arial MT" w:cs="Arial MT"/>
          <w:b/>
          <w:bCs/>
        </w:rPr>
      </w:pPr>
      <w:r>
        <w:rPr>
          <w:rFonts w:ascii="Arial MT" w:hAnsi="Arial MT"/>
          <w:b/>
          <w:bCs/>
        </w:rPr>
        <w:t>Algemene bepalingen</w:t>
      </w:r>
    </w:p>
    <w:p w14:paraId="14268428" w14:textId="5F7E5C64" w:rsidR="00147746" w:rsidRPr="002C7492" w:rsidRDefault="00147746" w:rsidP="002C7492">
      <w:pPr>
        <w:numPr>
          <w:ilvl w:val="1"/>
          <w:numId w:val="45"/>
        </w:numPr>
        <w:spacing w:before="120" w:line="260" w:lineRule="auto"/>
        <w:ind w:left="851" w:right="649" w:hanging="567"/>
        <w:jc w:val="both"/>
        <w:rPr>
          <w:rFonts w:ascii="Arial MT" w:eastAsia="Arial MT" w:hAnsi="Arial MT" w:cs="Arial MT"/>
        </w:rPr>
      </w:pPr>
      <w:r>
        <w:rPr>
          <w:rFonts w:ascii="Arial MT" w:hAnsi="Arial MT"/>
        </w:rPr>
        <w:t>De rapporteringstabellen 90.30.a, 90.30.b en 90.30.c sluiten aan bij circulaire NBB_2023_</w:t>
      </w:r>
      <w:r w:rsidR="0018628D">
        <w:rPr>
          <w:rFonts w:ascii="Arial MT" w:hAnsi="Arial MT"/>
        </w:rPr>
        <w:t>07</w:t>
      </w:r>
      <w:r>
        <w:rPr>
          <w:rFonts w:ascii="Arial MT" w:hAnsi="Arial MT"/>
        </w:rPr>
        <w:t xml:space="preserve"> over Richtsnoeren inzake gezonde beheerpraktijken en </w:t>
      </w:r>
      <w:proofErr w:type="gramStart"/>
      <w:r>
        <w:rPr>
          <w:rFonts w:ascii="Arial MT" w:hAnsi="Arial MT"/>
        </w:rPr>
        <w:t>rapportering  over</w:t>
      </w:r>
      <w:proofErr w:type="gramEnd"/>
      <w:r>
        <w:rPr>
          <w:rFonts w:ascii="Arial MT" w:hAnsi="Arial MT"/>
        </w:rPr>
        <w:t xml:space="preserve"> het aan de niet-handelsactiviteiten verbonden renterisico en creditspreadrisico. De in deze circulaire vermelde vereisten met betrekking tot de periodieke </w:t>
      </w:r>
      <w:proofErr w:type="spellStart"/>
      <w:r>
        <w:rPr>
          <w:rFonts w:ascii="Arial MT" w:hAnsi="Arial MT"/>
        </w:rPr>
        <w:t>prudentiële</w:t>
      </w:r>
      <w:proofErr w:type="spellEnd"/>
      <w:r>
        <w:rPr>
          <w:rFonts w:ascii="Arial MT" w:hAnsi="Arial MT"/>
        </w:rPr>
        <w:t xml:space="preserve"> rapportering zijn van toepassing.</w:t>
      </w:r>
    </w:p>
    <w:p w14:paraId="24A8A46F" w14:textId="77777777" w:rsidR="00147746" w:rsidRDefault="00147746" w:rsidP="002C7492">
      <w:pPr>
        <w:numPr>
          <w:ilvl w:val="1"/>
          <w:numId w:val="45"/>
        </w:numPr>
        <w:spacing w:before="120" w:line="260" w:lineRule="auto"/>
        <w:ind w:left="851" w:right="649" w:hanging="567"/>
        <w:jc w:val="both"/>
        <w:rPr>
          <w:rFonts w:ascii="Arial MT" w:eastAsia="Arial MT" w:hAnsi="Arial MT" w:cs="Arial MT"/>
        </w:rPr>
      </w:pPr>
      <w:r>
        <w:rPr>
          <w:rFonts w:ascii="Arial MT" w:hAnsi="Arial MT"/>
        </w:rPr>
        <w:t>De tabellen moeten worden gerapporteerd door de instellingen die in het kader van het SSM als minder belangrijk worden beschouwd.</w:t>
      </w:r>
    </w:p>
    <w:p w14:paraId="74B90F1D" w14:textId="77777777" w:rsidR="00046F25" w:rsidRPr="002C4174" w:rsidRDefault="00046F25" w:rsidP="008E76BE">
      <w:pPr>
        <w:spacing w:before="120" w:line="260" w:lineRule="auto"/>
        <w:ind w:left="851" w:right="649"/>
        <w:jc w:val="both"/>
        <w:rPr>
          <w:rFonts w:ascii="Arial MT" w:eastAsia="Arial MT" w:hAnsi="Arial MT" w:cs="Arial MT"/>
          <w:lang w:val="nl-BE"/>
        </w:rPr>
      </w:pPr>
    </w:p>
    <w:p w14:paraId="7A85AEBD" w14:textId="77777777" w:rsidR="00147746" w:rsidRPr="0052784F" w:rsidRDefault="00147746" w:rsidP="008E76BE">
      <w:pPr>
        <w:widowControl w:val="0"/>
        <w:numPr>
          <w:ilvl w:val="0"/>
          <w:numId w:val="45"/>
        </w:numPr>
        <w:autoSpaceDE w:val="0"/>
        <w:autoSpaceDN w:val="0"/>
        <w:spacing w:line="260" w:lineRule="auto"/>
        <w:rPr>
          <w:rFonts w:ascii="Arial MT" w:eastAsia="Arial MT" w:hAnsi="Arial MT" w:cs="Arial MT"/>
          <w:b/>
          <w:bCs/>
        </w:rPr>
      </w:pPr>
      <w:r>
        <w:rPr>
          <w:rFonts w:ascii="Arial MT" w:hAnsi="Arial MT"/>
          <w:b/>
          <w:bCs/>
        </w:rPr>
        <w:t>Specifieke bepalingen</w:t>
      </w:r>
    </w:p>
    <w:p w14:paraId="758D7561" w14:textId="77777777" w:rsidR="00147746" w:rsidRPr="0098545D" w:rsidRDefault="00147746" w:rsidP="008E76BE">
      <w:pPr>
        <w:numPr>
          <w:ilvl w:val="1"/>
          <w:numId w:val="45"/>
        </w:numPr>
        <w:spacing w:before="120" w:line="260" w:lineRule="auto"/>
        <w:ind w:left="851" w:right="649" w:hanging="567"/>
        <w:jc w:val="both"/>
        <w:rPr>
          <w:rFonts w:ascii="Arial MT" w:eastAsia="Arial MT" w:hAnsi="Arial MT" w:cs="Arial MT"/>
        </w:rPr>
      </w:pPr>
      <w:r>
        <w:rPr>
          <w:rFonts w:ascii="Arial MT" w:hAnsi="Arial MT"/>
        </w:rPr>
        <w:t xml:space="preserve">De instellingen berekenen de te rapporteren gegevens op basis van een reeks </w:t>
      </w:r>
      <w:proofErr w:type="spellStart"/>
      <w:r>
        <w:rPr>
          <w:rFonts w:ascii="Arial MT" w:hAnsi="Arial MT"/>
        </w:rPr>
        <w:t>prudentiële</w:t>
      </w:r>
      <w:proofErr w:type="spellEnd"/>
      <w:r>
        <w:rPr>
          <w:rFonts w:ascii="Arial MT" w:hAnsi="Arial MT"/>
        </w:rPr>
        <w:t xml:space="preserve"> scenario's van rentebewegingen, vastgesteld overeenkomstig artikel 143, § 1, 12° van de bankwet en rekening houdend met de vereisten die vastgesteld zijn in de technische normen van de EBA waarin de gemeenschappelijke aannames met betrekking tot de parameters en de modellering voor de </w:t>
      </w:r>
      <w:proofErr w:type="spellStart"/>
      <w:r>
        <w:rPr>
          <w:rFonts w:ascii="Arial MT" w:hAnsi="Arial MT"/>
        </w:rPr>
        <w:t>prudentiële</w:t>
      </w:r>
      <w:proofErr w:type="spellEnd"/>
      <w:r>
        <w:rPr>
          <w:rFonts w:ascii="Arial MT" w:hAnsi="Arial MT"/>
        </w:rPr>
        <w:t xml:space="preserve"> </w:t>
      </w:r>
      <w:proofErr w:type="spellStart"/>
      <w:r>
        <w:rPr>
          <w:rFonts w:ascii="Arial MT" w:hAnsi="Arial MT"/>
        </w:rPr>
        <w:t>outliertests</w:t>
      </w:r>
      <w:proofErr w:type="spellEnd"/>
      <w:r w:rsidRPr="0098545D">
        <w:rPr>
          <w:rFonts w:ascii="Arial MT" w:eastAsia="Arial MT" w:hAnsi="Arial MT" w:cs="Arial MT"/>
          <w:lang w:val="fr-BE"/>
        </w:rPr>
        <w:footnoteReference w:id="2"/>
      </w:r>
      <w:r>
        <w:rPr>
          <w:rFonts w:ascii="Arial MT" w:hAnsi="Arial MT"/>
        </w:rPr>
        <w:t xml:space="preserve"> worden gespecificeerd (hierna "de technische normen inzake </w:t>
      </w:r>
      <w:proofErr w:type="spellStart"/>
      <w:r>
        <w:rPr>
          <w:rFonts w:ascii="Arial MT" w:hAnsi="Arial MT"/>
        </w:rPr>
        <w:t>prudentiële</w:t>
      </w:r>
      <w:proofErr w:type="spellEnd"/>
      <w:r>
        <w:rPr>
          <w:rFonts w:ascii="Arial MT" w:hAnsi="Arial MT"/>
        </w:rPr>
        <w:t xml:space="preserve"> </w:t>
      </w:r>
      <w:proofErr w:type="spellStart"/>
      <w:r>
        <w:rPr>
          <w:rFonts w:ascii="Arial MT" w:hAnsi="Arial MT"/>
        </w:rPr>
        <w:t>outliertests</w:t>
      </w:r>
      <w:proofErr w:type="spellEnd"/>
      <w:r>
        <w:rPr>
          <w:rFonts w:ascii="Arial MT" w:hAnsi="Arial MT"/>
        </w:rPr>
        <w:t>").</w:t>
      </w:r>
    </w:p>
    <w:p w14:paraId="4EDCF9A8" w14:textId="77777777" w:rsidR="00147746" w:rsidRPr="0098545D" w:rsidRDefault="00147746" w:rsidP="008E76BE">
      <w:pPr>
        <w:numPr>
          <w:ilvl w:val="1"/>
          <w:numId w:val="45"/>
        </w:numPr>
        <w:spacing w:before="120" w:line="260" w:lineRule="auto"/>
        <w:ind w:left="851" w:right="649" w:hanging="567"/>
        <w:jc w:val="both"/>
        <w:rPr>
          <w:rFonts w:ascii="Arial MT" w:eastAsia="Arial MT" w:hAnsi="Arial MT" w:cs="Arial MT"/>
        </w:rPr>
      </w:pPr>
      <w:r>
        <w:rPr>
          <w:rFonts w:ascii="Arial MT" w:hAnsi="Arial MT"/>
        </w:rPr>
        <w:t>De instellingen passen hun eigen methodes toe, die intern zijn vastgesteld met inachtneming van de vereisten van de richtsnoeren van de EBA van 20 oktober 2022 tot vaststelling van criteria voor het detecteren, beoordelen, beheren en beperken van de risico’s die voortvloeien uit potentiële veranderingen in rentetarieven en van de beoordeling en bewaking van het creditspreadrisico van de activiteiten van instellingen buiten de handelsportefeuille (EBA/GL/2022/14), dan wel de gestandaardiseerde methode of de vereenvoudigde gestandaardiseerde methode, overeenkomstig artikel 6 van bijlage I bij de bankwet.</w:t>
      </w:r>
    </w:p>
    <w:p w14:paraId="0E627FC5" w14:textId="77777777" w:rsidR="00046F25" w:rsidRDefault="00046F25" w:rsidP="00147746">
      <w:pPr>
        <w:pStyle w:val="BodyText"/>
        <w:spacing w:before="1" w:line="276" w:lineRule="auto"/>
        <w:ind w:left="416" w:right="649"/>
        <w:jc w:val="both"/>
      </w:pPr>
    </w:p>
    <w:p w14:paraId="73CC64F5" w14:textId="77777777" w:rsidR="00147746" w:rsidRPr="0052784F" w:rsidRDefault="00147746" w:rsidP="00177A87">
      <w:pPr>
        <w:numPr>
          <w:ilvl w:val="1"/>
          <w:numId w:val="45"/>
        </w:numPr>
        <w:spacing w:before="120" w:line="260" w:lineRule="auto"/>
        <w:ind w:left="851" w:right="649" w:hanging="567"/>
        <w:jc w:val="both"/>
        <w:rPr>
          <w:rFonts w:ascii="Arial MT" w:eastAsia="Arial MT" w:hAnsi="Arial MT" w:cs="Arial MT"/>
          <w:b/>
          <w:bCs/>
        </w:rPr>
      </w:pPr>
      <w:r>
        <w:rPr>
          <w:rFonts w:ascii="Arial MT" w:hAnsi="Arial MT"/>
          <w:b/>
          <w:bCs/>
        </w:rPr>
        <w:t>Tabel 90.30.a</w:t>
      </w:r>
    </w:p>
    <w:p w14:paraId="0349F448" w14:textId="77777777" w:rsidR="00147746" w:rsidRPr="00177A87" w:rsidRDefault="00437FA4" w:rsidP="00177A87">
      <w:pPr>
        <w:spacing w:before="120" w:line="260" w:lineRule="auto"/>
        <w:ind w:left="851" w:right="649"/>
        <w:jc w:val="both"/>
        <w:rPr>
          <w:rFonts w:ascii="Arial MT" w:eastAsia="Arial MT" w:hAnsi="Arial MT" w:cs="Arial MT"/>
        </w:rPr>
      </w:pPr>
      <w:r>
        <w:rPr>
          <w:rFonts w:ascii="Arial MT" w:hAnsi="Arial MT"/>
        </w:rPr>
        <w:t xml:space="preserve">Tabel 90.30.a bevat de resultaten van de beoordeling van de vermogensgevoeligheid en de inkomstengevoeligheid in verschillende </w:t>
      </w:r>
      <w:proofErr w:type="spellStart"/>
      <w:r>
        <w:rPr>
          <w:rFonts w:ascii="Arial MT" w:hAnsi="Arial MT"/>
        </w:rPr>
        <w:t>prudentiële</w:t>
      </w:r>
      <w:proofErr w:type="spellEnd"/>
      <w:r>
        <w:rPr>
          <w:rFonts w:ascii="Arial MT" w:hAnsi="Arial MT"/>
        </w:rPr>
        <w:t xml:space="preserve"> scenario's van rentebewegingen.</w:t>
      </w:r>
    </w:p>
    <w:p w14:paraId="472D2993" w14:textId="77777777" w:rsidR="00147746" w:rsidRPr="00177A87" w:rsidRDefault="00147746" w:rsidP="00177A87">
      <w:pPr>
        <w:spacing w:before="120" w:line="260" w:lineRule="auto"/>
        <w:ind w:left="851" w:right="649"/>
        <w:jc w:val="both"/>
        <w:rPr>
          <w:rFonts w:ascii="Arial MT" w:eastAsia="Arial MT" w:hAnsi="Arial MT" w:cs="Arial MT"/>
          <w:u w:val="single"/>
        </w:rPr>
      </w:pPr>
      <w:r>
        <w:rPr>
          <w:rFonts w:ascii="Arial MT" w:hAnsi="Arial MT"/>
          <w:u w:val="single"/>
        </w:rPr>
        <w:t>Vermogensgevoeligheid</w:t>
      </w:r>
    </w:p>
    <w:p w14:paraId="2AA0C7D2" w14:textId="77777777" w:rsidR="00147746" w:rsidRPr="00177A87" w:rsidRDefault="00147746" w:rsidP="00177A87">
      <w:pPr>
        <w:spacing w:before="120" w:line="260" w:lineRule="auto"/>
        <w:ind w:left="851" w:right="649"/>
        <w:jc w:val="both"/>
        <w:rPr>
          <w:rFonts w:ascii="Arial MT" w:eastAsia="Arial MT" w:hAnsi="Arial MT" w:cs="Arial MT"/>
        </w:rPr>
        <w:sectPr w:rsidR="00147746" w:rsidRPr="00177A87" w:rsidSect="00147746">
          <w:footerReference w:type="default" r:id="rId12"/>
          <w:pgSz w:w="11910" w:h="16840"/>
          <w:pgMar w:top="580" w:right="480" w:bottom="280" w:left="1000" w:header="720" w:footer="720" w:gutter="0"/>
          <w:cols w:space="720"/>
        </w:sectPr>
      </w:pPr>
      <w:r>
        <w:rPr>
          <w:rFonts w:ascii="Arial MT" w:hAnsi="Arial MT"/>
        </w:rPr>
        <w:t xml:space="preserve"> In kolom 010 rapporteert de instelling de economische waarde van het banking </w:t>
      </w:r>
      <w:proofErr w:type="spellStart"/>
      <w:r>
        <w:rPr>
          <w:rFonts w:ascii="Arial MT" w:hAnsi="Arial MT"/>
        </w:rPr>
        <w:t>book</w:t>
      </w:r>
      <w:proofErr w:type="spellEnd"/>
      <w:r>
        <w:rPr>
          <w:rFonts w:ascii="Arial MT" w:hAnsi="Arial MT"/>
        </w:rPr>
        <w:t>, die zij berekent op basis van een reeks opgelegde scenario’s van rentebewegingen.</w:t>
      </w:r>
    </w:p>
    <w:p w14:paraId="751E7E7B" w14:textId="77777777" w:rsidR="00147746" w:rsidRPr="00177A87" w:rsidRDefault="00147746" w:rsidP="00CA0014">
      <w:pPr>
        <w:spacing w:before="120" w:line="260" w:lineRule="auto"/>
        <w:ind w:left="851" w:right="649"/>
        <w:jc w:val="both"/>
        <w:rPr>
          <w:rFonts w:ascii="Arial MT" w:eastAsia="Arial MT" w:hAnsi="Arial MT" w:cs="Arial MT"/>
        </w:rPr>
      </w:pPr>
      <w:r>
        <w:rPr>
          <w:rFonts w:ascii="Arial MT" w:hAnsi="Arial MT"/>
        </w:rPr>
        <w:lastRenderedPageBreak/>
        <w:t xml:space="preserve">De omvang van de parallelle rentebewegingen in de gestandaardiseerde aannames bedraagt 200 basispunten, enerzijds in stijgende zin (lijn 300), anderzijds in dalende zin (lijn 500). De vier overige scenario’s worden beschreven in de technische normen inzake </w:t>
      </w:r>
      <w:proofErr w:type="spellStart"/>
      <w:r>
        <w:rPr>
          <w:rFonts w:ascii="Arial MT" w:hAnsi="Arial MT"/>
        </w:rPr>
        <w:t>prudentiële</w:t>
      </w:r>
      <w:proofErr w:type="spellEnd"/>
      <w:r>
        <w:rPr>
          <w:rFonts w:ascii="Arial MT" w:hAnsi="Arial MT"/>
        </w:rPr>
        <w:t xml:space="preserve"> </w:t>
      </w:r>
      <w:proofErr w:type="spellStart"/>
      <w:r>
        <w:rPr>
          <w:rFonts w:ascii="Arial MT" w:hAnsi="Arial MT"/>
        </w:rPr>
        <w:t>outliertests</w:t>
      </w:r>
      <w:proofErr w:type="spellEnd"/>
      <w:r>
        <w:rPr>
          <w:rFonts w:ascii="Arial MT" w:hAnsi="Arial MT"/>
        </w:rPr>
        <w:t xml:space="preserve"> en betreffen een steilere rentecurve (lijn 100), een rentestijging op korte termijn (lijn 200), een rentedaling op korte termijn (lijn 600) en een vlakkere rentecurve (lijn 700). Deze zes scenario’s worden aangevuld met een scenario van ongewijzigde rente (lijn 400).</w:t>
      </w:r>
    </w:p>
    <w:p w14:paraId="2DE7218E" w14:textId="77777777" w:rsidR="00147746" w:rsidRPr="00177A87" w:rsidRDefault="00147746" w:rsidP="00177A87">
      <w:pPr>
        <w:spacing w:before="120" w:line="260" w:lineRule="auto"/>
        <w:ind w:left="851" w:right="649"/>
        <w:jc w:val="both"/>
        <w:rPr>
          <w:rFonts w:ascii="Arial MT" w:eastAsia="Arial MT" w:hAnsi="Arial MT" w:cs="Arial MT"/>
          <w:u w:val="single"/>
        </w:rPr>
      </w:pPr>
      <w:r>
        <w:rPr>
          <w:rFonts w:ascii="Arial MT" w:hAnsi="Arial MT"/>
          <w:u w:val="single"/>
        </w:rPr>
        <w:t>Inkomstengevoeligheid</w:t>
      </w:r>
    </w:p>
    <w:p w14:paraId="16FF1B95" w14:textId="1E712113" w:rsidR="00147746" w:rsidRPr="00177A87" w:rsidRDefault="00147746" w:rsidP="00177A87">
      <w:pPr>
        <w:spacing w:before="120" w:line="260" w:lineRule="auto"/>
        <w:ind w:left="851" w:right="649"/>
        <w:jc w:val="both"/>
        <w:rPr>
          <w:rFonts w:ascii="Arial MT" w:eastAsia="Arial MT" w:hAnsi="Arial MT" w:cs="Arial MT"/>
        </w:rPr>
      </w:pPr>
      <w:r w:rsidRPr="009B4DE9">
        <w:rPr>
          <w:rFonts w:ascii="Arial MT" w:hAnsi="Arial MT"/>
        </w:rPr>
        <w:t xml:space="preserve">De instelling rapporteert op voortschrijdende wijze in kolom 020 haar renteresultaat van de vorige twaalf maanden, en in de kolom 030, het verwachte renteresultaat voor de komende periode van twaalf maanden, rekening houdend met de vereisten die uiteengezet zijn in de technische normen inzake </w:t>
      </w:r>
      <w:proofErr w:type="spellStart"/>
      <w:r w:rsidRPr="009B4DE9">
        <w:rPr>
          <w:rFonts w:ascii="Arial MT" w:hAnsi="Arial MT"/>
        </w:rPr>
        <w:t>prudentiële</w:t>
      </w:r>
      <w:proofErr w:type="spellEnd"/>
      <w:r w:rsidRPr="009B4DE9">
        <w:rPr>
          <w:rFonts w:ascii="Arial MT" w:hAnsi="Arial MT"/>
        </w:rPr>
        <w:t xml:space="preserve"> </w:t>
      </w:r>
      <w:proofErr w:type="spellStart"/>
      <w:r w:rsidRPr="009B4DE9">
        <w:rPr>
          <w:rFonts w:ascii="Arial MT" w:hAnsi="Arial MT"/>
        </w:rPr>
        <w:t>outliertests</w:t>
      </w:r>
      <w:proofErr w:type="spellEnd"/>
      <w:r w:rsidRPr="009B4DE9">
        <w:rPr>
          <w:rFonts w:ascii="Arial MT" w:hAnsi="Arial MT"/>
        </w:rPr>
        <w:t>, op basis van twee gestandaardiseerde scenario’s van parallelle rentebewegingen.</w:t>
      </w:r>
    </w:p>
    <w:p w14:paraId="53D1D22F" w14:textId="77777777" w:rsidR="00147746" w:rsidRPr="00177A87" w:rsidRDefault="00147746" w:rsidP="00177A87">
      <w:pPr>
        <w:spacing w:before="120" w:line="260" w:lineRule="auto"/>
        <w:ind w:left="851" w:right="649"/>
        <w:jc w:val="both"/>
        <w:rPr>
          <w:rFonts w:ascii="Arial MT" w:eastAsia="Arial MT" w:hAnsi="Arial MT" w:cs="Arial MT"/>
        </w:rPr>
      </w:pPr>
      <w:r>
        <w:rPr>
          <w:rFonts w:ascii="Arial MT" w:hAnsi="Arial MT"/>
        </w:rPr>
        <w:t>De omvang van de parallelle rentebewegingen in de gestandaardiseerde aannames bedraagt 200 basispunten, enerzijds in stijgende zin (lijn 300), anderzijds in dalende zin (lijn 500). Deze twee scenario’s worden aangevuld met een scenario van ongewijzigde rente (lijn 400).</w:t>
      </w:r>
    </w:p>
    <w:p w14:paraId="3379319D" w14:textId="77777777" w:rsidR="00147746" w:rsidRPr="00177A87" w:rsidRDefault="00147746" w:rsidP="00177A87">
      <w:pPr>
        <w:spacing w:before="120" w:line="260" w:lineRule="auto"/>
        <w:ind w:left="851" w:right="649"/>
        <w:jc w:val="both"/>
        <w:rPr>
          <w:rFonts w:ascii="Arial MT" w:eastAsia="Arial MT" w:hAnsi="Arial MT" w:cs="Arial MT"/>
          <w:u w:val="single"/>
        </w:rPr>
      </w:pPr>
      <w:r>
        <w:rPr>
          <w:rFonts w:ascii="Arial MT" w:hAnsi="Arial MT"/>
          <w:u w:val="single"/>
        </w:rPr>
        <w:t>Veranderingen in de marktwaarde</w:t>
      </w:r>
    </w:p>
    <w:p w14:paraId="4B711406" w14:textId="77777777" w:rsidR="00147746" w:rsidRPr="00177A87" w:rsidRDefault="00147746" w:rsidP="00177A87">
      <w:pPr>
        <w:spacing w:before="120" w:line="260" w:lineRule="auto"/>
        <w:ind w:left="851" w:right="649"/>
        <w:jc w:val="both"/>
        <w:rPr>
          <w:rFonts w:ascii="Arial MT" w:eastAsia="Arial MT" w:hAnsi="Arial MT" w:cs="Arial MT"/>
        </w:rPr>
      </w:pPr>
      <w:r>
        <w:rPr>
          <w:rFonts w:ascii="Arial MT" w:hAnsi="Arial MT"/>
        </w:rPr>
        <w:t xml:space="preserve">De instelling rapporteert in kolom 060 de marktwaarde van de instrumenten waarvan de waardeveranderingen ofwel opgenomen zijn in de winst- en verliesrekening, ofwel rechtstreeks in het eigen vermogen (bijvoorbeeld via niet-gerealiseerd kapitaal) op basis van een reeks opgelegde scenario's van rentebewegingen. De instelling berekent de marktwaarde van die instrumenten over een tijdshorizon van een jaar, zonder </w:t>
      </w:r>
      <w:proofErr w:type="spellStart"/>
      <w:r>
        <w:rPr>
          <w:rFonts w:ascii="Arial MT" w:hAnsi="Arial MT"/>
        </w:rPr>
        <w:t>inaanmerkingneming</w:t>
      </w:r>
      <w:proofErr w:type="spellEnd"/>
      <w:r>
        <w:rPr>
          <w:rFonts w:ascii="Arial MT" w:hAnsi="Arial MT"/>
        </w:rPr>
        <w:t xml:space="preserve"> van het effect van boekhoudkundige afdekkingen en zonder rekening te houden met de in artikel 33, lid 1, onder a), van Verordening (EU) nr. 575/2013 bedoelde posten.</w:t>
      </w:r>
    </w:p>
    <w:p w14:paraId="4C1A08AA" w14:textId="77777777" w:rsidR="00147746" w:rsidRPr="00177A87" w:rsidRDefault="00C37D91" w:rsidP="00177A87">
      <w:pPr>
        <w:spacing w:before="120" w:line="260" w:lineRule="auto"/>
        <w:ind w:left="851" w:right="649"/>
        <w:jc w:val="both"/>
        <w:rPr>
          <w:rFonts w:ascii="Arial MT" w:eastAsia="Arial MT" w:hAnsi="Arial MT" w:cs="Arial MT"/>
        </w:rPr>
      </w:pPr>
      <w:r>
        <w:rPr>
          <w:rFonts w:ascii="Arial MT" w:hAnsi="Arial MT"/>
        </w:rPr>
        <w:t xml:space="preserve">De instelling berekent de prognoses van de marktwaarde van deze instrumenten op basis van interne meetsystemen of, in voorkomend geval, op basis van de gestandaardiseerde methode (artikelen 15 en 20 van de technische normen van de EBA betreffende de gestandaardiseerde methode voor de beoordeling van het renterisico in het banking </w:t>
      </w:r>
      <w:proofErr w:type="spellStart"/>
      <w:r>
        <w:rPr>
          <w:rFonts w:ascii="Arial MT" w:hAnsi="Arial MT"/>
        </w:rPr>
        <w:t>book</w:t>
      </w:r>
      <w:proofErr w:type="spellEnd"/>
      <w:r w:rsidR="00147746" w:rsidRPr="00DC224C">
        <w:rPr>
          <w:rFonts w:ascii="Arial MT" w:eastAsia="Arial MT" w:hAnsi="Arial MT" w:cs="Arial MT"/>
          <w:vertAlign w:val="superscript"/>
        </w:rPr>
        <w:footnoteReference w:id="3"/>
      </w:r>
      <w:r>
        <w:rPr>
          <w:rFonts w:ascii="Arial MT" w:hAnsi="Arial MT"/>
        </w:rPr>
        <w:t>) of van de vereenvoudigde gestandaardiseerde methode (artikel 24 van de voornoemde technische normen).</w:t>
      </w:r>
    </w:p>
    <w:p w14:paraId="1DCB3D79" w14:textId="77777777" w:rsidR="00147746" w:rsidRDefault="00147746" w:rsidP="00177A87">
      <w:pPr>
        <w:spacing w:before="120" w:line="260" w:lineRule="auto"/>
        <w:ind w:left="851" w:right="649"/>
        <w:jc w:val="both"/>
        <w:rPr>
          <w:rFonts w:ascii="Arial MT" w:eastAsia="Arial MT" w:hAnsi="Arial MT" w:cs="Arial MT"/>
        </w:rPr>
      </w:pPr>
      <w:r>
        <w:rPr>
          <w:rFonts w:ascii="Arial MT" w:hAnsi="Arial MT"/>
        </w:rPr>
        <w:t>De omvang van de parallelle rentebewegingen in de gestandaardiseerde aannames bedraagt 200 basispunten, enerzijds in stijgende zin (lijn 300), anderzijds in dalende zin (lijn 500). Deze twee scenario’s worden aangevuld met een scenario van ongewijzigde rente (lijn 400).</w:t>
      </w:r>
    </w:p>
    <w:p w14:paraId="19020B06" w14:textId="77777777" w:rsidR="00C416DC" w:rsidRPr="002C4174" w:rsidRDefault="00C416DC" w:rsidP="00C416DC">
      <w:pPr>
        <w:spacing w:before="120" w:line="260" w:lineRule="auto"/>
        <w:ind w:right="649"/>
        <w:jc w:val="both"/>
        <w:rPr>
          <w:rFonts w:ascii="Arial MT" w:eastAsia="Arial MT" w:hAnsi="Arial MT" w:cs="Arial MT"/>
          <w:lang w:val="nl-BE"/>
        </w:rPr>
      </w:pPr>
    </w:p>
    <w:p w14:paraId="7E6DA444" w14:textId="77777777" w:rsidR="00147746" w:rsidRPr="00C416DC" w:rsidRDefault="00147746" w:rsidP="00C416DC">
      <w:pPr>
        <w:numPr>
          <w:ilvl w:val="1"/>
          <w:numId w:val="45"/>
        </w:numPr>
        <w:spacing w:before="120" w:line="260" w:lineRule="auto"/>
        <w:ind w:left="851" w:right="649" w:hanging="567"/>
        <w:jc w:val="both"/>
        <w:rPr>
          <w:rFonts w:ascii="Arial MT" w:eastAsia="Arial MT" w:hAnsi="Arial MT" w:cs="Arial MT"/>
          <w:b/>
          <w:bCs/>
        </w:rPr>
      </w:pPr>
      <w:r>
        <w:rPr>
          <w:rFonts w:ascii="Arial MT" w:hAnsi="Arial MT"/>
          <w:b/>
          <w:bCs/>
        </w:rPr>
        <w:t>Tabel 90.30.b</w:t>
      </w:r>
    </w:p>
    <w:p w14:paraId="4F43C2A8" w14:textId="77777777" w:rsidR="00147746" w:rsidRPr="00E714F2" w:rsidRDefault="00401C3E" w:rsidP="00E714F2">
      <w:pPr>
        <w:spacing w:before="120" w:line="260" w:lineRule="auto"/>
        <w:ind w:left="851" w:right="649"/>
        <w:jc w:val="both"/>
        <w:rPr>
          <w:rFonts w:ascii="Arial MT" w:eastAsia="Arial MT" w:hAnsi="Arial MT" w:cs="Arial MT"/>
        </w:rPr>
      </w:pPr>
      <w:r>
        <w:rPr>
          <w:rFonts w:ascii="Arial MT" w:hAnsi="Arial MT"/>
        </w:rPr>
        <w:t xml:space="preserve">Tabel 90.30.b bevat kwalitatieve gegevens over de methodes die worden gebruikt bij de beoordeling van het renterisico in het banking </w:t>
      </w:r>
      <w:proofErr w:type="spellStart"/>
      <w:r>
        <w:rPr>
          <w:rFonts w:ascii="Arial MT" w:hAnsi="Arial MT"/>
        </w:rPr>
        <w:t>book</w:t>
      </w:r>
      <w:proofErr w:type="spellEnd"/>
      <w:r>
        <w:rPr>
          <w:rFonts w:ascii="Arial MT" w:hAnsi="Arial MT"/>
        </w:rPr>
        <w:t>.</w:t>
      </w:r>
    </w:p>
    <w:p w14:paraId="758F8DE8" w14:textId="77777777" w:rsidR="00147746" w:rsidRPr="002C4174" w:rsidRDefault="00147746" w:rsidP="00D71A22">
      <w:pPr>
        <w:spacing w:before="120" w:line="260" w:lineRule="auto"/>
        <w:ind w:left="851" w:right="649"/>
        <w:jc w:val="both"/>
        <w:rPr>
          <w:lang w:val="nl-BE"/>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28547B3D" w14:textId="77777777" w:rsidTr="00194EAE">
        <w:tc>
          <w:tcPr>
            <w:tcW w:w="1129" w:type="dxa"/>
            <w:shd w:val="clear" w:color="auto" w:fill="D9D9D9" w:themeFill="background1" w:themeFillShade="D9"/>
          </w:tcPr>
          <w:p w14:paraId="1F43E62F" w14:textId="77777777" w:rsidR="00147746" w:rsidRPr="00AE5973" w:rsidRDefault="00147746" w:rsidP="005508CC">
            <w:pPr>
              <w:pStyle w:val="InstructionsText"/>
              <w:rPr>
                <w:rStyle w:val="InstructionsTabelleText"/>
                <w:rFonts w:ascii="Arial MT" w:eastAsia="Arial" w:hAnsi="Arial MT"/>
                <w:szCs w:val="20"/>
              </w:rPr>
            </w:pPr>
            <w:r>
              <w:rPr>
                <w:rStyle w:val="InstructionsTabelleText"/>
                <w:rFonts w:ascii="Arial MT" w:hAnsi="Arial MT"/>
                <w:szCs w:val="20"/>
              </w:rPr>
              <w:t>Lijn(en)</w:t>
            </w:r>
          </w:p>
        </w:tc>
        <w:tc>
          <w:tcPr>
            <w:tcW w:w="7620" w:type="dxa"/>
            <w:shd w:val="clear" w:color="auto" w:fill="D9D9D9" w:themeFill="background1" w:themeFillShade="D9"/>
          </w:tcPr>
          <w:p w14:paraId="0AE257F1" w14:textId="77777777" w:rsidR="00147746" w:rsidRPr="00AE5973" w:rsidRDefault="00147746" w:rsidP="005508CC">
            <w:pPr>
              <w:pStyle w:val="InstructionsText"/>
              <w:rPr>
                <w:rStyle w:val="InstructionsTabelleText"/>
                <w:rFonts w:ascii="Arial MT" w:hAnsi="Arial MT"/>
                <w:bCs/>
                <w:szCs w:val="20"/>
              </w:rPr>
            </w:pPr>
            <w:r>
              <w:rPr>
                <w:rStyle w:val="InstructionsTabelleText"/>
                <w:rFonts w:ascii="Arial MT" w:hAnsi="Arial MT"/>
                <w:szCs w:val="20"/>
              </w:rPr>
              <w:t>Instructies</w:t>
            </w:r>
          </w:p>
        </w:tc>
      </w:tr>
      <w:tr w:rsidR="00147746" w:rsidRPr="00AE5973" w14:paraId="1C924ECE" w14:textId="77777777" w:rsidTr="00194EAE">
        <w:tc>
          <w:tcPr>
            <w:tcW w:w="1129" w:type="dxa"/>
          </w:tcPr>
          <w:p w14:paraId="4C089FF6"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0010</w:t>
            </w:r>
          </w:p>
        </w:tc>
        <w:tc>
          <w:tcPr>
            <w:tcW w:w="7620" w:type="dxa"/>
          </w:tcPr>
          <w:p w14:paraId="01ED812E" w14:textId="77777777" w:rsidR="00147746" w:rsidRPr="0034123C" w:rsidRDefault="00184653" w:rsidP="005508CC">
            <w:pPr>
              <w:pStyle w:val="InstructionsText"/>
              <w:rPr>
                <w:rFonts w:ascii="Arial MT" w:hAnsi="Arial MT"/>
                <w:b/>
                <w:bCs/>
                <w:sz w:val="20"/>
                <w:szCs w:val="20"/>
                <w:u w:val="single"/>
              </w:rPr>
            </w:pPr>
            <w:r>
              <w:rPr>
                <w:rFonts w:ascii="Arial MT" w:hAnsi="Arial MT"/>
                <w:b/>
                <w:bCs/>
                <w:sz w:val="20"/>
                <w:szCs w:val="20"/>
                <w:u w:val="single"/>
              </w:rPr>
              <w:t>Meetmethode (NII/EVE)</w:t>
            </w:r>
          </w:p>
          <w:p w14:paraId="0F8168E7"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welke methode zij gebruikt voor de beoordeling van het renterisico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w:t>
            </w:r>
          </w:p>
          <w:p w14:paraId="72A21951"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Vereenvoudigde gestandaardiseerde methode</w:t>
            </w:r>
          </w:p>
          <w:p w14:paraId="4FB2407F"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Gestandaardiseerde methode</w:t>
            </w:r>
          </w:p>
          <w:p w14:paraId="04611C96" w14:textId="77777777" w:rsidR="00147746" w:rsidRPr="00AE5973" w:rsidRDefault="00147746" w:rsidP="005508CC">
            <w:pPr>
              <w:pStyle w:val="InstructionsText"/>
              <w:numPr>
                <w:ilvl w:val="0"/>
                <w:numId w:val="43"/>
              </w:numPr>
              <w:rPr>
                <w:rFonts w:ascii="Arial MT" w:hAnsi="Arial MT"/>
                <w:b/>
                <w:bCs/>
                <w:sz w:val="20"/>
                <w:szCs w:val="20"/>
              </w:rPr>
            </w:pPr>
            <w:r>
              <w:rPr>
                <w:rFonts w:ascii="Arial MT" w:hAnsi="Arial MT"/>
                <w:sz w:val="20"/>
                <w:szCs w:val="20"/>
              </w:rPr>
              <w:t>Interne meetsystemen</w:t>
            </w:r>
          </w:p>
        </w:tc>
      </w:tr>
      <w:tr w:rsidR="00147746" w:rsidRPr="00AE5973" w14:paraId="19FB7A87" w14:textId="77777777" w:rsidTr="00194EAE">
        <w:tc>
          <w:tcPr>
            <w:tcW w:w="1129" w:type="dxa"/>
          </w:tcPr>
          <w:p w14:paraId="33E60409"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0020</w:t>
            </w:r>
          </w:p>
          <w:p w14:paraId="1A35A6E3"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0030</w:t>
            </w:r>
          </w:p>
          <w:p w14:paraId="17500F3C"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0040</w:t>
            </w:r>
          </w:p>
        </w:tc>
        <w:tc>
          <w:tcPr>
            <w:tcW w:w="7620" w:type="dxa"/>
          </w:tcPr>
          <w:p w14:paraId="7565302F"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Tweede, derde en vierde belangrijkste valuta's (NII/EVE)</w:t>
            </w:r>
          </w:p>
          <w:p w14:paraId="45F66E8A" w14:textId="77777777" w:rsidR="00147746" w:rsidRPr="00AE5973" w:rsidRDefault="00147746" w:rsidP="005508CC">
            <w:pPr>
              <w:pStyle w:val="InstructionsText"/>
              <w:rPr>
                <w:rStyle w:val="InstructionsTabelleberschrift"/>
                <w:rFonts w:ascii="Arial MT" w:hAnsi="Arial MT"/>
                <w:szCs w:val="20"/>
              </w:rPr>
            </w:pPr>
            <w:r>
              <w:rPr>
                <w:rFonts w:ascii="Arial MT" w:hAnsi="Arial MT"/>
                <w:sz w:val="20"/>
                <w:szCs w:val="20"/>
              </w:rPr>
              <w:t xml:space="preserve">De instelling rapporteert in voorkomend geval de drie belangrijkste valuta's na de euro die zij gebruikt bij de beoordeling van de vermogensgevoeligheid en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w:t>
            </w:r>
          </w:p>
        </w:tc>
      </w:tr>
      <w:tr w:rsidR="00147746" w:rsidRPr="00AE5973" w14:paraId="690EA328" w14:textId="77777777" w:rsidTr="00194EAE">
        <w:tc>
          <w:tcPr>
            <w:tcW w:w="1129" w:type="dxa"/>
          </w:tcPr>
          <w:p w14:paraId="5F985114"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0050</w:t>
            </w:r>
          </w:p>
        </w:tc>
        <w:tc>
          <w:tcPr>
            <w:tcW w:w="7620" w:type="dxa"/>
          </w:tcPr>
          <w:p w14:paraId="716B4368"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Andere belangrijke valuta's (NII/EVE)</w:t>
            </w:r>
          </w:p>
          <w:p w14:paraId="3B05D023" w14:textId="77777777" w:rsidR="00147746" w:rsidRPr="00AE5973" w:rsidRDefault="00147746" w:rsidP="005508CC">
            <w:pPr>
              <w:pStyle w:val="InstructionsText"/>
              <w:rPr>
                <w:rStyle w:val="InstructionsTabelleberschrift"/>
                <w:rFonts w:ascii="Arial MT" w:hAnsi="Arial MT"/>
                <w:szCs w:val="20"/>
              </w:rPr>
            </w:pPr>
            <w:r>
              <w:rPr>
                <w:rFonts w:ascii="Arial MT" w:hAnsi="Arial MT"/>
                <w:sz w:val="20"/>
                <w:szCs w:val="20"/>
              </w:rPr>
              <w:t xml:space="preserve">De instelling rapporteert in voorkomend geval de andere belangrijke valuta's die zij gebruikt bij de beoordeling van de vermogensgevoeligheid en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w:t>
            </w:r>
          </w:p>
        </w:tc>
      </w:tr>
      <w:tr w:rsidR="00147746" w:rsidRPr="00AE5973" w14:paraId="181E3745" w14:textId="77777777" w:rsidTr="00194EAE">
        <w:tc>
          <w:tcPr>
            <w:tcW w:w="1129" w:type="dxa"/>
          </w:tcPr>
          <w:p w14:paraId="71962A91"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0060</w:t>
            </w:r>
          </w:p>
        </w:tc>
        <w:tc>
          <w:tcPr>
            <w:tcW w:w="7620" w:type="dxa"/>
          </w:tcPr>
          <w:p w14:paraId="28EBF23D"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Methodologie (NII)</w:t>
            </w:r>
          </w:p>
          <w:p w14:paraId="7EB8E7D9"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welke methode zij gebruikt voor de beoordeling van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w:t>
            </w:r>
          </w:p>
          <w:p w14:paraId="16A359EF"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Analyse van de renteherzieningskloof </w:t>
            </w:r>
          </w:p>
          <w:p w14:paraId="13BDE118"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Volledige herwaardering</w:t>
            </w:r>
          </w:p>
          <w:p w14:paraId="76712331"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Gemengde methode</w:t>
            </w:r>
          </w:p>
          <w:p w14:paraId="6D6007F5"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Overige</w:t>
            </w:r>
          </w:p>
        </w:tc>
      </w:tr>
      <w:tr w:rsidR="00147746" w:rsidRPr="00AE5973" w14:paraId="7670BE32" w14:textId="77777777" w:rsidTr="00194EAE">
        <w:tc>
          <w:tcPr>
            <w:tcW w:w="1129" w:type="dxa"/>
          </w:tcPr>
          <w:p w14:paraId="5A3B0FE2"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0070</w:t>
            </w:r>
          </w:p>
        </w:tc>
        <w:tc>
          <w:tcPr>
            <w:tcW w:w="7620" w:type="dxa"/>
          </w:tcPr>
          <w:p w14:paraId="26DD2553"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Voorwaardelijke kasstromen (NII)</w:t>
            </w:r>
          </w:p>
          <w:p w14:paraId="0CED9AED"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in hoeverre de beoordeling van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gebaseerd is op methodes voor voorwaardelijke kasstroommodellering.</w:t>
            </w:r>
          </w:p>
          <w:p w14:paraId="125D2B4D" w14:textId="77777777" w:rsidR="00147746" w:rsidRPr="00AE5973" w:rsidRDefault="00147746" w:rsidP="005508CC">
            <w:pPr>
              <w:pStyle w:val="InstructionsText"/>
              <w:rPr>
                <w:rFonts w:ascii="Arial MT" w:hAnsi="Arial MT"/>
                <w:sz w:val="20"/>
                <w:szCs w:val="20"/>
              </w:rPr>
            </w:pPr>
            <w:r>
              <w:rPr>
                <w:rFonts w:ascii="Arial MT" w:hAnsi="Arial MT"/>
                <w:sz w:val="20"/>
                <w:szCs w:val="20"/>
              </w:rPr>
              <w:t>Er worden methodes voor voorwaardelijke kasstroommodellering toegepast voor:</w:t>
            </w:r>
          </w:p>
          <w:p w14:paraId="1B52DB1A"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Alle belangrijke elementen </w:t>
            </w:r>
          </w:p>
          <w:p w14:paraId="54AC3BC7"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Sommige belangrijke elementen </w:t>
            </w:r>
          </w:p>
          <w:p w14:paraId="6E7E1822"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Geen enkel element</w:t>
            </w:r>
          </w:p>
        </w:tc>
      </w:tr>
      <w:tr w:rsidR="00147746" w:rsidRPr="00AE5973" w14:paraId="112F1163" w14:textId="77777777" w:rsidTr="00194EAE">
        <w:tc>
          <w:tcPr>
            <w:tcW w:w="1129" w:type="dxa"/>
          </w:tcPr>
          <w:p w14:paraId="5E3D6917"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0080</w:t>
            </w:r>
          </w:p>
        </w:tc>
        <w:tc>
          <w:tcPr>
            <w:tcW w:w="7620" w:type="dxa"/>
          </w:tcPr>
          <w:p w14:paraId="74F58AF8"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Optierisico (NII)</w:t>
            </w:r>
          </w:p>
          <w:p w14:paraId="0AE1305A"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de meting van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het optierisico beoordeelt.</w:t>
            </w:r>
          </w:p>
          <w:p w14:paraId="7C08A1AB"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Ja </w:t>
            </w:r>
          </w:p>
          <w:p w14:paraId="722F0711"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tc>
      </w:tr>
      <w:tr w:rsidR="00147746" w:rsidRPr="00AE5973" w14:paraId="4E00C129" w14:textId="77777777" w:rsidTr="00194EAE">
        <w:tc>
          <w:tcPr>
            <w:tcW w:w="1129" w:type="dxa"/>
          </w:tcPr>
          <w:p w14:paraId="55BAC055"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0090</w:t>
            </w:r>
          </w:p>
        </w:tc>
        <w:tc>
          <w:tcPr>
            <w:tcW w:w="7620" w:type="dxa"/>
          </w:tcPr>
          <w:p w14:paraId="78714DA6"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Basisrisico (NII)</w:t>
            </w:r>
          </w:p>
          <w:p w14:paraId="2DBCD22A"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de meting van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het basisrisico beoordeelt.</w:t>
            </w:r>
          </w:p>
          <w:p w14:paraId="3FD76EA6"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Ja </w:t>
            </w:r>
          </w:p>
          <w:p w14:paraId="46BCA488"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tc>
      </w:tr>
      <w:tr w:rsidR="00147746" w:rsidRPr="00AE5973" w14:paraId="7518810D" w14:textId="77777777" w:rsidTr="00194EAE">
        <w:tc>
          <w:tcPr>
            <w:tcW w:w="1129" w:type="dxa"/>
          </w:tcPr>
          <w:p w14:paraId="0DFF0DE0"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0100</w:t>
            </w:r>
          </w:p>
        </w:tc>
        <w:tc>
          <w:tcPr>
            <w:tcW w:w="7620" w:type="dxa"/>
          </w:tcPr>
          <w:p w14:paraId="0CC404E6"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Methodologie (EVE)</w:t>
            </w:r>
          </w:p>
          <w:p w14:paraId="56FC99B6"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welke methode zij gebruikt voor de beoordeling van de vermogensgevoeligheid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w:t>
            </w:r>
          </w:p>
          <w:p w14:paraId="33A1B0C3"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Analyse van de renteherzieningskloof </w:t>
            </w:r>
          </w:p>
          <w:p w14:paraId="5D06F3EB"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Volledige herwaardering</w:t>
            </w:r>
          </w:p>
          <w:p w14:paraId="6EC8585C"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Gemengde methode</w:t>
            </w:r>
          </w:p>
          <w:p w14:paraId="16F2A10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Overige</w:t>
            </w:r>
          </w:p>
        </w:tc>
      </w:tr>
    </w:tbl>
    <w:p w14:paraId="21A59B7A" w14:textId="77777777" w:rsidR="00E0136A" w:rsidRDefault="00E0136A">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20F96FFA" w14:textId="77777777" w:rsidTr="00194EAE">
        <w:tc>
          <w:tcPr>
            <w:tcW w:w="1129" w:type="dxa"/>
          </w:tcPr>
          <w:p w14:paraId="481BC50F" w14:textId="5673558B"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0110</w:t>
            </w:r>
          </w:p>
        </w:tc>
        <w:tc>
          <w:tcPr>
            <w:tcW w:w="7620" w:type="dxa"/>
          </w:tcPr>
          <w:p w14:paraId="6C63BBAB"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Voorwaardelijke kasstromen (EVE)</w:t>
            </w:r>
          </w:p>
          <w:p w14:paraId="49238C8D"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in hoeverre de beoordeling van de vermogensgevoeligheid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gebaseerd is op methodes voor voorwaardelijke kasstroommodellering.</w:t>
            </w:r>
          </w:p>
          <w:p w14:paraId="73D3D9C2" w14:textId="77777777" w:rsidR="00147746" w:rsidRPr="00AE5973" w:rsidRDefault="00147746" w:rsidP="005508CC">
            <w:pPr>
              <w:pStyle w:val="InstructionsText"/>
              <w:rPr>
                <w:rFonts w:ascii="Arial MT" w:hAnsi="Arial MT"/>
                <w:sz w:val="20"/>
                <w:szCs w:val="20"/>
              </w:rPr>
            </w:pPr>
            <w:r>
              <w:rPr>
                <w:rFonts w:ascii="Arial MT" w:hAnsi="Arial MT"/>
                <w:sz w:val="20"/>
                <w:szCs w:val="20"/>
              </w:rPr>
              <w:t>Er worden methodes voor voorwaardelijke kasstroommodellering toegepast voor:</w:t>
            </w:r>
          </w:p>
          <w:p w14:paraId="2155CDD5"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Alle belangrijke elementen </w:t>
            </w:r>
          </w:p>
          <w:p w14:paraId="73C61CA6"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Sommige belangrijke elementen </w:t>
            </w:r>
          </w:p>
          <w:p w14:paraId="1245F5F5"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Geen enkel element</w:t>
            </w:r>
          </w:p>
        </w:tc>
      </w:tr>
      <w:tr w:rsidR="00147746" w:rsidRPr="00AE5973" w14:paraId="3F496065" w14:textId="77777777" w:rsidTr="00194EAE">
        <w:tc>
          <w:tcPr>
            <w:tcW w:w="1129" w:type="dxa"/>
          </w:tcPr>
          <w:p w14:paraId="1C499799"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0120</w:t>
            </w:r>
          </w:p>
        </w:tc>
        <w:tc>
          <w:tcPr>
            <w:tcW w:w="7620" w:type="dxa"/>
          </w:tcPr>
          <w:p w14:paraId="4E4990E3"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Optierisico (EVE)</w:t>
            </w:r>
          </w:p>
          <w:p w14:paraId="7748392A"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de meting van de vermogensgevoeligheid in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het optierisico beoordeelt.</w:t>
            </w:r>
          </w:p>
          <w:p w14:paraId="28C60542"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Ja </w:t>
            </w:r>
          </w:p>
          <w:p w14:paraId="4FC47856"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tc>
      </w:tr>
      <w:tr w:rsidR="00147746" w:rsidRPr="00AE5973" w14:paraId="78497E5C" w14:textId="77777777" w:rsidTr="00194EAE">
        <w:tc>
          <w:tcPr>
            <w:tcW w:w="1129" w:type="dxa"/>
          </w:tcPr>
          <w:p w14:paraId="7D03E4C5"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0130</w:t>
            </w:r>
          </w:p>
        </w:tc>
        <w:tc>
          <w:tcPr>
            <w:tcW w:w="7620" w:type="dxa"/>
          </w:tcPr>
          <w:p w14:paraId="196C50DB"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Basisrisico (EVE)</w:t>
            </w:r>
          </w:p>
          <w:p w14:paraId="6B669BA0"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de meting van de vermogensgevoeligheid in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het basisrisico beoordeelt.</w:t>
            </w:r>
          </w:p>
          <w:p w14:paraId="5A6D408F"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 xml:space="preserve">Ja </w:t>
            </w:r>
          </w:p>
          <w:p w14:paraId="2C529C78"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tc>
      </w:tr>
      <w:tr w:rsidR="00147746" w:rsidRPr="00AE5973" w14:paraId="16930777" w14:textId="77777777" w:rsidTr="00194EAE">
        <w:tc>
          <w:tcPr>
            <w:tcW w:w="1129" w:type="dxa"/>
          </w:tcPr>
          <w:p w14:paraId="3681764D"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0140</w:t>
            </w:r>
          </w:p>
        </w:tc>
        <w:tc>
          <w:tcPr>
            <w:tcW w:w="7620" w:type="dxa"/>
          </w:tcPr>
          <w:p w14:paraId="1FA42A96"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Commerciële marges en andere spreadcomponenten (EVE)</w:t>
            </w:r>
          </w:p>
          <w:p w14:paraId="78028252"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het meten van de vermogensgevoeligheid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rekening houdt met commerciële marges en andere spreadcomponenten.</w:t>
            </w:r>
          </w:p>
          <w:p w14:paraId="134E8F15"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Ja</w:t>
            </w:r>
          </w:p>
          <w:p w14:paraId="47D3E5E1"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p w14:paraId="2726CCFF"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proofErr w:type="spellStart"/>
            <w:r>
              <w:rPr>
                <w:rFonts w:ascii="Arial MT" w:hAnsi="Arial MT"/>
                <w:sz w:val="20"/>
                <w:szCs w:val="20"/>
              </w:rPr>
              <w:t>Nvt</w:t>
            </w:r>
            <w:proofErr w:type="spellEnd"/>
          </w:p>
        </w:tc>
      </w:tr>
      <w:tr w:rsidR="00147746" w:rsidRPr="00AE5973" w14:paraId="141569CF" w14:textId="77777777" w:rsidTr="00194EAE">
        <w:tc>
          <w:tcPr>
            <w:tcW w:w="1129" w:type="dxa"/>
          </w:tcPr>
          <w:p w14:paraId="219215E2"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0150</w:t>
            </w:r>
          </w:p>
        </w:tc>
        <w:tc>
          <w:tcPr>
            <w:tcW w:w="7620" w:type="dxa"/>
          </w:tcPr>
          <w:p w14:paraId="7C5E34AC"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Boetes bij vervroegde aflossing van leningen (NII)</w:t>
            </w:r>
          </w:p>
          <w:p w14:paraId="4517A5D1"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het meten van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rekening houdt met boetes bij vervroegde aflossing van leningen.</w:t>
            </w:r>
          </w:p>
          <w:p w14:paraId="37411C2B"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Ja</w:t>
            </w:r>
          </w:p>
          <w:p w14:paraId="57E25DE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p w14:paraId="223987A4"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proofErr w:type="spellStart"/>
            <w:r>
              <w:rPr>
                <w:rFonts w:ascii="Arial MT" w:hAnsi="Arial MT"/>
                <w:sz w:val="20"/>
                <w:szCs w:val="20"/>
              </w:rPr>
              <w:t>Nvt</w:t>
            </w:r>
            <w:proofErr w:type="spellEnd"/>
          </w:p>
        </w:tc>
      </w:tr>
      <w:tr w:rsidR="00147746" w:rsidRPr="00AE5973" w14:paraId="4B6B5B2D" w14:textId="77777777" w:rsidTr="00194EAE">
        <w:tc>
          <w:tcPr>
            <w:tcW w:w="1129" w:type="dxa"/>
          </w:tcPr>
          <w:p w14:paraId="1488EBC4"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0160</w:t>
            </w:r>
          </w:p>
        </w:tc>
        <w:tc>
          <w:tcPr>
            <w:tcW w:w="7620" w:type="dxa"/>
          </w:tcPr>
          <w:p w14:paraId="63C96F34"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Pensioenverplichtingen en pensioenplanactiva (EVE)</w:t>
            </w:r>
          </w:p>
          <w:p w14:paraId="41BC1627"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het meten van de vermogensgevoeligheid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rekening houdt met pensioenverplichtingen en pensioenplanactiva.</w:t>
            </w:r>
          </w:p>
          <w:p w14:paraId="67AA9E19"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u w:val="none"/>
              </w:rPr>
            </w:pPr>
            <w:r>
              <w:rPr>
                <w:rStyle w:val="InstructionsTabelleberschrift"/>
                <w:rFonts w:ascii="Arial MT" w:hAnsi="Arial MT"/>
                <w:b w:val="0"/>
                <w:bCs w:val="0"/>
                <w:szCs w:val="20"/>
                <w:u w:val="none"/>
              </w:rPr>
              <w:t>Ja</w:t>
            </w:r>
          </w:p>
          <w:p w14:paraId="17800D4F"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u w:val="none"/>
              </w:rPr>
            </w:pPr>
            <w:r>
              <w:rPr>
                <w:rStyle w:val="InstructionsTabelleberschrift"/>
                <w:rFonts w:ascii="Arial MT" w:hAnsi="Arial MT"/>
                <w:b w:val="0"/>
                <w:bCs w:val="0"/>
                <w:szCs w:val="20"/>
                <w:u w:val="none"/>
              </w:rPr>
              <w:t>Nee</w:t>
            </w:r>
          </w:p>
          <w:p w14:paraId="268B5C94"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proofErr w:type="spellStart"/>
            <w:r>
              <w:rPr>
                <w:rStyle w:val="InstructionsTabelleberschrift"/>
                <w:rFonts w:ascii="Arial MT" w:hAnsi="Arial MT"/>
                <w:b w:val="0"/>
                <w:bCs w:val="0"/>
                <w:szCs w:val="20"/>
                <w:u w:val="none"/>
              </w:rPr>
              <w:t>Nvt</w:t>
            </w:r>
            <w:proofErr w:type="spellEnd"/>
          </w:p>
        </w:tc>
      </w:tr>
    </w:tbl>
    <w:p w14:paraId="635D97AF" w14:textId="77777777" w:rsidR="00E0136A" w:rsidRDefault="00E0136A">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4398208F" w14:textId="77777777" w:rsidTr="00194EAE">
        <w:tc>
          <w:tcPr>
            <w:tcW w:w="1129" w:type="dxa"/>
          </w:tcPr>
          <w:p w14:paraId="7095BD23" w14:textId="694A52F6"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0170</w:t>
            </w:r>
          </w:p>
        </w:tc>
        <w:tc>
          <w:tcPr>
            <w:tcW w:w="7620" w:type="dxa"/>
          </w:tcPr>
          <w:p w14:paraId="3B85E838"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Niet-renderende blootstellingen (EVE)</w:t>
            </w:r>
          </w:p>
          <w:p w14:paraId="1B2A739A"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 die zij gebruikt voor het meten van de vermogensgevoeligheid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rekening houdt met niet-renderende blootstellingen.</w:t>
            </w:r>
          </w:p>
          <w:p w14:paraId="46A1AAD2"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Ja</w:t>
            </w:r>
          </w:p>
          <w:p w14:paraId="432305E4"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p w14:paraId="31A5E03C"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proofErr w:type="spellStart"/>
            <w:r>
              <w:rPr>
                <w:rFonts w:ascii="Arial MT" w:hAnsi="Arial MT"/>
                <w:sz w:val="20"/>
                <w:szCs w:val="20"/>
              </w:rPr>
              <w:t>Nvt</w:t>
            </w:r>
            <w:proofErr w:type="spellEnd"/>
          </w:p>
        </w:tc>
      </w:tr>
      <w:tr w:rsidR="00147746" w:rsidRPr="00AE5973" w14:paraId="7C3BFE75" w14:textId="77777777" w:rsidTr="00194EAE">
        <w:tc>
          <w:tcPr>
            <w:tcW w:w="1129" w:type="dxa"/>
          </w:tcPr>
          <w:p w14:paraId="3E25E1B8"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0180</w:t>
            </w:r>
          </w:p>
        </w:tc>
        <w:tc>
          <w:tcPr>
            <w:tcW w:w="7620" w:type="dxa"/>
          </w:tcPr>
          <w:p w14:paraId="4E512C88" w14:textId="77777777" w:rsidR="00147746" w:rsidRPr="00AE5973"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Verplichtingen uit hoofde van leningen met een vaste rente (EVE/NII)</w:t>
            </w:r>
          </w:p>
          <w:p w14:paraId="1B262B56"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de methodes die zij gebruikt voor het meten van de vermogensgevoeligheid en de inkomstengevoeligheid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rekening houdt met verplichtingen uit hoofde van leningen met een vaste rente.</w:t>
            </w:r>
          </w:p>
          <w:p w14:paraId="22593220"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Ja</w:t>
            </w:r>
          </w:p>
          <w:p w14:paraId="52E4ABB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p w14:paraId="299CB798"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proofErr w:type="spellStart"/>
            <w:r>
              <w:rPr>
                <w:rFonts w:ascii="Arial MT" w:hAnsi="Arial MT"/>
                <w:sz w:val="20"/>
                <w:szCs w:val="20"/>
              </w:rPr>
              <w:t>Nvt</w:t>
            </w:r>
            <w:proofErr w:type="spellEnd"/>
          </w:p>
        </w:tc>
      </w:tr>
      <w:tr w:rsidR="00147746" w:rsidRPr="00AE5973" w14:paraId="6B83F7CE" w14:textId="77777777" w:rsidTr="00194EAE">
        <w:tc>
          <w:tcPr>
            <w:tcW w:w="1129" w:type="dxa"/>
          </w:tcPr>
          <w:p w14:paraId="249DD035"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0190</w:t>
            </w:r>
          </w:p>
        </w:tc>
        <w:tc>
          <w:tcPr>
            <w:tcW w:w="7620" w:type="dxa"/>
          </w:tcPr>
          <w:p w14:paraId="554944EA" w14:textId="77777777" w:rsidR="00147746" w:rsidRPr="00437FA4" w:rsidRDefault="00147746" w:rsidP="005508CC">
            <w:pPr>
              <w:pStyle w:val="InstructionsText"/>
              <w:rPr>
                <w:rFonts w:ascii="Arial MT" w:hAnsi="Arial MT"/>
                <w:b/>
                <w:bCs/>
                <w:sz w:val="20"/>
                <w:szCs w:val="20"/>
                <w:u w:val="single"/>
              </w:rPr>
            </w:pPr>
            <w:r>
              <w:rPr>
                <w:rFonts w:ascii="Arial MT" w:hAnsi="Arial MT"/>
                <w:b/>
                <w:bCs/>
                <w:sz w:val="20"/>
                <w:szCs w:val="20"/>
                <w:u w:val="single"/>
              </w:rPr>
              <w:t>Risico van vroegtijdige aflossing (EVE/NII)</w:t>
            </w:r>
          </w:p>
          <w:p w14:paraId="76E59FAB"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het risico van vroegtijdige aflossing voor </w:t>
            </w:r>
            <w:proofErr w:type="spellStart"/>
            <w:r>
              <w:rPr>
                <w:rFonts w:ascii="Arial MT" w:hAnsi="Arial MT"/>
                <w:sz w:val="20"/>
                <w:szCs w:val="20"/>
              </w:rPr>
              <w:t>retailactiviteiten</w:t>
            </w:r>
            <w:proofErr w:type="spellEnd"/>
            <w:r>
              <w:rPr>
                <w:rFonts w:ascii="Arial MT" w:hAnsi="Arial MT"/>
                <w:sz w:val="20"/>
                <w:szCs w:val="20"/>
              </w:rPr>
              <w:t xml:space="preserve"> wordt beoordeeld aan de hand van de methodes die worden gebruikt om de vermogensgevoeligheid en de inkomstengevoeligheid te meten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w:t>
            </w:r>
          </w:p>
          <w:p w14:paraId="622B5B14"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Ja</w:t>
            </w:r>
          </w:p>
          <w:p w14:paraId="34520720"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p w14:paraId="49E82FF0"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proofErr w:type="spellStart"/>
            <w:r>
              <w:rPr>
                <w:rFonts w:ascii="Arial MT" w:hAnsi="Arial MT"/>
                <w:sz w:val="20"/>
                <w:szCs w:val="20"/>
              </w:rPr>
              <w:t>Nvt</w:t>
            </w:r>
            <w:proofErr w:type="spellEnd"/>
          </w:p>
        </w:tc>
      </w:tr>
      <w:tr w:rsidR="00147746" w:rsidRPr="00AE5973" w14:paraId="7A96E47D" w14:textId="77777777" w:rsidTr="00194EAE">
        <w:tc>
          <w:tcPr>
            <w:tcW w:w="1129" w:type="dxa"/>
          </w:tcPr>
          <w:p w14:paraId="40C69013"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0200</w:t>
            </w:r>
          </w:p>
        </w:tc>
        <w:tc>
          <w:tcPr>
            <w:tcW w:w="7620" w:type="dxa"/>
          </w:tcPr>
          <w:p w14:paraId="1C91F4A8" w14:textId="77777777" w:rsidR="00147746" w:rsidRPr="00437FA4" w:rsidRDefault="00147746" w:rsidP="005508CC">
            <w:pPr>
              <w:pStyle w:val="InstructionsText"/>
              <w:rPr>
                <w:rFonts w:ascii="Arial MT" w:hAnsi="Arial MT"/>
                <w:b/>
                <w:bCs/>
                <w:sz w:val="20"/>
                <w:szCs w:val="20"/>
                <w:u w:val="single"/>
              </w:rPr>
            </w:pPr>
            <w:r>
              <w:rPr>
                <w:rFonts w:ascii="Arial MT" w:hAnsi="Arial MT"/>
                <w:b/>
                <w:bCs/>
                <w:sz w:val="20"/>
                <w:szCs w:val="20"/>
                <w:u w:val="single"/>
              </w:rPr>
              <w:t>Risico van vervroegde afkoop (EVE/NII)</w:t>
            </w:r>
          </w:p>
          <w:p w14:paraId="26639D03" w14:textId="77777777" w:rsidR="00147746" w:rsidRPr="00AE5973" w:rsidRDefault="00147746" w:rsidP="005508CC">
            <w:pPr>
              <w:pStyle w:val="InstructionsText"/>
              <w:rPr>
                <w:rFonts w:ascii="Arial MT" w:hAnsi="Arial MT"/>
                <w:sz w:val="20"/>
                <w:szCs w:val="20"/>
              </w:rPr>
            </w:pPr>
            <w:r>
              <w:rPr>
                <w:rFonts w:ascii="Arial MT" w:hAnsi="Arial MT"/>
                <w:sz w:val="20"/>
                <w:szCs w:val="20"/>
              </w:rPr>
              <w:t xml:space="preserve">De instelling geeft aan of het risico van vervroegde afkoop voor </w:t>
            </w:r>
            <w:proofErr w:type="spellStart"/>
            <w:r>
              <w:rPr>
                <w:rFonts w:ascii="Arial MT" w:hAnsi="Arial MT"/>
                <w:sz w:val="20"/>
                <w:szCs w:val="20"/>
              </w:rPr>
              <w:t>retailactiviteiten</w:t>
            </w:r>
            <w:proofErr w:type="spellEnd"/>
            <w:r>
              <w:rPr>
                <w:rFonts w:ascii="Arial MT" w:hAnsi="Arial MT"/>
                <w:sz w:val="20"/>
                <w:szCs w:val="20"/>
              </w:rPr>
              <w:t xml:space="preserve"> wordt beoordeeld aan de hand van de methodes die worden gebruikt om de vermogensgevoeligheid en de inkomstengevoeligheid te meten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w:t>
            </w:r>
          </w:p>
          <w:p w14:paraId="568B369C"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Ja</w:t>
            </w:r>
          </w:p>
          <w:p w14:paraId="35BAD331"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Nee</w:t>
            </w:r>
          </w:p>
          <w:p w14:paraId="5B44D471" w14:textId="77777777" w:rsidR="00147746" w:rsidRPr="00AE5973" w:rsidRDefault="00147746" w:rsidP="005508CC">
            <w:pPr>
              <w:pStyle w:val="InstructionsText"/>
              <w:numPr>
                <w:ilvl w:val="0"/>
                <w:numId w:val="43"/>
              </w:numPr>
              <w:rPr>
                <w:rStyle w:val="InstructionsTabelleberschrift"/>
                <w:rFonts w:ascii="Arial MT" w:hAnsi="Arial MT"/>
                <w:b w:val="0"/>
                <w:bCs w:val="0"/>
                <w:szCs w:val="20"/>
              </w:rPr>
            </w:pPr>
            <w:proofErr w:type="spellStart"/>
            <w:r>
              <w:rPr>
                <w:rFonts w:ascii="Arial MT" w:hAnsi="Arial MT"/>
                <w:sz w:val="20"/>
                <w:szCs w:val="20"/>
              </w:rPr>
              <w:t>Nvt</w:t>
            </w:r>
            <w:proofErr w:type="spellEnd"/>
          </w:p>
        </w:tc>
      </w:tr>
      <w:tr w:rsidR="00147746" w:rsidRPr="00AE5973" w14:paraId="3AB806AF" w14:textId="77777777" w:rsidTr="00194EAE">
        <w:tc>
          <w:tcPr>
            <w:tcW w:w="1129" w:type="dxa"/>
          </w:tcPr>
          <w:p w14:paraId="09C88FC4"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0210</w:t>
            </w:r>
          </w:p>
        </w:tc>
        <w:tc>
          <w:tcPr>
            <w:tcW w:w="7620" w:type="dxa"/>
          </w:tcPr>
          <w:p w14:paraId="6E400B85" w14:textId="77777777" w:rsidR="00147746" w:rsidRPr="00437FA4" w:rsidRDefault="00147746" w:rsidP="005508CC">
            <w:pPr>
              <w:pStyle w:val="InstructionsText"/>
              <w:rPr>
                <w:rFonts w:ascii="Arial MT" w:hAnsi="Arial MT"/>
                <w:b/>
                <w:bCs/>
                <w:sz w:val="20"/>
                <w:szCs w:val="20"/>
                <w:u w:val="single"/>
              </w:rPr>
            </w:pPr>
            <w:r>
              <w:rPr>
                <w:rFonts w:ascii="Arial MT" w:hAnsi="Arial MT"/>
                <w:b/>
                <w:bCs/>
                <w:sz w:val="20"/>
                <w:szCs w:val="20"/>
                <w:u w:val="single"/>
              </w:rPr>
              <w:t>Modellering van deposito's zonder contractuele looptijd (EVE/NII)</w:t>
            </w:r>
          </w:p>
          <w:p w14:paraId="2A06EBCC" w14:textId="77777777" w:rsidR="00147746" w:rsidRPr="00AE5973" w:rsidRDefault="00147746" w:rsidP="005508CC">
            <w:pPr>
              <w:pStyle w:val="InstructionsText"/>
              <w:rPr>
                <w:rFonts w:ascii="Arial MT" w:hAnsi="Arial MT"/>
                <w:sz w:val="20"/>
                <w:szCs w:val="20"/>
              </w:rPr>
            </w:pPr>
            <w:r>
              <w:rPr>
                <w:rFonts w:ascii="Arial MT" w:hAnsi="Arial MT"/>
                <w:sz w:val="20"/>
                <w:szCs w:val="20"/>
              </w:rPr>
              <w:t>De instelling geeft aan welke methode ze gebruikt om de door gedrag tot stand gekomen renteherzieningsdatum voor deposito's zonder contractuele looptijd te bepalen. </w:t>
            </w:r>
          </w:p>
          <w:p w14:paraId="6690BBF6"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Tijdreeksmodel (BCBS/EBA stabiel/niet-stabiel/PTR-benadering)</w:t>
            </w:r>
          </w:p>
          <w:p w14:paraId="5987B7D0"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Replicerende portefeuille</w:t>
            </w:r>
          </w:p>
          <w:p w14:paraId="46A39289"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Economische modellen (modellering van de toewijzing van het financieel vermogen aan deposito's zonder contractuele looptijd of alternatieve beleggingen op basis van verschillende marktscenario's en economische factoren)</w:t>
            </w:r>
          </w:p>
          <w:p w14:paraId="0C3961CC"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Deskundig advies</w:t>
            </w:r>
          </w:p>
          <w:p w14:paraId="1069824A" w14:textId="77777777" w:rsidR="00147746" w:rsidRPr="00AE5973" w:rsidRDefault="00147746" w:rsidP="005508CC">
            <w:pPr>
              <w:pStyle w:val="InstructionsText"/>
              <w:numPr>
                <w:ilvl w:val="0"/>
                <w:numId w:val="43"/>
              </w:numPr>
              <w:rPr>
                <w:rFonts w:ascii="Arial MT" w:hAnsi="Arial MT"/>
                <w:sz w:val="20"/>
                <w:szCs w:val="20"/>
              </w:rPr>
            </w:pPr>
            <w:r>
              <w:rPr>
                <w:rFonts w:ascii="Arial MT" w:hAnsi="Arial MT"/>
                <w:sz w:val="20"/>
                <w:szCs w:val="20"/>
              </w:rPr>
              <w:t>Overige</w:t>
            </w:r>
          </w:p>
        </w:tc>
      </w:tr>
    </w:tbl>
    <w:p w14:paraId="0CB237B1" w14:textId="77777777" w:rsidR="00E0136A" w:rsidRDefault="00E0136A">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AE5973" w14:paraId="7546DD91" w14:textId="77777777" w:rsidTr="00194EAE">
        <w:tc>
          <w:tcPr>
            <w:tcW w:w="1129" w:type="dxa"/>
          </w:tcPr>
          <w:p w14:paraId="40E52B16" w14:textId="1890F921"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0220</w:t>
            </w:r>
          </w:p>
        </w:tc>
        <w:tc>
          <w:tcPr>
            <w:tcW w:w="7620" w:type="dxa"/>
          </w:tcPr>
          <w:p w14:paraId="32B2B7B8" w14:textId="77777777" w:rsidR="00147746" w:rsidRPr="00133E60" w:rsidRDefault="006D5E08" w:rsidP="005508CC">
            <w:pPr>
              <w:pStyle w:val="InstructionsText"/>
              <w:rPr>
                <w:rFonts w:ascii="Arial MT" w:hAnsi="Arial MT"/>
                <w:b/>
                <w:bCs/>
                <w:sz w:val="20"/>
                <w:szCs w:val="20"/>
                <w:u w:val="single"/>
              </w:rPr>
            </w:pPr>
            <w:r>
              <w:rPr>
                <w:rFonts w:ascii="Arial MT" w:hAnsi="Arial MT"/>
                <w:b/>
                <w:bCs/>
                <w:sz w:val="20"/>
                <w:szCs w:val="20"/>
                <w:u w:val="single"/>
              </w:rPr>
              <w:t>Toewijzing van kernsaldi</w:t>
            </w:r>
          </w:p>
          <w:p w14:paraId="0D3EE7B0" w14:textId="77777777" w:rsidR="00147746" w:rsidRPr="00AE5973" w:rsidRDefault="00147746" w:rsidP="005508CC">
            <w:pPr>
              <w:pStyle w:val="InstructionsText"/>
              <w:rPr>
                <w:rFonts w:ascii="Arial MT" w:hAnsi="Arial MT"/>
                <w:sz w:val="20"/>
                <w:szCs w:val="20"/>
              </w:rPr>
            </w:pPr>
            <w:r>
              <w:rPr>
                <w:rFonts w:ascii="Arial MT" w:hAnsi="Arial MT"/>
                <w:sz w:val="20"/>
                <w:szCs w:val="20"/>
              </w:rPr>
              <w:t>De instelling geeft aan welke benadering ze gebruikt voor de toewijzing van de kernsaldi van deposito’s zonder contractuele looptijd.</w:t>
            </w:r>
          </w:p>
          <w:p w14:paraId="414AF63F" w14:textId="77777777" w:rsidR="00147746" w:rsidRPr="00AE5973" w:rsidRDefault="00147746" w:rsidP="00147746">
            <w:pPr>
              <w:pStyle w:val="ListParagraph"/>
              <w:widowControl/>
              <w:numPr>
                <w:ilvl w:val="0"/>
                <w:numId w:val="43"/>
              </w:numPr>
              <w:autoSpaceDE/>
              <w:autoSpaceDN/>
              <w:spacing w:after="120"/>
              <w:rPr>
                <w:b/>
                <w:bCs/>
                <w:sz w:val="20"/>
                <w:szCs w:val="20"/>
              </w:rPr>
            </w:pPr>
            <w:r>
              <w:rPr>
                <w:sz w:val="20"/>
                <w:szCs w:val="20"/>
              </w:rPr>
              <w:t>Alle kernsaldi van deposito’s zonder contractuele looptijd worden op dezelfde renteherzieningsdatum toegewezen.</w:t>
            </w:r>
          </w:p>
          <w:p w14:paraId="73D5A846" w14:textId="77777777" w:rsidR="00147746" w:rsidRPr="00AE5973" w:rsidRDefault="00147746" w:rsidP="00147746">
            <w:pPr>
              <w:pStyle w:val="ListParagraph"/>
              <w:widowControl/>
              <w:numPr>
                <w:ilvl w:val="0"/>
                <w:numId w:val="43"/>
              </w:numPr>
              <w:autoSpaceDE/>
              <w:autoSpaceDN/>
              <w:spacing w:after="120"/>
              <w:rPr>
                <w:b/>
                <w:bCs/>
                <w:sz w:val="20"/>
                <w:szCs w:val="20"/>
              </w:rPr>
            </w:pPr>
            <w:r>
              <w:rPr>
                <w:sz w:val="20"/>
                <w:szCs w:val="20"/>
              </w:rPr>
              <w:t>De kernsaldi van deposito’s zonder contractuele looptijd worden op verschillende renteherzieningsdata toegewezen.</w:t>
            </w:r>
          </w:p>
          <w:p w14:paraId="66A57A04" w14:textId="77777777" w:rsidR="00147746" w:rsidRPr="00AE5973" w:rsidRDefault="00147746" w:rsidP="00147746">
            <w:pPr>
              <w:pStyle w:val="ListParagraph"/>
              <w:widowControl/>
              <w:numPr>
                <w:ilvl w:val="0"/>
                <w:numId w:val="43"/>
              </w:numPr>
              <w:autoSpaceDE/>
              <w:autoSpaceDN/>
              <w:spacing w:after="120"/>
              <w:rPr>
                <w:b/>
                <w:bCs/>
                <w:sz w:val="20"/>
                <w:szCs w:val="20"/>
              </w:rPr>
            </w:pPr>
            <w:proofErr w:type="spellStart"/>
            <w:r>
              <w:rPr>
                <w:sz w:val="20"/>
                <w:szCs w:val="20"/>
              </w:rPr>
              <w:t>Nvt</w:t>
            </w:r>
            <w:proofErr w:type="spellEnd"/>
          </w:p>
        </w:tc>
      </w:tr>
      <w:tr w:rsidR="00147746" w:rsidRPr="00AE5973" w14:paraId="37851D5A" w14:textId="77777777" w:rsidTr="00194EAE">
        <w:tc>
          <w:tcPr>
            <w:tcW w:w="1129" w:type="dxa"/>
          </w:tcPr>
          <w:p w14:paraId="3AAEF604" w14:textId="77777777" w:rsidR="00147746" w:rsidRPr="00AE5973"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0230</w:t>
            </w:r>
          </w:p>
        </w:tc>
        <w:tc>
          <w:tcPr>
            <w:tcW w:w="7620" w:type="dxa"/>
          </w:tcPr>
          <w:p w14:paraId="6520D87C" w14:textId="02976DBF" w:rsidR="00147746" w:rsidRPr="00AE5973" w:rsidRDefault="00147746" w:rsidP="005508CC">
            <w:pPr>
              <w:pStyle w:val="InstructionsText"/>
              <w:rPr>
                <w:rFonts w:ascii="Arial MT" w:hAnsi="Arial MT"/>
                <w:b/>
                <w:bCs/>
                <w:sz w:val="20"/>
                <w:szCs w:val="20"/>
                <w:u w:val="single"/>
              </w:rPr>
            </w:pPr>
            <w:r>
              <w:rPr>
                <w:rFonts w:ascii="Arial MT" w:hAnsi="Arial MT"/>
                <w:b/>
                <w:bCs/>
                <w:sz w:val="20"/>
                <w:szCs w:val="20"/>
                <w:u w:val="single"/>
              </w:rPr>
              <w:t xml:space="preserve">Modellering van </w:t>
            </w:r>
            <w:r w:rsidR="001F4F28">
              <w:rPr>
                <w:rFonts w:ascii="Arial MT" w:hAnsi="Arial MT"/>
                <w:b/>
                <w:bCs/>
                <w:sz w:val="20"/>
                <w:szCs w:val="20"/>
                <w:u w:val="single"/>
              </w:rPr>
              <w:t xml:space="preserve">operationele </w:t>
            </w:r>
            <w:r>
              <w:rPr>
                <w:rFonts w:ascii="Arial MT" w:hAnsi="Arial MT"/>
                <w:b/>
                <w:bCs/>
                <w:sz w:val="20"/>
                <w:szCs w:val="20"/>
                <w:u w:val="single"/>
              </w:rPr>
              <w:t>deposito's zonder contractuele looptijd van financiële cliënten</w:t>
            </w:r>
          </w:p>
          <w:p w14:paraId="381DEF81" w14:textId="77777777" w:rsidR="00147746" w:rsidRPr="00AE5973" w:rsidRDefault="00147746" w:rsidP="00194EAE">
            <w:pPr>
              <w:rPr>
                <w:rFonts w:ascii="Arial MT" w:hAnsi="Arial MT"/>
              </w:rPr>
            </w:pPr>
            <w:r>
              <w:rPr>
                <w:rFonts w:ascii="Arial MT" w:hAnsi="Arial MT"/>
              </w:rPr>
              <w:t>De instelling geeft aan of operationele deposito's van financiële cliënten in de zin van artikel 27, lid 1, onder a), van Gedelegeerde Verordening (EU) 2015/61 van de Commissie met betrekking tot het liquiditeitsdekkingsvereiste voor kredietinstellingen aan gedragsmodellering worden onderworpen.</w:t>
            </w:r>
          </w:p>
          <w:p w14:paraId="6F79F543" w14:textId="77777777" w:rsidR="00147746" w:rsidRPr="00AE5973" w:rsidRDefault="00147746" w:rsidP="00147746">
            <w:pPr>
              <w:pStyle w:val="ListParagraph"/>
              <w:widowControl/>
              <w:numPr>
                <w:ilvl w:val="0"/>
                <w:numId w:val="43"/>
              </w:numPr>
              <w:autoSpaceDE/>
              <w:autoSpaceDN/>
              <w:spacing w:after="120"/>
              <w:rPr>
                <w:sz w:val="20"/>
                <w:szCs w:val="20"/>
              </w:rPr>
            </w:pPr>
            <w:r>
              <w:rPr>
                <w:sz w:val="20"/>
                <w:szCs w:val="20"/>
              </w:rPr>
              <w:t xml:space="preserve">Ja </w:t>
            </w:r>
          </w:p>
          <w:p w14:paraId="34C2FD88" w14:textId="77777777" w:rsidR="00147746" w:rsidRPr="00AE5973" w:rsidRDefault="00147746" w:rsidP="00147746">
            <w:pPr>
              <w:pStyle w:val="ListParagraph"/>
              <w:widowControl/>
              <w:numPr>
                <w:ilvl w:val="0"/>
                <w:numId w:val="43"/>
              </w:numPr>
              <w:autoSpaceDE/>
              <w:autoSpaceDN/>
              <w:spacing w:after="120"/>
              <w:rPr>
                <w:sz w:val="20"/>
                <w:szCs w:val="20"/>
              </w:rPr>
            </w:pPr>
            <w:r>
              <w:rPr>
                <w:sz w:val="20"/>
                <w:szCs w:val="20"/>
              </w:rPr>
              <w:t xml:space="preserve">Nee </w:t>
            </w:r>
          </w:p>
        </w:tc>
      </w:tr>
    </w:tbl>
    <w:p w14:paraId="08C3E276" w14:textId="77777777" w:rsidR="00021FFE" w:rsidRDefault="00021FFE" w:rsidP="00021FFE">
      <w:pPr>
        <w:spacing w:before="120" w:line="260" w:lineRule="auto"/>
        <w:ind w:left="851" w:right="649"/>
        <w:jc w:val="both"/>
        <w:rPr>
          <w:rFonts w:ascii="Arial MT" w:eastAsia="Arial MT" w:hAnsi="Arial MT" w:cs="Arial MT"/>
          <w:b/>
          <w:bCs/>
          <w:lang w:val="fr-BE"/>
        </w:rPr>
      </w:pPr>
    </w:p>
    <w:p w14:paraId="5DD37765" w14:textId="77777777" w:rsidR="00147746" w:rsidRPr="00021FFE" w:rsidRDefault="00147746" w:rsidP="00021FFE">
      <w:pPr>
        <w:numPr>
          <w:ilvl w:val="1"/>
          <w:numId w:val="45"/>
        </w:numPr>
        <w:spacing w:before="120" w:line="260" w:lineRule="auto"/>
        <w:ind w:left="851" w:right="649" w:hanging="567"/>
        <w:jc w:val="both"/>
        <w:rPr>
          <w:rFonts w:ascii="Arial MT" w:eastAsia="Arial MT" w:hAnsi="Arial MT" w:cs="Arial MT"/>
          <w:b/>
          <w:bCs/>
        </w:rPr>
      </w:pPr>
      <w:r>
        <w:rPr>
          <w:rFonts w:ascii="Arial MT" w:hAnsi="Arial MT"/>
          <w:b/>
          <w:bCs/>
        </w:rPr>
        <w:t>Tabel 90.30.c</w:t>
      </w:r>
    </w:p>
    <w:p w14:paraId="1498562E" w14:textId="77777777" w:rsidR="00147746" w:rsidRDefault="00147746" w:rsidP="00E714F2">
      <w:pPr>
        <w:spacing w:before="120" w:line="260" w:lineRule="auto"/>
        <w:ind w:left="851" w:right="649"/>
        <w:jc w:val="both"/>
        <w:rPr>
          <w:rFonts w:ascii="Arial MT" w:eastAsia="Arial MT" w:hAnsi="Arial MT" w:cs="Arial MT"/>
        </w:rPr>
      </w:pPr>
      <w:r>
        <w:rPr>
          <w:rFonts w:ascii="Arial MT" w:hAnsi="Arial MT"/>
        </w:rPr>
        <w:t xml:space="preserve">Deze tabel bevat aanvullende informatie over de parameters die worden gebruikt voor de beoordeling van het renterisico in het banking </w:t>
      </w:r>
      <w:proofErr w:type="spellStart"/>
      <w:r>
        <w:rPr>
          <w:rFonts w:ascii="Arial MT" w:hAnsi="Arial MT"/>
        </w:rPr>
        <w:t>book</w:t>
      </w:r>
      <w:proofErr w:type="spellEnd"/>
      <w:r>
        <w:rPr>
          <w:rFonts w:ascii="Arial MT" w:hAnsi="Arial MT"/>
        </w:rPr>
        <w:t xml:space="preserve">, alsmede over de resultaten van de modellering van vervroegde aflossingen van leningen en de resultaten van de modellering van deposito's zonder contractuele looptijd. De instelling rapporteert in voorkomend geval gegevens over de vier belangrijkste valuta's die in het kader van de </w:t>
      </w:r>
      <w:proofErr w:type="spellStart"/>
      <w:r>
        <w:rPr>
          <w:rFonts w:ascii="Arial MT" w:hAnsi="Arial MT"/>
        </w:rPr>
        <w:t>prudentiële</w:t>
      </w:r>
      <w:proofErr w:type="spellEnd"/>
      <w:r>
        <w:rPr>
          <w:rFonts w:ascii="Arial MT" w:hAnsi="Arial MT"/>
        </w:rPr>
        <w:t xml:space="preserve"> </w:t>
      </w:r>
      <w:proofErr w:type="spellStart"/>
      <w:r>
        <w:rPr>
          <w:rFonts w:ascii="Arial MT" w:hAnsi="Arial MT"/>
        </w:rPr>
        <w:t>outliertests</w:t>
      </w:r>
      <w:proofErr w:type="spellEnd"/>
      <w:r>
        <w:rPr>
          <w:rFonts w:ascii="Arial MT" w:hAnsi="Arial MT"/>
        </w:rPr>
        <w:t xml:space="preserve"> worden gerapporteerd (kolommen 0010, 0020, 0030 en 0040).</w:t>
      </w:r>
    </w:p>
    <w:p w14:paraId="332ED92F" w14:textId="77777777" w:rsidR="00E714F2" w:rsidRPr="002C4174" w:rsidRDefault="00E714F2" w:rsidP="00E714F2">
      <w:pPr>
        <w:spacing w:before="120" w:line="260" w:lineRule="auto"/>
        <w:ind w:left="851" w:right="649"/>
        <w:jc w:val="both"/>
        <w:rPr>
          <w:rFonts w:ascii="Arial MT" w:eastAsia="Arial MT" w:hAnsi="Arial MT" w:cs="Arial MT"/>
          <w:lang w:val="nl-BE"/>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E714F2" w14:paraId="3AE972A6" w14:textId="77777777" w:rsidTr="00194EAE">
        <w:tc>
          <w:tcPr>
            <w:tcW w:w="1129" w:type="dxa"/>
            <w:shd w:val="clear" w:color="auto" w:fill="D9D9D9" w:themeFill="background1" w:themeFillShade="D9"/>
          </w:tcPr>
          <w:p w14:paraId="274EBBF0" w14:textId="77777777" w:rsidR="00147746" w:rsidRPr="00E714F2" w:rsidRDefault="00147746" w:rsidP="005508CC">
            <w:pPr>
              <w:pStyle w:val="InstructionsText"/>
              <w:rPr>
                <w:rStyle w:val="InstructionsTabelleText"/>
                <w:rFonts w:ascii="Arial MT" w:eastAsia="Arial" w:hAnsi="Arial MT"/>
                <w:szCs w:val="20"/>
              </w:rPr>
            </w:pPr>
            <w:r>
              <w:rPr>
                <w:rStyle w:val="InstructionsTabelleText"/>
                <w:rFonts w:ascii="Arial MT" w:hAnsi="Arial MT"/>
                <w:szCs w:val="20"/>
              </w:rPr>
              <w:t>Lijn(en)</w:t>
            </w:r>
          </w:p>
        </w:tc>
        <w:tc>
          <w:tcPr>
            <w:tcW w:w="7620" w:type="dxa"/>
            <w:shd w:val="clear" w:color="auto" w:fill="D9D9D9" w:themeFill="background1" w:themeFillShade="D9"/>
          </w:tcPr>
          <w:p w14:paraId="128CB431" w14:textId="77777777" w:rsidR="00147746" w:rsidRPr="00E714F2" w:rsidRDefault="00147746" w:rsidP="005508CC">
            <w:pPr>
              <w:pStyle w:val="InstructionsText"/>
              <w:rPr>
                <w:rStyle w:val="InstructionsTabelleText"/>
                <w:rFonts w:ascii="Arial MT" w:hAnsi="Arial MT"/>
                <w:bCs/>
                <w:szCs w:val="20"/>
              </w:rPr>
            </w:pPr>
            <w:r>
              <w:rPr>
                <w:rStyle w:val="InstructionsTabelleText"/>
                <w:rFonts w:ascii="Arial MT" w:hAnsi="Arial MT"/>
                <w:szCs w:val="20"/>
              </w:rPr>
              <w:t>Instructies</w:t>
            </w:r>
          </w:p>
        </w:tc>
      </w:tr>
      <w:tr w:rsidR="00147746" w:rsidRPr="00E714F2" w14:paraId="03539446" w14:textId="77777777" w:rsidTr="00194EAE">
        <w:tc>
          <w:tcPr>
            <w:tcW w:w="1129" w:type="dxa"/>
          </w:tcPr>
          <w:p w14:paraId="28E022A6"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0010</w:t>
            </w:r>
          </w:p>
        </w:tc>
        <w:tc>
          <w:tcPr>
            <w:tcW w:w="7620" w:type="dxa"/>
          </w:tcPr>
          <w:p w14:paraId="399DF3B3"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 xml:space="preserve">Aandeel in het banking </w:t>
            </w:r>
            <w:proofErr w:type="spellStart"/>
            <w:r>
              <w:rPr>
                <w:rStyle w:val="InstructionsTabelleberschrift"/>
                <w:rFonts w:ascii="Arial MT" w:hAnsi="Arial MT"/>
                <w:szCs w:val="20"/>
              </w:rPr>
              <w:t>book</w:t>
            </w:r>
            <w:proofErr w:type="spellEnd"/>
          </w:p>
          <w:p w14:paraId="7B9AF91C" w14:textId="77777777" w:rsidR="00147746" w:rsidRPr="00E714F2" w:rsidRDefault="00147746" w:rsidP="005508CC">
            <w:pPr>
              <w:pStyle w:val="InstructionsText"/>
              <w:rPr>
                <w:rStyle w:val="InstructionsTabelleberschrift"/>
                <w:rFonts w:ascii="Arial MT" w:hAnsi="Arial MT"/>
                <w:szCs w:val="20"/>
              </w:rPr>
            </w:pPr>
            <w:r>
              <w:rPr>
                <w:rFonts w:ascii="Arial MT" w:hAnsi="Arial MT"/>
                <w:sz w:val="20"/>
                <w:szCs w:val="20"/>
              </w:rPr>
              <w:t xml:space="preserve">De instelling rapporteert het respectieve aandeel van de vier belangrijkste valuta's in het banking </w:t>
            </w:r>
            <w:proofErr w:type="spellStart"/>
            <w:r>
              <w:rPr>
                <w:rFonts w:ascii="Arial MT" w:hAnsi="Arial MT"/>
                <w:sz w:val="20"/>
                <w:szCs w:val="20"/>
              </w:rPr>
              <w:t>book</w:t>
            </w:r>
            <w:proofErr w:type="spellEnd"/>
            <w:r>
              <w:rPr>
                <w:rFonts w:ascii="Arial MT" w:hAnsi="Arial MT"/>
                <w:sz w:val="20"/>
                <w:szCs w:val="20"/>
              </w:rPr>
              <w:t>.</w:t>
            </w:r>
          </w:p>
        </w:tc>
      </w:tr>
      <w:tr w:rsidR="00147746" w:rsidRPr="00E714F2" w14:paraId="248CC03F" w14:textId="77777777" w:rsidTr="00194EAE">
        <w:tc>
          <w:tcPr>
            <w:tcW w:w="1129" w:type="dxa"/>
          </w:tcPr>
          <w:p w14:paraId="386BE087"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0020</w:t>
            </w:r>
          </w:p>
        </w:tc>
        <w:tc>
          <w:tcPr>
            <w:tcW w:w="7620" w:type="dxa"/>
          </w:tcPr>
          <w:p w14:paraId="1D915D22"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Risicovrije rendementscurve</w:t>
            </w:r>
          </w:p>
          <w:p w14:paraId="6CAEB3C5" w14:textId="77777777" w:rsidR="00147746" w:rsidRPr="00E714F2" w:rsidRDefault="00147746" w:rsidP="005508CC">
            <w:pPr>
              <w:pStyle w:val="InstructionsText"/>
              <w:rPr>
                <w:rFonts w:ascii="Arial MT" w:hAnsi="Arial MT"/>
                <w:sz w:val="20"/>
                <w:szCs w:val="20"/>
              </w:rPr>
            </w:pPr>
            <w:r>
              <w:rPr>
                <w:rFonts w:ascii="Arial MT" w:hAnsi="Arial MT"/>
                <w:sz w:val="20"/>
                <w:szCs w:val="20"/>
              </w:rPr>
              <w:t xml:space="preserve">Overeenkomstig de technische normen inzake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moet per valuta een passende algemene risicovrije rendementscurve worden toegepast. Deze curve mag geen instrument- of </w:t>
            </w:r>
            <w:proofErr w:type="spellStart"/>
            <w:r>
              <w:rPr>
                <w:rFonts w:ascii="Arial MT" w:hAnsi="Arial MT"/>
                <w:sz w:val="20"/>
                <w:szCs w:val="20"/>
              </w:rPr>
              <w:t>entiteitspecifieke</w:t>
            </w:r>
            <w:proofErr w:type="spellEnd"/>
            <w:r>
              <w:rPr>
                <w:rFonts w:ascii="Arial MT" w:hAnsi="Arial MT"/>
                <w:sz w:val="20"/>
                <w:szCs w:val="20"/>
              </w:rPr>
              <w:t xml:space="preserve"> krediet- of liquiditeitsspreads omvatten.</w:t>
            </w:r>
          </w:p>
          <w:p w14:paraId="05338548" w14:textId="77777777" w:rsidR="00147746" w:rsidRPr="00E714F2" w:rsidRDefault="00147746" w:rsidP="005508CC">
            <w:pPr>
              <w:pStyle w:val="InstructionsText"/>
              <w:rPr>
                <w:rStyle w:val="InstructionsTabelleberschrift"/>
                <w:rFonts w:ascii="Arial MT" w:hAnsi="Arial MT"/>
                <w:b w:val="0"/>
                <w:bCs w:val="0"/>
                <w:szCs w:val="20"/>
              </w:rPr>
            </w:pPr>
            <w:r>
              <w:rPr>
                <w:rFonts w:ascii="Arial MT" w:hAnsi="Arial MT"/>
                <w:sz w:val="20"/>
                <w:szCs w:val="20"/>
              </w:rPr>
              <w:t xml:space="preserve">De instelling geeft aan welke risicovrije rendementscurves zij gebruikt voor elk van de belangrijkste valuta's die in het kader van de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worden gerapporteerd.</w:t>
            </w:r>
          </w:p>
        </w:tc>
      </w:tr>
      <w:tr w:rsidR="00147746" w:rsidRPr="00E714F2" w14:paraId="7B0AA81B" w14:textId="77777777" w:rsidTr="00194EAE">
        <w:tc>
          <w:tcPr>
            <w:tcW w:w="1129" w:type="dxa"/>
          </w:tcPr>
          <w:p w14:paraId="46B8075B"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0030</w:t>
            </w:r>
          </w:p>
        </w:tc>
        <w:tc>
          <w:tcPr>
            <w:tcW w:w="7620" w:type="dxa"/>
          </w:tcPr>
          <w:p w14:paraId="1CFEF910"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Drempel voor de rente na schok (NII/EVE)</w:t>
            </w:r>
          </w:p>
          <w:p w14:paraId="7CA5ADD4" w14:textId="77777777" w:rsidR="00147746" w:rsidRPr="00E714F2" w:rsidRDefault="00147746" w:rsidP="005508CC">
            <w:pPr>
              <w:pStyle w:val="InstructionsText"/>
              <w:rPr>
                <w:rStyle w:val="InstructionsTabelleberschrift"/>
                <w:rFonts w:ascii="Arial MT" w:hAnsi="Arial MT"/>
                <w:b w:val="0"/>
                <w:bCs w:val="0"/>
                <w:szCs w:val="20"/>
              </w:rPr>
            </w:pPr>
            <w:r>
              <w:rPr>
                <w:rFonts w:ascii="Arial MT" w:hAnsi="Arial MT"/>
                <w:sz w:val="20"/>
                <w:szCs w:val="20"/>
              </w:rPr>
              <w:t xml:space="preserve">De instelling geeft aan of de in de technische normen inzake </w:t>
            </w:r>
            <w:proofErr w:type="spellStart"/>
            <w:r>
              <w:rPr>
                <w:rFonts w:ascii="Arial MT" w:hAnsi="Arial MT"/>
                <w:sz w:val="20"/>
                <w:szCs w:val="20"/>
              </w:rPr>
              <w:t>prudentiële</w:t>
            </w:r>
            <w:proofErr w:type="spellEnd"/>
            <w:r>
              <w:rPr>
                <w:rFonts w:ascii="Arial MT" w:hAnsi="Arial MT"/>
                <w:sz w:val="20"/>
                <w:szCs w:val="20"/>
              </w:rPr>
              <w:t xml:space="preserve"> </w:t>
            </w:r>
            <w:proofErr w:type="spellStart"/>
            <w:r>
              <w:rPr>
                <w:rFonts w:ascii="Arial MT" w:hAnsi="Arial MT"/>
                <w:sz w:val="20"/>
                <w:szCs w:val="20"/>
              </w:rPr>
              <w:t>outliertests</w:t>
            </w:r>
            <w:proofErr w:type="spellEnd"/>
            <w:r>
              <w:rPr>
                <w:rFonts w:ascii="Arial MT" w:hAnsi="Arial MT"/>
                <w:sz w:val="20"/>
                <w:szCs w:val="20"/>
              </w:rPr>
              <w:t xml:space="preserve"> vastgelegde </w:t>
            </w:r>
            <w:proofErr w:type="spellStart"/>
            <w:r>
              <w:rPr>
                <w:rFonts w:ascii="Arial MT" w:hAnsi="Arial MT"/>
                <w:sz w:val="20"/>
                <w:szCs w:val="20"/>
              </w:rPr>
              <w:t>looptijdgerelateerde</w:t>
            </w:r>
            <w:proofErr w:type="spellEnd"/>
            <w:r>
              <w:rPr>
                <w:rFonts w:ascii="Arial MT" w:hAnsi="Arial MT"/>
                <w:sz w:val="20"/>
                <w:szCs w:val="20"/>
              </w:rPr>
              <w:t xml:space="preserve"> drempel voor de rente na schok voor een van de gerapporteerde valuta's bindend is (Ja/Nee). </w:t>
            </w:r>
          </w:p>
        </w:tc>
      </w:tr>
      <w:tr w:rsidR="00147746" w:rsidRPr="00E714F2" w14:paraId="5929C937" w14:textId="77777777" w:rsidTr="00194EAE">
        <w:tc>
          <w:tcPr>
            <w:tcW w:w="1129" w:type="dxa"/>
          </w:tcPr>
          <w:p w14:paraId="62E00B05"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0040</w:t>
            </w:r>
          </w:p>
        </w:tc>
        <w:tc>
          <w:tcPr>
            <w:tcW w:w="7620" w:type="dxa"/>
          </w:tcPr>
          <w:p w14:paraId="4813985B"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Leningen die onderworpen zijn aan de modellering van de vervroegde aflossingen</w:t>
            </w:r>
          </w:p>
          <w:p w14:paraId="32C8B739"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De instelling rapporteert het totale bedrag aan leningen die onderworpen zijn aan de modellering van de vervroegde aflossingen, rekening houdend met het renteklimaat op dat moment.</w:t>
            </w:r>
          </w:p>
        </w:tc>
      </w:tr>
    </w:tbl>
    <w:p w14:paraId="5C4380AA" w14:textId="77777777" w:rsidR="00E0136A" w:rsidRDefault="00E0136A">
      <w:r>
        <w:br w:type="page"/>
      </w: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47746" w:rsidRPr="00E714F2" w14:paraId="64BA7008" w14:textId="77777777" w:rsidTr="00194EAE">
        <w:tc>
          <w:tcPr>
            <w:tcW w:w="1129" w:type="dxa"/>
          </w:tcPr>
          <w:p w14:paraId="33193612" w14:textId="2C0F26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0050</w:t>
            </w:r>
          </w:p>
        </w:tc>
        <w:tc>
          <w:tcPr>
            <w:tcW w:w="7620" w:type="dxa"/>
          </w:tcPr>
          <w:p w14:paraId="693C2A60"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Gemiddelde looptijd vóór modellering van de vervroegde aflossingen</w:t>
            </w:r>
          </w:p>
          <w:p w14:paraId="44329CE9"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De instelling rapporteert de gemiddelde looptijd van de leningen die onderworpen zijn aan de modellering van de vervroegde aflossingen, vóór de toepassing van de aanname met betrekking tot de aflossing en rekening houdend met het renteklimaat op dat moment.</w:t>
            </w:r>
          </w:p>
        </w:tc>
      </w:tr>
      <w:tr w:rsidR="00147746" w:rsidRPr="00E714F2" w14:paraId="2586FBB8" w14:textId="77777777" w:rsidTr="00194EAE">
        <w:tc>
          <w:tcPr>
            <w:tcW w:w="1129" w:type="dxa"/>
          </w:tcPr>
          <w:p w14:paraId="5F68D77E"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0060</w:t>
            </w:r>
          </w:p>
        </w:tc>
        <w:tc>
          <w:tcPr>
            <w:tcW w:w="7620" w:type="dxa"/>
          </w:tcPr>
          <w:p w14:paraId="541FEEE3"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Gemiddeld percentage van vervroegde aflossing</w:t>
            </w:r>
          </w:p>
          <w:p w14:paraId="681C6CCE"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De instelling rapporteert het gemiddelde percentage van vervroegde aflossing dat wordt toegepast op leningen die onderworpen zijn aan de modellering van de vervroegde aflossingen, rekening houdend met het renteklimaat op dat moment.</w:t>
            </w:r>
          </w:p>
        </w:tc>
      </w:tr>
      <w:tr w:rsidR="00147746" w:rsidRPr="00E714F2" w14:paraId="284FEB88" w14:textId="77777777" w:rsidTr="00194EAE">
        <w:tc>
          <w:tcPr>
            <w:tcW w:w="1129" w:type="dxa"/>
          </w:tcPr>
          <w:p w14:paraId="4673965D"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0070</w:t>
            </w:r>
          </w:p>
          <w:p w14:paraId="5B5C436D"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0080</w:t>
            </w:r>
          </w:p>
          <w:p w14:paraId="7D939E09"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0090</w:t>
            </w:r>
          </w:p>
        </w:tc>
        <w:tc>
          <w:tcPr>
            <w:tcW w:w="7620" w:type="dxa"/>
          </w:tcPr>
          <w:p w14:paraId="2322BFA0"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Gemiddelde renteherzieningsdatum toegepast op deposito's zonder contractuele looptijd</w:t>
            </w:r>
          </w:p>
          <w:p w14:paraId="071E1673" w14:textId="77777777" w:rsidR="00147746" w:rsidRPr="00E714F2" w:rsidRDefault="00147746" w:rsidP="005508CC">
            <w:pPr>
              <w:pStyle w:val="InstructionsText"/>
              <w:rPr>
                <w:rStyle w:val="InstructionsTabelleberschrift"/>
                <w:rFonts w:ascii="Arial MT" w:hAnsi="Arial MT"/>
                <w:szCs w:val="20"/>
              </w:rPr>
            </w:pPr>
            <w:r>
              <w:rPr>
                <w:rFonts w:ascii="Arial MT" w:hAnsi="Arial MT"/>
                <w:sz w:val="20"/>
                <w:szCs w:val="20"/>
              </w:rPr>
              <w:t xml:space="preserve">De instelling rapporteert de gemiddelde renteherzieningsdatum die wordt toegepast op </w:t>
            </w:r>
            <w:proofErr w:type="spellStart"/>
            <w:r>
              <w:rPr>
                <w:rFonts w:ascii="Arial MT" w:hAnsi="Arial MT"/>
                <w:sz w:val="20"/>
                <w:szCs w:val="20"/>
              </w:rPr>
              <w:t>transactionele</w:t>
            </w:r>
            <w:proofErr w:type="spellEnd"/>
            <w:r>
              <w:rPr>
                <w:rFonts w:ascii="Arial MT" w:hAnsi="Arial MT"/>
                <w:sz w:val="20"/>
                <w:szCs w:val="20"/>
              </w:rPr>
              <w:t xml:space="preserve"> </w:t>
            </w:r>
            <w:proofErr w:type="spellStart"/>
            <w:r>
              <w:rPr>
                <w:rFonts w:ascii="Arial MT" w:hAnsi="Arial MT"/>
                <w:sz w:val="20"/>
                <w:szCs w:val="20"/>
              </w:rPr>
              <w:t>retaildeposito's</w:t>
            </w:r>
            <w:proofErr w:type="spellEnd"/>
            <w:r>
              <w:rPr>
                <w:rFonts w:ascii="Arial MT" w:hAnsi="Arial MT"/>
                <w:sz w:val="20"/>
                <w:szCs w:val="20"/>
              </w:rPr>
              <w:t>, niet-</w:t>
            </w:r>
            <w:proofErr w:type="spellStart"/>
            <w:r>
              <w:rPr>
                <w:rFonts w:ascii="Arial MT" w:hAnsi="Arial MT"/>
                <w:sz w:val="20"/>
                <w:szCs w:val="20"/>
              </w:rPr>
              <w:t>transactionele</w:t>
            </w:r>
            <w:proofErr w:type="spellEnd"/>
            <w:r>
              <w:rPr>
                <w:rFonts w:ascii="Arial MT" w:hAnsi="Arial MT"/>
                <w:sz w:val="20"/>
                <w:szCs w:val="20"/>
              </w:rPr>
              <w:t xml:space="preserve"> </w:t>
            </w:r>
            <w:proofErr w:type="spellStart"/>
            <w:r>
              <w:rPr>
                <w:rFonts w:ascii="Arial MT" w:hAnsi="Arial MT"/>
                <w:sz w:val="20"/>
                <w:szCs w:val="20"/>
              </w:rPr>
              <w:t>retaildeposito's</w:t>
            </w:r>
            <w:proofErr w:type="spellEnd"/>
            <w:r>
              <w:rPr>
                <w:rFonts w:ascii="Arial MT" w:hAnsi="Arial MT"/>
                <w:sz w:val="20"/>
                <w:szCs w:val="20"/>
              </w:rPr>
              <w:t xml:space="preserve"> en </w:t>
            </w:r>
            <w:proofErr w:type="spellStart"/>
            <w:r>
              <w:rPr>
                <w:rFonts w:ascii="Arial MT" w:hAnsi="Arial MT"/>
                <w:sz w:val="20"/>
                <w:szCs w:val="20"/>
              </w:rPr>
              <w:t>wholesaledeposito's</w:t>
            </w:r>
            <w:proofErr w:type="spellEnd"/>
            <w:r>
              <w:rPr>
                <w:rFonts w:ascii="Arial MT" w:hAnsi="Arial MT"/>
                <w:sz w:val="20"/>
                <w:szCs w:val="20"/>
              </w:rPr>
              <w:t xml:space="preserve"> van niet-financiële cliënten, voor elke gerapporteerde valuta, rekening houdend met het renteklimaat op dat moment.</w:t>
            </w:r>
          </w:p>
        </w:tc>
      </w:tr>
      <w:tr w:rsidR="00147746" w:rsidRPr="00E714F2" w14:paraId="0C4DC01E" w14:textId="77777777" w:rsidTr="00194EAE">
        <w:tc>
          <w:tcPr>
            <w:tcW w:w="1129" w:type="dxa"/>
          </w:tcPr>
          <w:p w14:paraId="1D0B8B43"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0100</w:t>
            </w:r>
          </w:p>
          <w:p w14:paraId="5EEA4E6C"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0110</w:t>
            </w:r>
          </w:p>
          <w:p w14:paraId="5DCF7134"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0120</w:t>
            </w:r>
          </w:p>
        </w:tc>
        <w:tc>
          <w:tcPr>
            <w:tcW w:w="7620" w:type="dxa"/>
          </w:tcPr>
          <w:p w14:paraId="7A36CE46"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Totaal uitstaand bedrag aan “</w:t>
            </w:r>
            <w:proofErr w:type="spellStart"/>
            <w:r>
              <w:rPr>
                <w:rStyle w:val="InstructionsTabelleberschrift"/>
                <w:rFonts w:ascii="Arial MT" w:hAnsi="Arial MT"/>
                <w:szCs w:val="20"/>
              </w:rPr>
              <w:t>core</w:t>
            </w:r>
            <w:proofErr w:type="spellEnd"/>
            <w:r>
              <w:rPr>
                <w:rStyle w:val="InstructionsTabelleberschrift"/>
                <w:rFonts w:ascii="Arial MT" w:hAnsi="Arial MT"/>
                <w:szCs w:val="20"/>
              </w:rPr>
              <w:t xml:space="preserve"> </w:t>
            </w:r>
            <w:proofErr w:type="spellStart"/>
            <w:r>
              <w:rPr>
                <w:rStyle w:val="InstructionsTabelleberschrift"/>
                <w:rFonts w:ascii="Arial MT" w:hAnsi="Arial MT"/>
                <w:szCs w:val="20"/>
              </w:rPr>
              <w:t>deposits</w:t>
            </w:r>
            <w:proofErr w:type="spellEnd"/>
            <w:r>
              <w:rPr>
                <w:rStyle w:val="InstructionsTabelleberschrift"/>
                <w:rFonts w:ascii="Arial MT" w:hAnsi="Arial MT"/>
                <w:szCs w:val="20"/>
              </w:rPr>
              <w:t xml:space="preserve">” zonder contractuele looptijd </w:t>
            </w:r>
          </w:p>
          <w:p w14:paraId="23945356"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 xml:space="preserve">De instelling rapporteert het totaal uitstaand bedrag aan </w:t>
            </w:r>
            <w:proofErr w:type="spellStart"/>
            <w:r>
              <w:rPr>
                <w:rFonts w:ascii="Arial MT" w:hAnsi="Arial MT"/>
                <w:sz w:val="20"/>
                <w:szCs w:val="20"/>
              </w:rPr>
              <w:t>transactionele</w:t>
            </w:r>
            <w:proofErr w:type="spellEnd"/>
            <w:r>
              <w:rPr>
                <w:rFonts w:ascii="Arial MT" w:hAnsi="Arial MT"/>
                <w:sz w:val="20"/>
                <w:szCs w:val="20"/>
              </w:rPr>
              <w:t xml:space="preserve"> </w:t>
            </w:r>
            <w:proofErr w:type="spellStart"/>
            <w:r>
              <w:rPr>
                <w:rFonts w:ascii="Arial MT" w:hAnsi="Arial MT"/>
                <w:sz w:val="20"/>
                <w:szCs w:val="20"/>
              </w:rPr>
              <w:t>retail</w:t>
            </w:r>
            <w:proofErr w:type="spellEnd"/>
            <w:r>
              <w:rPr>
                <w:rFonts w:ascii="Arial MT" w:hAnsi="Arial MT"/>
                <w:sz w:val="20"/>
                <w:szCs w:val="20"/>
              </w:rPr>
              <w:t xml:space="preserve"> “</w:t>
            </w:r>
            <w:proofErr w:type="spellStart"/>
            <w:r>
              <w:rPr>
                <w:rFonts w:ascii="Arial MT" w:hAnsi="Arial MT"/>
                <w:sz w:val="20"/>
                <w:szCs w:val="20"/>
              </w:rPr>
              <w:t>core</w:t>
            </w:r>
            <w:proofErr w:type="spellEnd"/>
            <w:r>
              <w:rPr>
                <w:rFonts w:ascii="Arial MT" w:hAnsi="Arial MT"/>
                <w:sz w:val="20"/>
                <w:szCs w:val="20"/>
              </w:rPr>
              <w:t xml:space="preserve"> </w:t>
            </w:r>
            <w:proofErr w:type="spellStart"/>
            <w:r>
              <w:rPr>
                <w:rFonts w:ascii="Arial MT" w:hAnsi="Arial MT"/>
                <w:sz w:val="20"/>
                <w:szCs w:val="20"/>
              </w:rPr>
              <w:t>deposits</w:t>
            </w:r>
            <w:proofErr w:type="spellEnd"/>
            <w:r>
              <w:rPr>
                <w:rFonts w:ascii="Arial MT" w:hAnsi="Arial MT"/>
                <w:sz w:val="20"/>
                <w:szCs w:val="20"/>
              </w:rPr>
              <w:t>”, het totaal uitstaand bedrag aan niet-</w:t>
            </w:r>
            <w:proofErr w:type="spellStart"/>
            <w:r>
              <w:rPr>
                <w:rFonts w:ascii="Arial MT" w:hAnsi="Arial MT"/>
                <w:sz w:val="20"/>
                <w:szCs w:val="20"/>
              </w:rPr>
              <w:t>transactionele</w:t>
            </w:r>
            <w:proofErr w:type="spellEnd"/>
            <w:r>
              <w:rPr>
                <w:rFonts w:ascii="Arial MT" w:hAnsi="Arial MT"/>
                <w:sz w:val="20"/>
                <w:szCs w:val="20"/>
              </w:rPr>
              <w:t xml:space="preserve"> </w:t>
            </w:r>
            <w:proofErr w:type="spellStart"/>
            <w:r>
              <w:rPr>
                <w:rFonts w:ascii="Arial MT" w:hAnsi="Arial MT"/>
                <w:sz w:val="20"/>
                <w:szCs w:val="20"/>
              </w:rPr>
              <w:t>retail</w:t>
            </w:r>
            <w:proofErr w:type="spellEnd"/>
            <w:r>
              <w:rPr>
                <w:rFonts w:ascii="Arial MT" w:hAnsi="Arial MT"/>
                <w:sz w:val="20"/>
                <w:szCs w:val="20"/>
              </w:rPr>
              <w:t xml:space="preserve"> “</w:t>
            </w:r>
            <w:proofErr w:type="spellStart"/>
            <w:r>
              <w:rPr>
                <w:rFonts w:ascii="Arial MT" w:hAnsi="Arial MT"/>
                <w:sz w:val="20"/>
                <w:szCs w:val="20"/>
              </w:rPr>
              <w:t>core</w:t>
            </w:r>
            <w:proofErr w:type="spellEnd"/>
            <w:r>
              <w:rPr>
                <w:rFonts w:ascii="Arial MT" w:hAnsi="Arial MT"/>
                <w:sz w:val="20"/>
                <w:szCs w:val="20"/>
              </w:rPr>
              <w:t xml:space="preserve"> </w:t>
            </w:r>
            <w:proofErr w:type="spellStart"/>
            <w:r>
              <w:rPr>
                <w:rFonts w:ascii="Arial MT" w:hAnsi="Arial MT"/>
                <w:sz w:val="20"/>
                <w:szCs w:val="20"/>
              </w:rPr>
              <w:t>deposits</w:t>
            </w:r>
            <w:proofErr w:type="spellEnd"/>
            <w:r>
              <w:rPr>
                <w:rFonts w:ascii="Arial MT" w:hAnsi="Arial MT"/>
                <w:sz w:val="20"/>
                <w:szCs w:val="20"/>
              </w:rPr>
              <w:t xml:space="preserve">” en het totaal uitstaand bedrag aan </w:t>
            </w:r>
            <w:proofErr w:type="spellStart"/>
            <w:r>
              <w:rPr>
                <w:rFonts w:ascii="Arial MT" w:hAnsi="Arial MT"/>
                <w:sz w:val="20"/>
                <w:szCs w:val="20"/>
              </w:rPr>
              <w:t>wholesale</w:t>
            </w:r>
            <w:proofErr w:type="spellEnd"/>
            <w:r>
              <w:rPr>
                <w:rFonts w:ascii="Arial MT" w:hAnsi="Arial MT"/>
                <w:sz w:val="20"/>
                <w:szCs w:val="20"/>
              </w:rPr>
              <w:t xml:space="preserve"> “</w:t>
            </w:r>
            <w:proofErr w:type="spellStart"/>
            <w:r>
              <w:rPr>
                <w:rFonts w:ascii="Arial MT" w:hAnsi="Arial MT"/>
                <w:sz w:val="20"/>
                <w:szCs w:val="20"/>
              </w:rPr>
              <w:t>core</w:t>
            </w:r>
            <w:proofErr w:type="spellEnd"/>
            <w:r>
              <w:rPr>
                <w:rFonts w:ascii="Arial MT" w:hAnsi="Arial MT"/>
                <w:sz w:val="20"/>
                <w:szCs w:val="20"/>
              </w:rPr>
              <w:t xml:space="preserve"> </w:t>
            </w:r>
            <w:proofErr w:type="spellStart"/>
            <w:r>
              <w:rPr>
                <w:rFonts w:ascii="Arial MT" w:hAnsi="Arial MT"/>
                <w:sz w:val="20"/>
                <w:szCs w:val="20"/>
              </w:rPr>
              <w:t>deposits</w:t>
            </w:r>
            <w:proofErr w:type="spellEnd"/>
            <w:r>
              <w:rPr>
                <w:rFonts w:ascii="Arial MT" w:hAnsi="Arial MT"/>
                <w:sz w:val="20"/>
                <w:szCs w:val="20"/>
              </w:rPr>
              <w:t>” van niet-financiële cliënten, voor elke gerapporteerde valuta, rekening houdend met het renteklimaat op dat moment.</w:t>
            </w:r>
          </w:p>
        </w:tc>
      </w:tr>
      <w:tr w:rsidR="00147746" w:rsidRPr="00E714F2" w14:paraId="1CC01429" w14:textId="77777777" w:rsidTr="00194EAE">
        <w:tc>
          <w:tcPr>
            <w:tcW w:w="1129" w:type="dxa"/>
          </w:tcPr>
          <w:p w14:paraId="1DD00961"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0130</w:t>
            </w:r>
          </w:p>
          <w:p w14:paraId="510496D8"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0140</w:t>
            </w:r>
          </w:p>
          <w:p w14:paraId="381BB6AF" w14:textId="77777777" w:rsidR="00147746" w:rsidRPr="00E714F2" w:rsidRDefault="00147746" w:rsidP="005508CC">
            <w:pPr>
              <w:pStyle w:val="InstructionsText"/>
              <w:rPr>
                <w:rStyle w:val="FormatvorlageInstructionsTabelleText"/>
                <w:rFonts w:ascii="Arial MT" w:hAnsi="Arial MT"/>
                <w:szCs w:val="20"/>
              </w:rPr>
            </w:pPr>
            <w:r>
              <w:rPr>
                <w:rStyle w:val="FormatvorlageInstructionsTabelleText"/>
                <w:rFonts w:ascii="Arial MT" w:hAnsi="Arial MT"/>
                <w:szCs w:val="20"/>
              </w:rPr>
              <w:t>0150</w:t>
            </w:r>
          </w:p>
        </w:tc>
        <w:tc>
          <w:tcPr>
            <w:tcW w:w="7620" w:type="dxa"/>
          </w:tcPr>
          <w:p w14:paraId="1A3C25BA" w14:textId="77777777" w:rsidR="00147746" w:rsidRPr="00E714F2" w:rsidRDefault="00147746" w:rsidP="005508CC">
            <w:pPr>
              <w:pStyle w:val="InstructionsText"/>
              <w:rPr>
                <w:rStyle w:val="InstructionsTabelleberschrift"/>
                <w:rFonts w:ascii="Arial MT" w:hAnsi="Arial MT"/>
                <w:szCs w:val="20"/>
              </w:rPr>
            </w:pPr>
            <w:r>
              <w:rPr>
                <w:rStyle w:val="InstructionsTabelleberschrift"/>
                <w:rFonts w:ascii="Arial MT" w:hAnsi="Arial MT"/>
                <w:szCs w:val="20"/>
              </w:rPr>
              <w:t>Aandeel van de “</w:t>
            </w:r>
            <w:proofErr w:type="spellStart"/>
            <w:r>
              <w:rPr>
                <w:rStyle w:val="InstructionsTabelleberschrift"/>
                <w:rFonts w:ascii="Arial MT" w:hAnsi="Arial MT"/>
                <w:szCs w:val="20"/>
              </w:rPr>
              <w:t>core</w:t>
            </w:r>
            <w:proofErr w:type="spellEnd"/>
            <w:r>
              <w:rPr>
                <w:rStyle w:val="InstructionsTabelleberschrift"/>
                <w:rFonts w:ascii="Arial MT" w:hAnsi="Arial MT"/>
                <w:szCs w:val="20"/>
              </w:rPr>
              <w:t xml:space="preserve"> </w:t>
            </w:r>
            <w:proofErr w:type="spellStart"/>
            <w:r>
              <w:rPr>
                <w:rStyle w:val="InstructionsTabelleberschrift"/>
                <w:rFonts w:ascii="Arial MT" w:hAnsi="Arial MT"/>
                <w:szCs w:val="20"/>
              </w:rPr>
              <w:t>deposits</w:t>
            </w:r>
            <w:proofErr w:type="spellEnd"/>
            <w:r>
              <w:rPr>
                <w:rStyle w:val="InstructionsTabelleberschrift"/>
                <w:rFonts w:ascii="Arial MT" w:hAnsi="Arial MT"/>
                <w:szCs w:val="20"/>
              </w:rPr>
              <w:t>” in het totaal uitstaand bedrag aan deposito's zonder contractuele looptijd</w:t>
            </w:r>
          </w:p>
          <w:p w14:paraId="1080155C" w14:textId="77777777" w:rsidR="00147746" w:rsidRPr="00E714F2" w:rsidRDefault="00147746" w:rsidP="005508CC">
            <w:pPr>
              <w:pStyle w:val="InstructionsText"/>
              <w:rPr>
                <w:rFonts w:ascii="Arial MT" w:hAnsi="Arial MT"/>
                <w:b/>
                <w:bCs/>
                <w:sz w:val="20"/>
                <w:szCs w:val="20"/>
              </w:rPr>
            </w:pPr>
            <w:r>
              <w:rPr>
                <w:rFonts w:ascii="Arial MT" w:hAnsi="Arial MT"/>
                <w:sz w:val="20"/>
                <w:szCs w:val="20"/>
              </w:rPr>
              <w:t xml:space="preserve">De instelling rapporteert het aandeel van de </w:t>
            </w:r>
            <w:proofErr w:type="spellStart"/>
            <w:r>
              <w:rPr>
                <w:rFonts w:ascii="Arial MT" w:hAnsi="Arial MT"/>
                <w:sz w:val="20"/>
                <w:szCs w:val="20"/>
              </w:rPr>
              <w:t>transactionele</w:t>
            </w:r>
            <w:proofErr w:type="spellEnd"/>
            <w:r>
              <w:rPr>
                <w:rFonts w:ascii="Arial MT" w:hAnsi="Arial MT"/>
                <w:sz w:val="20"/>
                <w:szCs w:val="20"/>
              </w:rPr>
              <w:t xml:space="preserve"> </w:t>
            </w:r>
            <w:proofErr w:type="spellStart"/>
            <w:r>
              <w:rPr>
                <w:rFonts w:ascii="Arial MT" w:hAnsi="Arial MT"/>
                <w:sz w:val="20"/>
                <w:szCs w:val="20"/>
              </w:rPr>
              <w:t>retail</w:t>
            </w:r>
            <w:proofErr w:type="spellEnd"/>
            <w:r>
              <w:rPr>
                <w:rFonts w:ascii="Arial MT" w:hAnsi="Arial MT"/>
                <w:sz w:val="20"/>
                <w:szCs w:val="20"/>
              </w:rPr>
              <w:t xml:space="preserve"> “</w:t>
            </w:r>
            <w:proofErr w:type="spellStart"/>
            <w:r>
              <w:rPr>
                <w:rFonts w:ascii="Arial MT" w:hAnsi="Arial MT"/>
                <w:sz w:val="20"/>
                <w:szCs w:val="20"/>
              </w:rPr>
              <w:t>core</w:t>
            </w:r>
            <w:proofErr w:type="spellEnd"/>
            <w:r>
              <w:rPr>
                <w:rFonts w:ascii="Arial MT" w:hAnsi="Arial MT"/>
                <w:sz w:val="20"/>
                <w:szCs w:val="20"/>
              </w:rPr>
              <w:t xml:space="preserve"> </w:t>
            </w:r>
            <w:proofErr w:type="spellStart"/>
            <w:r>
              <w:rPr>
                <w:rFonts w:ascii="Arial MT" w:hAnsi="Arial MT"/>
                <w:sz w:val="20"/>
                <w:szCs w:val="20"/>
              </w:rPr>
              <w:t>deposits</w:t>
            </w:r>
            <w:proofErr w:type="spellEnd"/>
            <w:r>
              <w:rPr>
                <w:rFonts w:ascii="Arial MT" w:hAnsi="Arial MT"/>
                <w:sz w:val="20"/>
                <w:szCs w:val="20"/>
              </w:rPr>
              <w:t>”, de niet-</w:t>
            </w:r>
            <w:proofErr w:type="spellStart"/>
            <w:r>
              <w:rPr>
                <w:rFonts w:ascii="Arial MT" w:hAnsi="Arial MT"/>
                <w:sz w:val="20"/>
                <w:szCs w:val="20"/>
              </w:rPr>
              <w:t>transactionele</w:t>
            </w:r>
            <w:proofErr w:type="spellEnd"/>
            <w:r>
              <w:rPr>
                <w:rFonts w:ascii="Arial MT" w:hAnsi="Arial MT"/>
                <w:sz w:val="20"/>
                <w:szCs w:val="20"/>
              </w:rPr>
              <w:t xml:space="preserve"> </w:t>
            </w:r>
            <w:proofErr w:type="spellStart"/>
            <w:r>
              <w:rPr>
                <w:rFonts w:ascii="Arial MT" w:hAnsi="Arial MT"/>
                <w:sz w:val="20"/>
                <w:szCs w:val="20"/>
              </w:rPr>
              <w:t>retail</w:t>
            </w:r>
            <w:proofErr w:type="spellEnd"/>
            <w:r>
              <w:rPr>
                <w:rFonts w:ascii="Arial MT" w:hAnsi="Arial MT"/>
                <w:sz w:val="20"/>
                <w:szCs w:val="20"/>
              </w:rPr>
              <w:t xml:space="preserve"> “</w:t>
            </w:r>
            <w:proofErr w:type="spellStart"/>
            <w:r>
              <w:rPr>
                <w:rFonts w:ascii="Arial MT" w:hAnsi="Arial MT"/>
                <w:sz w:val="20"/>
                <w:szCs w:val="20"/>
              </w:rPr>
              <w:t>core</w:t>
            </w:r>
            <w:proofErr w:type="spellEnd"/>
            <w:r>
              <w:rPr>
                <w:rFonts w:ascii="Arial MT" w:hAnsi="Arial MT"/>
                <w:sz w:val="20"/>
                <w:szCs w:val="20"/>
              </w:rPr>
              <w:t xml:space="preserve"> </w:t>
            </w:r>
            <w:proofErr w:type="spellStart"/>
            <w:r>
              <w:rPr>
                <w:rFonts w:ascii="Arial MT" w:hAnsi="Arial MT"/>
                <w:sz w:val="20"/>
                <w:szCs w:val="20"/>
              </w:rPr>
              <w:t>deposits</w:t>
            </w:r>
            <w:proofErr w:type="spellEnd"/>
            <w:r>
              <w:rPr>
                <w:rFonts w:ascii="Arial MT" w:hAnsi="Arial MT"/>
                <w:sz w:val="20"/>
                <w:szCs w:val="20"/>
              </w:rPr>
              <w:t xml:space="preserve">” en de </w:t>
            </w:r>
            <w:proofErr w:type="spellStart"/>
            <w:r>
              <w:rPr>
                <w:rFonts w:ascii="Arial MT" w:hAnsi="Arial MT"/>
                <w:sz w:val="20"/>
                <w:szCs w:val="20"/>
              </w:rPr>
              <w:t>wholesale</w:t>
            </w:r>
            <w:proofErr w:type="spellEnd"/>
            <w:r>
              <w:rPr>
                <w:rFonts w:ascii="Arial MT" w:hAnsi="Arial MT"/>
                <w:sz w:val="20"/>
                <w:szCs w:val="20"/>
              </w:rPr>
              <w:t xml:space="preserve"> “</w:t>
            </w:r>
            <w:proofErr w:type="spellStart"/>
            <w:r>
              <w:rPr>
                <w:rFonts w:ascii="Arial MT" w:hAnsi="Arial MT"/>
                <w:sz w:val="20"/>
                <w:szCs w:val="20"/>
              </w:rPr>
              <w:t>core</w:t>
            </w:r>
            <w:proofErr w:type="spellEnd"/>
            <w:r>
              <w:rPr>
                <w:rFonts w:ascii="Arial MT" w:hAnsi="Arial MT"/>
                <w:sz w:val="20"/>
                <w:szCs w:val="20"/>
              </w:rPr>
              <w:t xml:space="preserve"> </w:t>
            </w:r>
            <w:proofErr w:type="spellStart"/>
            <w:r>
              <w:rPr>
                <w:rFonts w:ascii="Arial MT" w:hAnsi="Arial MT"/>
                <w:sz w:val="20"/>
                <w:szCs w:val="20"/>
              </w:rPr>
              <w:t>deposits</w:t>
            </w:r>
            <w:proofErr w:type="spellEnd"/>
            <w:r>
              <w:rPr>
                <w:rFonts w:ascii="Arial MT" w:hAnsi="Arial MT"/>
                <w:sz w:val="20"/>
                <w:szCs w:val="20"/>
              </w:rPr>
              <w:t>” van niet-financiële cliënten in het totaal uitstaand bedrag aan deposito's zonder contractuele looptijd, voor elke gerapporteerde valuta, rekening houdend met het renteklimaat op dat moment.</w:t>
            </w:r>
          </w:p>
        </w:tc>
      </w:tr>
    </w:tbl>
    <w:p w14:paraId="0FD2230B" w14:textId="77777777" w:rsidR="00147746" w:rsidRPr="002C4174" w:rsidRDefault="00147746" w:rsidP="00147746">
      <w:pPr>
        <w:pStyle w:val="BodyText"/>
        <w:rPr>
          <w:lang w:val="nl-BE"/>
        </w:rPr>
      </w:pPr>
    </w:p>
    <w:p w14:paraId="0B970EAD" w14:textId="77777777" w:rsidR="00147746" w:rsidRPr="002C4174" w:rsidRDefault="00147746" w:rsidP="00147746">
      <w:pPr>
        <w:pStyle w:val="BodyText"/>
        <w:rPr>
          <w:lang w:val="nl-BE"/>
        </w:rPr>
      </w:pPr>
    </w:p>
    <w:p w14:paraId="3D1AC6BC" w14:textId="77777777" w:rsidR="00147746" w:rsidRPr="002C4174" w:rsidRDefault="00147746" w:rsidP="00815A99">
      <w:pPr>
        <w:spacing w:line="240" w:lineRule="auto"/>
        <w:rPr>
          <w:lang w:val="nl-BE"/>
        </w:rPr>
      </w:pPr>
    </w:p>
    <w:sectPr w:rsidR="00147746" w:rsidRPr="002C4174" w:rsidSect="00E76D56">
      <w:headerReference w:type="even" r:id="rId13"/>
      <w:headerReference w:type="default" r:id="rId14"/>
      <w:footerReference w:type="even" r:id="rId15"/>
      <w:footerReference w:type="default" r:id="rId16"/>
      <w:footerReference w:type="first" r:id="rId17"/>
      <w:footnotePr>
        <w:numRestart w:val="eachSect"/>
      </w:footnotePr>
      <w:pgSz w:w="11907" w:h="16840" w:code="9"/>
      <w:pgMar w:top="510" w:right="425" w:bottom="1361" w:left="993" w:header="397" w:footer="11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D913" w14:textId="77777777" w:rsidR="00A240DB" w:rsidRDefault="00A240DB">
      <w:r>
        <w:separator/>
      </w:r>
    </w:p>
  </w:endnote>
  <w:endnote w:type="continuationSeparator" w:id="0">
    <w:p w14:paraId="46CEFE82" w14:textId="77777777" w:rsidR="00A240DB" w:rsidRDefault="00A2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DF45" w14:textId="2289E296" w:rsidR="00E76D56" w:rsidRPr="00E76D56" w:rsidRDefault="00E76D56" w:rsidP="00E76D56">
    <w:pPr>
      <w:pStyle w:val="Footer"/>
      <w:pBdr>
        <w:top w:val="single" w:sz="4" w:space="1" w:color="auto"/>
      </w:pBdr>
      <w:rPr>
        <w:b/>
        <w:sz w:val="16"/>
        <w:szCs w:val="16"/>
      </w:rPr>
    </w:pPr>
    <w:r>
      <w:rPr>
        <w:b/>
        <w:bCs/>
        <w:szCs w:val="16"/>
      </w:rPr>
      <w:t>Openbaar</w:t>
    </w:r>
    <w:r>
      <w:rPr>
        <w:b/>
        <w:sz w:val="16"/>
        <w:szCs w:val="16"/>
      </w:rPr>
      <w:tab/>
    </w:r>
    <w:r>
      <w:rPr>
        <w:sz w:val="14"/>
        <w:szCs w:val="16"/>
      </w:rPr>
      <w:t>NBB_2023</w:t>
    </w:r>
    <w:r w:rsidR="00E064CA">
      <w:rPr>
        <w:sz w:val="14"/>
        <w:szCs w:val="16"/>
      </w:rPr>
      <w:t>_</w:t>
    </w:r>
    <w:r w:rsidR="008C4363">
      <w:rPr>
        <w:sz w:val="14"/>
        <w:szCs w:val="16"/>
      </w:rPr>
      <w:t>07</w:t>
    </w:r>
    <w:r>
      <w:rPr>
        <w:sz w:val="14"/>
        <w:szCs w:val="16"/>
      </w:rPr>
      <w:t> – </w:t>
    </w:r>
    <w:r w:rsidR="007E4331">
      <w:rPr>
        <w:sz w:val="14"/>
        <w:szCs w:val="16"/>
      </w:rPr>
      <w:t>27 juni</w:t>
    </w:r>
    <w:r>
      <w:rPr>
        <w:sz w:val="14"/>
        <w:szCs w:val="16"/>
      </w:rPr>
      <w:t xml:space="preserve"> 2023</w:t>
    </w:r>
    <w:r>
      <w:rPr>
        <w:b/>
        <w:sz w:val="16"/>
        <w:szCs w:val="16"/>
      </w:rPr>
      <w:tab/>
      <w:t xml:space="preserve">Bijlage 3 – Blz. </w:t>
    </w:r>
    <w:r>
      <w:rPr>
        <w:b/>
        <w:sz w:val="16"/>
        <w:szCs w:val="16"/>
      </w:rPr>
      <w:fldChar w:fldCharType="begin"/>
    </w:r>
    <w:r>
      <w:rPr>
        <w:b/>
        <w:sz w:val="16"/>
        <w:szCs w:val="16"/>
      </w:rPr>
      <w:instrText xml:space="preserve"> PAGE   </w:instrText>
    </w:r>
    <w:r>
      <w:rPr>
        <w:b/>
        <w:sz w:val="16"/>
        <w:szCs w:val="16"/>
      </w:rPr>
      <w:fldChar w:fldCharType="separate"/>
    </w:r>
    <w:r>
      <w:rPr>
        <w:b/>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 Arabic </w:instrText>
    </w:r>
    <w:r>
      <w:rPr>
        <w:b/>
        <w:sz w:val="16"/>
        <w:szCs w:val="16"/>
      </w:rPr>
      <w:fldChar w:fldCharType="separate"/>
    </w:r>
    <w:r>
      <w:rPr>
        <w:b/>
        <w:noProof/>
        <w:sz w:val="16"/>
        <w:szCs w:val="16"/>
      </w:rPr>
      <w:t>7</w:t>
    </w:r>
    <w:r>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B8A7" w14:textId="77777777" w:rsidR="00E87276" w:rsidRPr="00202B0B" w:rsidRDefault="00E87276" w:rsidP="00E87276">
    <w:pPr>
      <w:pStyle w:val="Footer"/>
      <w:pBdr>
        <w:top w:val="single" w:sz="4" w:space="1" w:color="auto"/>
      </w:pBdr>
      <w:rPr>
        <w:b/>
        <w:sz w:val="16"/>
        <w:szCs w:val="16"/>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E291" w14:textId="358D4862" w:rsidR="00450949" w:rsidRPr="00815A99" w:rsidRDefault="00815A99" w:rsidP="00F64E38">
    <w:pPr>
      <w:pStyle w:val="Footer"/>
      <w:pBdr>
        <w:top w:val="single" w:sz="4" w:space="1" w:color="auto"/>
      </w:pBdr>
      <w:rPr>
        <w:b/>
        <w:sz w:val="16"/>
        <w:szCs w:val="14"/>
      </w:rPr>
    </w:pPr>
    <w:r>
      <w:rPr>
        <w:b/>
        <w:bCs/>
        <w:szCs w:val="14"/>
      </w:rPr>
      <w:t>Openbaar</w:t>
    </w:r>
    <w:r>
      <w:rPr>
        <w:b/>
        <w:sz w:val="16"/>
        <w:szCs w:val="14"/>
      </w:rPr>
      <w:tab/>
    </w:r>
    <w:r w:rsidR="008F09A4">
      <w:rPr>
        <w:sz w:val="14"/>
        <w:szCs w:val="16"/>
      </w:rPr>
      <w:t>NBB_2023_</w:t>
    </w:r>
    <w:r w:rsidR="007E4331">
      <w:rPr>
        <w:sz w:val="14"/>
        <w:szCs w:val="16"/>
      </w:rPr>
      <w:t>07</w:t>
    </w:r>
    <w:r w:rsidR="008F09A4">
      <w:rPr>
        <w:sz w:val="14"/>
        <w:szCs w:val="16"/>
      </w:rPr>
      <w:t> – </w:t>
    </w:r>
    <w:r w:rsidR="007E4331">
      <w:rPr>
        <w:sz w:val="14"/>
        <w:szCs w:val="16"/>
      </w:rPr>
      <w:t xml:space="preserve">27 juni </w:t>
    </w:r>
    <w:r w:rsidR="008F09A4">
      <w:rPr>
        <w:sz w:val="14"/>
        <w:szCs w:val="16"/>
      </w:rPr>
      <w:t>2023</w:t>
    </w:r>
    <w:r>
      <w:rPr>
        <w:b/>
        <w:sz w:val="16"/>
        <w:szCs w:val="14"/>
      </w:rPr>
      <w:tab/>
      <w:t xml:space="preserve">Bijlage 3 – Blz. </w:t>
    </w:r>
    <w:r>
      <w:rPr>
        <w:b/>
        <w:sz w:val="16"/>
        <w:szCs w:val="14"/>
      </w:rPr>
      <w:fldChar w:fldCharType="begin"/>
    </w:r>
    <w:r>
      <w:rPr>
        <w:b/>
        <w:sz w:val="16"/>
        <w:szCs w:val="14"/>
      </w:rPr>
      <w:instrText xml:space="preserve"> PAGE   </w:instrText>
    </w:r>
    <w:r>
      <w:rPr>
        <w:b/>
        <w:sz w:val="16"/>
        <w:szCs w:val="14"/>
      </w:rPr>
      <w:fldChar w:fldCharType="separate"/>
    </w:r>
    <w:r>
      <w:rPr>
        <w:b/>
        <w:sz w:val="16"/>
        <w:szCs w:val="14"/>
      </w:rPr>
      <w:t>2</w:t>
    </w:r>
    <w:r>
      <w:rPr>
        <w:b/>
        <w:sz w:val="16"/>
        <w:szCs w:val="14"/>
      </w:rPr>
      <w:fldChar w:fldCharType="end"/>
    </w:r>
    <w:r>
      <w:rPr>
        <w:b/>
        <w:sz w:val="16"/>
        <w:szCs w:val="14"/>
      </w:rPr>
      <w:t>/</w:t>
    </w:r>
    <w:r w:rsidR="00E76D56">
      <w:rPr>
        <w:b/>
        <w:sz w:val="16"/>
        <w:szCs w:val="14"/>
      </w:rPr>
      <w:fldChar w:fldCharType="begin"/>
    </w:r>
    <w:r w:rsidR="00E76D56">
      <w:rPr>
        <w:b/>
        <w:sz w:val="16"/>
        <w:szCs w:val="14"/>
      </w:rPr>
      <w:instrText xml:space="preserve"> NUMPAGES  </w:instrText>
    </w:r>
    <w:r w:rsidR="00E76D56">
      <w:rPr>
        <w:b/>
        <w:sz w:val="16"/>
        <w:szCs w:val="14"/>
      </w:rPr>
      <w:fldChar w:fldCharType="separate"/>
    </w:r>
    <w:r w:rsidR="00E76D56">
      <w:rPr>
        <w:b/>
        <w:noProof/>
        <w:sz w:val="16"/>
        <w:szCs w:val="14"/>
      </w:rPr>
      <w:t>7</w:t>
    </w:r>
    <w:r w:rsidR="00E76D56">
      <w:rPr>
        <w:b/>
        <w:sz w:val="16"/>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09DE" w14:textId="0F6ADA02" w:rsidR="00450949" w:rsidRPr="00815A99" w:rsidRDefault="00815A99" w:rsidP="00CB2202">
    <w:pPr>
      <w:pStyle w:val="Footer"/>
      <w:pBdr>
        <w:top w:val="single" w:sz="4" w:space="1" w:color="auto"/>
      </w:pBdr>
      <w:rPr>
        <w:b/>
        <w:sz w:val="16"/>
        <w:szCs w:val="16"/>
      </w:rPr>
    </w:pPr>
    <w:r>
      <w:rPr>
        <w:b/>
        <w:bCs/>
        <w:szCs w:val="16"/>
      </w:rPr>
      <w:t>Openbaar</w:t>
    </w:r>
    <w:r>
      <w:rPr>
        <w:b/>
        <w:sz w:val="16"/>
        <w:szCs w:val="16"/>
      </w:rPr>
      <w:tab/>
    </w:r>
    <w:r w:rsidR="008F09A4">
      <w:rPr>
        <w:sz w:val="14"/>
        <w:szCs w:val="16"/>
      </w:rPr>
      <w:t>NBB_2023_</w:t>
    </w:r>
    <w:r w:rsidR="007E4331">
      <w:rPr>
        <w:sz w:val="14"/>
        <w:szCs w:val="16"/>
      </w:rPr>
      <w:t>07</w:t>
    </w:r>
    <w:r w:rsidR="008F09A4">
      <w:rPr>
        <w:sz w:val="14"/>
        <w:szCs w:val="16"/>
      </w:rPr>
      <w:t> – </w:t>
    </w:r>
    <w:r w:rsidR="007E4331">
      <w:rPr>
        <w:sz w:val="14"/>
        <w:szCs w:val="16"/>
      </w:rPr>
      <w:t>27 juni</w:t>
    </w:r>
    <w:r w:rsidR="008F09A4">
      <w:rPr>
        <w:sz w:val="14"/>
        <w:szCs w:val="16"/>
      </w:rPr>
      <w:t xml:space="preserve"> 2023</w:t>
    </w:r>
    <w:r>
      <w:rPr>
        <w:b/>
        <w:sz w:val="16"/>
        <w:szCs w:val="16"/>
      </w:rPr>
      <w:tab/>
      <w:t xml:space="preserve">Bijlage 3 – Blz. </w:t>
    </w:r>
    <w:r>
      <w:rPr>
        <w:b/>
        <w:sz w:val="16"/>
        <w:szCs w:val="16"/>
      </w:rPr>
      <w:fldChar w:fldCharType="begin"/>
    </w:r>
    <w:r>
      <w:rPr>
        <w:b/>
        <w:sz w:val="16"/>
        <w:szCs w:val="16"/>
      </w:rPr>
      <w:instrText xml:space="preserve"> PAGE   </w:instrText>
    </w:r>
    <w:r>
      <w:rPr>
        <w:b/>
        <w:sz w:val="16"/>
        <w:szCs w:val="16"/>
      </w:rPr>
      <w:fldChar w:fldCharType="separate"/>
    </w:r>
    <w:r>
      <w:rPr>
        <w:b/>
        <w:sz w:val="16"/>
        <w:szCs w:val="16"/>
      </w:rPr>
      <w:t>1</w:t>
    </w:r>
    <w:r>
      <w:rPr>
        <w:b/>
        <w:sz w:val="16"/>
        <w:szCs w:val="16"/>
      </w:rPr>
      <w:fldChar w:fldCharType="end"/>
    </w:r>
    <w:r>
      <w:rPr>
        <w:b/>
        <w:sz w:val="16"/>
        <w:szCs w:val="16"/>
      </w:rPr>
      <w:t>/</w:t>
    </w:r>
    <w:r w:rsidR="00E76D56">
      <w:rPr>
        <w:b/>
        <w:sz w:val="16"/>
        <w:szCs w:val="16"/>
      </w:rPr>
      <w:fldChar w:fldCharType="begin"/>
    </w:r>
    <w:r w:rsidR="00E76D56">
      <w:rPr>
        <w:b/>
        <w:sz w:val="16"/>
        <w:szCs w:val="16"/>
      </w:rPr>
      <w:instrText xml:space="preserve"> NUMPAGES  \* Arabic </w:instrText>
    </w:r>
    <w:r w:rsidR="00E76D56">
      <w:rPr>
        <w:b/>
        <w:sz w:val="16"/>
        <w:szCs w:val="16"/>
      </w:rPr>
      <w:fldChar w:fldCharType="separate"/>
    </w:r>
    <w:r w:rsidR="00E76D56">
      <w:rPr>
        <w:b/>
        <w:noProof/>
        <w:sz w:val="16"/>
        <w:szCs w:val="16"/>
      </w:rPr>
      <w:t>7</w:t>
    </w:r>
    <w:r w:rsidR="00E76D56">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C344" w14:textId="77777777" w:rsidR="00A240DB" w:rsidRPr="00117F31" w:rsidRDefault="00A240DB" w:rsidP="00117F31">
      <w:pPr>
        <w:pStyle w:val="Footer"/>
      </w:pPr>
    </w:p>
  </w:footnote>
  <w:footnote w:type="continuationSeparator" w:id="0">
    <w:p w14:paraId="05106970" w14:textId="77777777" w:rsidR="00A240DB" w:rsidRPr="00117F31" w:rsidRDefault="00A240DB" w:rsidP="00117F31">
      <w:pPr>
        <w:pStyle w:val="Footer"/>
      </w:pPr>
    </w:p>
  </w:footnote>
  <w:footnote w:type="continuationNotice" w:id="1">
    <w:p w14:paraId="415C93AA" w14:textId="77777777" w:rsidR="00A240DB" w:rsidRDefault="00A240DB"/>
  </w:footnote>
  <w:footnote w:id="2">
    <w:p w14:paraId="1EF87FED" w14:textId="689367AE" w:rsidR="00147746" w:rsidRDefault="00147746" w:rsidP="00487D5F">
      <w:pPr>
        <w:pStyle w:val="FootnoteText"/>
        <w:spacing w:line="240" w:lineRule="auto"/>
        <w:ind w:right="1072"/>
        <w:rPr>
          <w:i/>
          <w:szCs w:val="22"/>
          <w:lang w:val="en-US"/>
        </w:rPr>
      </w:pPr>
      <w:r>
        <w:rPr>
          <w:rStyle w:val="FootnoteReference"/>
        </w:rPr>
        <w:footnoteRef/>
      </w:r>
      <w:r w:rsidR="00487D5F">
        <w:rPr>
          <w:lang w:val="en-US"/>
        </w:rPr>
        <w:tab/>
      </w:r>
      <w:r w:rsidRPr="002C4174">
        <w:rPr>
          <w:lang w:val="en-US"/>
        </w:rPr>
        <w:t xml:space="preserve">EBA/RTS/2022/10. </w:t>
      </w:r>
      <w:r w:rsidRPr="002C4174">
        <w:rPr>
          <w:i/>
          <w:szCs w:val="22"/>
          <w:lang w:val="en-US"/>
        </w:rPr>
        <w:t xml:space="preserve">Draft Regulatory Technical Standards specifying supervisory shock scenarios, common </w:t>
      </w:r>
      <w:proofErr w:type="gramStart"/>
      <w:r w:rsidRPr="002C4174">
        <w:rPr>
          <w:i/>
          <w:szCs w:val="22"/>
          <w:lang w:val="en-US"/>
        </w:rPr>
        <w:t>modelling</w:t>
      </w:r>
      <w:proofErr w:type="gramEnd"/>
      <w:r w:rsidRPr="002C4174">
        <w:rPr>
          <w:i/>
          <w:szCs w:val="22"/>
          <w:lang w:val="en-US"/>
        </w:rPr>
        <w:t xml:space="preserve"> and parametric assumptions and what constitutes a large decline for the calculation of the economic value of equity and of the net interest income in accordance with Article 98(5a) of Directive 2013/36/EU.</w:t>
      </w:r>
    </w:p>
    <w:p w14:paraId="221EE945" w14:textId="77777777" w:rsidR="00E76D56" w:rsidRPr="002C4174" w:rsidRDefault="00E76D56" w:rsidP="006534D1">
      <w:pPr>
        <w:pStyle w:val="FootnoteText"/>
        <w:ind w:right="1074" w:hanging="142"/>
        <w:rPr>
          <w:lang w:val="en-US"/>
        </w:rPr>
      </w:pPr>
    </w:p>
  </w:footnote>
  <w:footnote w:id="3">
    <w:p w14:paraId="3E506E0E" w14:textId="51707145" w:rsidR="00147746" w:rsidRDefault="00147746" w:rsidP="00E064CA">
      <w:pPr>
        <w:pStyle w:val="FootnoteText"/>
        <w:spacing w:line="240" w:lineRule="auto"/>
        <w:ind w:right="1134"/>
        <w:rPr>
          <w:i/>
          <w:szCs w:val="22"/>
          <w:lang w:val="en-US"/>
        </w:rPr>
      </w:pPr>
      <w:r>
        <w:rPr>
          <w:rStyle w:val="FootnoteReference"/>
        </w:rPr>
        <w:footnoteRef/>
      </w:r>
      <w:r w:rsidR="00E064CA">
        <w:rPr>
          <w:lang w:val="en-US"/>
        </w:rPr>
        <w:tab/>
      </w:r>
      <w:r w:rsidRPr="002C4174">
        <w:rPr>
          <w:lang w:val="en-US"/>
        </w:rPr>
        <w:t xml:space="preserve">EBA/RTS/2022/09. </w:t>
      </w:r>
      <w:r w:rsidRPr="002C4174">
        <w:rPr>
          <w:i/>
          <w:szCs w:val="22"/>
          <w:lang w:val="en-US"/>
        </w:rPr>
        <w:t>Draft Regulatory Technical Standards specifying standardised and simplified standardised methodologies to evaluate the risks arising from potential changes in interest rates that affect both the economic value of equity and the net interest income of an institution’s non-trading book activities in accordance with 84(5) of Directive 2013/36/EU.</w:t>
      </w:r>
    </w:p>
    <w:p w14:paraId="53870FD9" w14:textId="77777777" w:rsidR="00E76D56" w:rsidRPr="002C4174" w:rsidRDefault="00E76D56" w:rsidP="00A66E07">
      <w:pPr>
        <w:pStyle w:val="FootnoteText"/>
        <w:ind w:right="1133" w:hanging="142"/>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1B05" w14:textId="77777777" w:rsidR="00450949" w:rsidRDefault="00450949" w:rsidP="00E829D6">
    <w:pPr>
      <w:pStyle w:val="Header"/>
      <w:tabs>
        <w:tab w:val="clear" w:pos="4394"/>
        <w:tab w:val="center" w:pos="4395"/>
      </w:tabs>
      <w:rPr>
        <w:lang w:val="nl-BE"/>
      </w:rPr>
    </w:pPr>
  </w:p>
  <w:p w14:paraId="5EC2655B" w14:textId="77777777"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D98" w14:textId="77777777" w:rsidR="00450949" w:rsidRDefault="00450949" w:rsidP="00D850C8">
    <w:pPr>
      <w:pStyle w:val="Header"/>
      <w:rPr>
        <w:lang w:val="nl-BE"/>
      </w:rPr>
    </w:pPr>
  </w:p>
  <w:p w14:paraId="2316BDF6" w14:textId="77777777" w:rsidR="00450949" w:rsidRPr="00D850C8" w:rsidRDefault="00450949" w:rsidP="00D850C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E8E166"/>
    <w:lvl w:ilvl="0">
      <w:start w:val="1"/>
      <w:numFmt w:val="lowerRoman"/>
      <w:pStyle w:val="ListNumber3"/>
      <w:lvlText w:val="%1."/>
      <w:lvlJc w:val="left"/>
      <w:pPr>
        <w:ind w:left="851" w:hanging="285"/>
      </w:pPr>
      <w:rPr>
        <w:rFonts w:ascii="Arial" w:hAnsi="Arial" w:hint="default"/>
        <w:b w:val="0"/>
        <w:i w:val="0"/>
        <w:sz w:val="20"/>
      </w:rPr>
    </w:lvl>
  </w:abstractNum>
  <w:abstractNum w:abstractNumId="3" w15:restartNumberingAfterBreak="0">
    <w:nsid w:val="FFFFFF7F"/>
    <w:multiLevelType w:val="singleLevel"/>
    <w:tmpl w:val="E7D8E07C"/>
    <w:lvl w:ilvl="0">
      <w:start w:val="1"/>
      <w:numFmt w:val="lowerLetter"/>
      <w:pStyle w:val="ListNumber2"/>
      <w:lvlText w:val="%1."/>
      <w:lvlJc w:val="left"/>
      <w:pPr>
        <w:ind w:left="567" w:hanging="284"/>
      </w:pPr>
      <w:rPr>
        <w:rFonts w:ascii="Arial" w:hAnsi="Arial" w:hint="default"/>
        <w:b w:val="0"/>
        <w:i w:val="0"/>
        <w:sz w:val="20"/>
      </w:rPr>
    </w:lvl>
  </w:abstractNum>
  <w:abstractNum w:abstractNumId="4" w15:restartNumberingAfterBreak="0">
    <w:nsid w:val="FFFFFF80"/>
    <w:multiLevelType w:val="singleLevel"/>
    <w:tmpl w:val="FED0124A"/>
    <w:lvl w:ilvl="0">
      <w:start w:val="1"/>
      <w:numFmt w:val="bullet"/>
      <w:pStyle w:val="ListBullet5"/>
      <w:lvlText w:val=""/>
      <w:lvlJc w:val="left"/>
      <w:pPr>
        <w:ind w:left="1418" w:hanging="286"/>
      </w:pPr>
      <w:rPr>
        <w:rFonts w:ascii="Symbol" w:hAnsi="Symbol" w:hint="default"/>
        <w:b w:val="0"/>
        <w:i w:val="0"/>
        <w:sz w:val="20"/>
      </w:rPr>
    </w:lvl>
  </w:abstractNum>
  <w:abstractNum w:abstractNumId="5" w15:restartNumberingAfterBreak="0">
    <w:nsid w:val="FFFFFF81"/>
    <w:multiLevelType w:val="singleLevel"/>
    <w:tmpl w:val="ED881D6E"/>
    <w:lvl w:ilvl="0">
      <w:start w:val="1"/>
      <w:numFmt w:val="bullet"/>
      <w:pStyle w:val="ListBullet4"/>
      <w:lvlText w:val="○"/>
      <w:lvlJc w:val="left"/>
      <w:pPr>
        <w:ind w:left="1134" w:hanging="285"/>
      </w:pPr>
      <w:rPr>
        <w:rFonts w:ascii="Arial" w:hAnsi="Arial" w:hint="default"/>
        <w:b w:val="0"/>
        <w:i w:val="0"/>
        <w:sz w:val="20"/>
      </w:rPr>
    </w:lvl>
  </w:abstractNum>
  <w:abstractNum w:abstractNumId="6" w15:restartNumberingAfterBreak="0">
    <w:nsid w:val="FFFFFF82"/>
    <w:multiLevelType w:val="singleLevel"/>
    <w:tmpl w:val="D4D0E4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40C1E"/>
    <w:lvl w:ilvl="0">
      <w:start w:val="1"/>
      <w:numFmt w:val="bullet"/>
      <w:pStyle w:val="ListBullet2"/>
      <w:lvlText w:val="□"/>
      <w:lvlJc w:val="left"/>
      <w:pPr>
        <w:ind w:left="567" w:hanging="284"/>
      </w:pPr>
      <w:rPr>
        <w:rFonts w:ascii="Arial" w:hAnsi="Arial" w:hint="default"/>
        <w:b w:val="0"/>
        <w:i w:val="0"/>
        <w:sz w:val="20"/>
      </w:rPr>
    </w:lvl>
  </w:abstractNum>
  <w:abstractNum w:abstractNumId="8" w15:restartNumberingAfterBreak="0">
    <w:nsid w:val="FFFFFF88"/>
    <w:multiLevelType w:val="singleLevel"/>
    <w:tmpl w:val="074A0542"/>
    <w:lvl w:ilvl="0">
      <w:start w:val="1"/>
      <w:numFmt w:val="decimal"/>
      <w:pStyle w:val="ListNumber"/>
      <w:lvlText w:val="%1."/>
      <w:lvlJc w:val="left"/>
      <w:pPr>
        <w:ind w:left="284" w:hanging="284"/>
      </w:pPr>
      <w:rPr>
        <w:rFonts w:ascii="Arial" w:hAnsi="Arial" w:hint="default"/>
        <w:b w:val="0"/>
        <w:i w:val="0"/>
        <w:sz w:val="20"/>
      </w:rPr>
    </w:lvl>
  </w:abstractNum>
  <w:abstractNum w:abstractNumId="9" w15:restartNumberingAfterBreak="0">
    <w:nsid w:val="FFFFFF89"/>
    <w:multiLevelType w:val="singleLevel"/>
    <w:tmpl w:val="D474FA8C"/>
    <w:lvl w:ilvl="0">
      <w:start w:val="1"/>
      <w:numFmt w:val="bullet"/>
      <w:pStyle w:val="ListBullet"/>
      <w:lvlText w:val="■"/>
      <w:lvlJc w:val="left"/>
      <w:pPr>
        <w:ind w:left="284" w:hanging="284"/>
      </w:pPr>
      <w:rPr>
        <w:rFonts w:ascii="Arial" w:hAnsi="Arial" w:hint="default"/>
        <w:b w:val="0"/>
        <w:i w:val="0"/>
        <w:sz w:val="20"/>
      </w:rPr>
    </w:lvl>
  </w:abstractNum>
  <w:abstractNum w:abstractNumId="10" w15:restartNumberingAfterBreak="0">
    <w:nsid w:val="014901FB"/>
    <w:multiLevelType w:val="hybridMultilevel"/>
    <w:tmpl w:val="CDA0F682"/>
    <w:lvl w:ilvl="0" w:tplc="7070E264">
      <w:start w:val="1"/>
      <w:numFmt w:val="bullet"/>
      <w:pStyle w:val="ListBullet3"/>
      <w:lvlText w:val="●"/>
      <w:lvlJc w:val="left"/>
      <w:pPr>
        <w:ind w:left="851" w:hanging="284"/>
      </w:pPr>
      <w:rPr>
        <w:rFonts w:ascii="Arial" w:hAnsi="Arial" w:hint="default"/>
        <w:b w:val="0"/>
        <w:i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1B34E60"/>
    <w:multiLevelType w:val="hybridMultilevel"/>
    <w:tmpl w:val="46488A56"/>
    <w:lvl w:ilvl="0" w:tplc="FFB0B2B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3"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15:restartNumberingAfterBreak="0">
    <w:nsid w:val="1BF37AC0"/>
    <w:multiLevelType w:val="multilevel"/>
    <w:tmpl w:val="20E0AEF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8"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9"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1"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23F3443"/>
    <w:multiLevelType w:val="multilevel"/>
    <w:tmpl w:val="A6687038"/>
    <w:lvl w:ilvl="0">
      <w:start w:val="1"/>
      <w:numFmt w:val="decimal"/>
      <w:lvlText w:val="%1."/>
      <w:lvlJc w:val="left"/>
      <w:pPr>
        <w:ind w:left="357" w:hanging="357"/>
      </w:pPr>
      <w:rPr>
        <w:rFonts w:hint="default"/>
      </w:rPr>
    </w:lvl>
    <w:lvl w:ilvl="1">
      <w:start w:val="1"/>
      <w:numFmt w:val="upperLetter"/>
      <w:lvlText w:val="%1.%2."/>
      <w:lvlJc w:val="left"/>
      <w:pPr>
        <w:ind w:left="567" w:hanging="567"/>
      </w:pPr>
      <w:rPr>
        <w:rFonts w:hint="default"/>
      </w:rPr>
    </w:lvl>
    <w:lvl w:ilvl="2">
      <w:numFmt w:val="decimal"/>
      <w:lvlText w:val="%1.%2.%3."/>
      <w:lvlJc w:val="left"/>
      <w:pPr>
        <w:ind w:left="709" w:hanging="709"/>
      </w:pPr>
      <w:rPr>
        <w:rFonts w:hint="default"/>
      </w:rPr>
    </w:lvl>
    <w:lvl w:ilvl="3">
      <w:start w:val="1"/>
      <w:numFmt w:val="lowerLetter"/>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A13841"/>
    <w:multiLevelType w:val="multilevel"/>
    <w:tmpl w:val="D22678D4"/>
    <w:lvl w:ilvl="0">
      <w:start w:val="1"/>
      <w:numFmt w:val="decimal"/>
      <w:lvlText w:val="%1."/>
      <w:lvlJc w:val="left"/>
      <w:pPr>
        <w:ind w:left="660" w:hanging="226"/>
      </w:pPr>
      <w:rPr>
        <w:rFonts w:ascii="Arial" w:eastAsia="Arial" w:hAnsi="Arial" w:cs="Arial" w:hint="default"/>
        <w:b/>
        <w:bCs/>
        <w:spacing w:val="-2"/>
        <w:w w:val="100"/>
        <w:sz w:val="20"/>
        <w:szCs w:val="20"/>
        <w:lang w:val="fr-FR" w:eastAsia="en-US" w:bidi="ar-SA"/>
      </w:rPr>
    </w:lvl>
    <w:lvl w:ilvl="1">
      <w:start w:val="1"/>
      <w:numFmt w:val="decimal"/>
      <w:lvlText w:val="%1.%2."/>
      <w:lvlJc w:val="left"/>
      <w:pPr>
        <w:ind w:left="982" w:hanging="566"/>
      </w:pPr>
      <w:rPr>
        <w:rFonts w:ascii="Arial MT" w:eastAsia="Arial MT" w:hAnsi="Arial MT" w:cs="Arial MT" w:hint="default"/>
        <w:spacing w:val="-2"/>
        <w:w w:val="100"/>
        <w:sz w:val="20"/>
        <w:szCs w:val="20"/>
        <w:lang w:val="fr-FR" w:eastAsia="en-US" w:bidi="ar-SA"/>
      </w:rPr>
    </w:lvl>
    <w:lvl w:ilvl="2">
      <w:start w:val="1"/>
      <w:numFmt w:val="decimal"/>
      <w:lvlText w:val="%1.%2.%3."/>
      <w:lvlJc w:val="left"/>
      <w:pPr>
        <w:ind w:left="1548" w:hanging="566"/>
        <w:jc w:val="right"/>
      </w:pPr>
      <w:rPr>
        <w:rFonts w:ascii="Arial MT" w:eastAsia="Arial MT" w:hAnsi="Arial MT" w:cs="Arial MT" w:hint="default"/>
        <w:spacing w:val="-2"/>
        <w:w w:val="100"/>
        <w:sz w:val="20"/>
        <w:szCs w:val="20"/>
        <w:lang w:val="fr-FR" w:eastAsia="en-US" w:bidi="ar-SA"/>
      </w:rPr>
    </w:lvl>
    <w:lvl w:ilvl="3">
      <w:numFmt w:val="bullet"/>
      <w:lvlText w:val="•"/>
      <w:lvlJc w:val="left"/>
      <w:pPr>
        <w:ind w:left="1540" w:hanging="566"/>
      </w:pPr>
      <w:rPr>
        <w:rFonts w:hint="default"/>
        <w:lang w:val="fr-FR" w:eastAsia="en-US" w:bidi="ar-SA"/>
      </w:rPr>
    </w:lvl>
    <w:lvl w:ilvl="4">
      <w:numFmt w:val="bullet"/>
      <w:lvlText w:val="•"/>
      <w:lvlJc w:val="left"/>
      <w:pPr>
        <w:ind w:left="2809" w:hanging="566"/>
      </w:pPr>
      <w:rPr>
        <w:rFonts w:hint="default"/>
        <w:lang w:val="fr-FR" w:eastAsia="en-US" w:bidi="ar-SA"/>
      </w:rPr>
    </w:lvl>
    <w:lvl w:ilvl="5">
      <w:numFmt w:val="bullet"/>
      <w:lvlText w:val="•"/>
      <w:lvlJc w:val="left"/>
      <w:pPr>
        <w:ind w:left="4078" w:hanging="566"/>
      </w:pPr>
      <w:rPr>
        <w:rFonts w:hint="default"/>
        <w:lang w:val="fr-FR" w:eastAsia="en-US" w:bidi="ar-SA"/>
      </w:rPr>
    </w:lvl>
    <w:lvl w:ilvl="6">
      <w:numFmt w:val="bullet"/>
      <w:lvlText w:val="•"/>
      <w:lvlJc w:val="left"/>
      <w:pPr>
        <w:ind w:left="5347" w:hanging="566"/>
      </w:pPr>
      <w:rPr>
        <w:rFonts w:hint="default"/>
        <w:lang w:val="fr-FR" w:eastAsia="en-US" w:bidi="ar-SA"/>
      </w:rPr>
    </w:lvl>
    <w:lvl w:ilvl="7">
      <w:numFmt w:val="bullet"/>
      <w:lvlText w:val="•"/>
      <w:lvlJc w:val="left"/>
      <w:pPr>
        <w:ind w:left="6616" w:hanging="566"/>
      </w:pPr>
      <w:rPr>
        <w:rFonts w:hint="default"/>
        <w:lang w:val="fr-FR" w:eastAsia="en-US" w:bidi="ar-SA"/>
      </w:rPr>
    </w:lvl>
    <w:lvl w:ilvl="8">
      <w:numFmt w:val="bullet"/>
      <w:lvlText w:val="•"/>
      <w:lvlJc w:val="left"/>
      <w:pPr>
        <w:ind w:left="7885" w:hanging="566"/>
      </w:pPr>
      <w:rPr>
        <w:rFonts w:hint="default"/>
        <w:lang w:val="fr-FR" w:eastAsia="en-US" w:bidi="ar-SA"/>
      </w:rPr>
    </w:lvl>
  </w:abstractNum>
  <w:abstractNum w:abstractNumId="26"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8" w15:restartNumberingAfterBreak="0">
    <w:nsid w:val="5EE832A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4757776"/>
    <w:multiLevelType w:val="hybridMultilevel"/>
    <w:tmpl w:val="66A05E62"/>
    <w:lvl w:ilvl="0" w:tplc="C6204E7E">
      <w:start w:val="1"/>
      <w:numFmt w:val="bullet"/>
      <w:lvlText w:val="-"/>
      <w:lvlJc w:val="left"/>
      <w:pPr>
        <w:ind w:left="720" w:hanging="360"/>
      </w:pPr>
      <w:rPr>
        <w:rFonts w:ascii="Segoe UI" w:hAnsi="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5"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16cid:durableId="1314262909">
    <w:abstractNumId w:val="0"/>
  </w:num>
  <w:num w:numId="2" w16cid:durableId="1145269808">
    <w:abstractNumId w:val="1"/>
  </w:num>
  <w:num w:numId="3" w16cid:durableId="1534344990">
    <w:abstractNumId w:val="2"/>
  </w:num>
  <w:num w:numId="4" w16cid:durableId="897280323">
    <w:abstractNumId w:val="3"/>
  </w:num>
  <w:num w:numId="5" w16cid:durableId="1805853868">
    <w:abstractNumId w:val="8"/>
  </w:num>
  <w:num w:numId="6" w16cid:durableId="314533496">
    <w:abstractNumId w:val="4"/>
  </w:num>
  <w:num w:numId="7" w16cid:durableId="1883980376">
    <w:abstractNumId w:val="5"/>
  </w:num>
  <w:num w:numId="8" w16cid:durableId="1034813803">
    <w:abstractNumId w:val="6"/>
  </w:num>
  <w:num w:numId="9" w16cid:durableId="817959922">
    <w:abstractNumId w:val="7"/>
  </w:num>
  <w:num w:numId="10" w16cid:durableId="322053551">
    <w:abstractNumId w:val="9"/>
  </w:num>
  <w:num w:numId="11" w16cid:durableId="103304311">
    <w:abstractNumId w:val="29"/>
  </w:num>
  <w:num w:numId="12" w16cid:durableId="1721704050">
    <w:abstractNumId w:val="22"/>
  </w:num>
  <w:num w:numId="13" w16cid:durableId="1008600263">
    <w:abstractNumId w:val="32"/>
  </w:num>
  <w:num w:numId="14" w16cid:durableId="1106123196">
    <w:abstractNumId w:val="24"/>
  </w:num>
  <w:num w:numId="15" w16cid:durableId="1940261584">
    <w:abstractNumId w:val="21"/>
  </w:num>
  <w:num w:numId="16" w16cid:durableId="222833232">
    <w:abstractNumId w:val="16"/>
  </w:num>
  <w:num w:numId="17" w16cid:durableId="1032918479">
    <w:abstractNumId w:val="34"/>
  </w:num>
  <w:num w:numId="18" w16cid:durableId="1193803839">
    <w:abstractNumId w:val="14"/>
  </w:num>
  <w:num w:numId="19" w16cid:durableId="1135947083">
    <w:abstractNumId w:val="17"/>
  </w:num>
  <w:num w:numId="20" w16cid:durableId="1375084818">
    <w:abstractNumId w:val="35"/>
  </w:num>
  <w:num w:numId="21" w16cid:durableId="513035372">
    <w:abstractNumId w:val="13"/>
  </w:num>
  <w:num w:numId="22" w16cid:durableId="1499149493">
    <w:abstractNumId w:val="26"/>
  </w:num>
  <w:num w:numId="23" w16cid:durableId="1955135786">
    <w:abstractNumId w:val="30"/>
  </w:num>
  <w:num w:numId="24" w16cid:durableId="2090688659">
    <w:abstractNumId w:val="19"/>
  </w:num>
  <w:num w:numId="25" w16cid:durableId="1853716206">
    <w:abstractNumId w:val="18"/>
  </w:num>
  <w:num w:numId="26" w16cid:durableId="968049407">
    <w:abstractNumId w:val="27"/>
  </w:num>
  <w:num w:numId="27" w16cid:durableId="1995910365">
    <w:abstractNumId w:val="12"/>
  </w:num>
  <w:num w:numId="28" w16cid:durableId="64766511">
    <w:abstractNumId w:val="20"/>
  </w:num>
  <w:num w:numId="29" w16cid:durableId="605844765">
    <w:abstractNumId w:val="31"/>
  </w:num>
  <w:num w:numId="30" w16cid:durableId="1014456786">
    <w:abstractNumId w:val="23"/>
  </w:num>
  <w:num w:numId="31" w16cid:durableId="1436824033">
    <w:abstractNumId w:val="9"/>
  </w:num>
  <w:num w:numId="32" w16cid:durableId="455300463">
    <w:abstractNumId w:val="7"/>
  </w:num>
  <w:num w:numId="33" w16cid:durableId="653264899">
    <w:abstractNumId w:val="10"/>
  </w:num>
  <w:num w:numId="34" w16cid:durableId="198396544">
    <w:abstractNumId w:val="5"/>
  </w:num>
  <w:num w:numId="35" w16cid:durableId="343438956">
    <w:abstractNumId w:val="4"/>
  </w:num>
  <w:num w:numId="36" w16cid:durableId="524443907">
    <w:abstractNumId w:val="8"/>
  </w:num>
  <w:num w:numId="37" w16cid:durableId="1022584723">
    <w:abstractNumId w:val="3"/>
  </w:num>
  <w:num w:numId="38" w16cid:durableId="605191238">
    <w:abstractNumId w:val="2"/>
  </w:num>
  <w:num w:numId="39" w16cid:durableId="1629388117">
    <w:abstractNumId w:val="8"/>
  </w:num>
  <w:num w:numId="40" w16cid:durableId="140267269">
    <w:abstractNumId w:val="3"/>
  </w:num>
  <w:num w:numId="41" w16cid:durableId="714701159">
    <w:abstractNumId w:val="2"/>
  </w:num>
  <w:num w:numId="42" w16cid:durableId="1295939189">
    <w:abstractNumId w:val="25"/>
  </w:num>
  <w:num w:numId="43" w16cid:durableId="943271769">
    <w:abstractNumId w:val="11"/>
  </w:num>
  <w:num w:numId="44" w16cid:durableId="2028631316">
    <w:abstractNumId w:val="28"/>
  </w:num>
  <w:num w:numId="45" w16cid:durableId="680159003">
    <w:abstractNumId w:val="15"/>
  </w:num>
  <w:num w:numId="46" w16cid:durableId="1577743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99"/>
    <w:rsid w:val="00021FFE"/>
    <w:rsid w:val="00024A9E"/>
    <w:rsid w:val="000327D2"/>
    <w:rsid w:val="0003333C"/>
    <w:rsid w:val="00036E81"/>
    <w:rsid w:val="0004319E"/>
    <w:rsid w:val="000433B6"/>
    <w:rsid w:val="000454A8"/>
    <w:rsid w:val="0004570B"/>
    <w:rsid w:val="00046F25"/>
    <w:rsid w:val="00051E31"/>
    <w:rsid w:val="00051F2C"/>
    <w:rsid w:val="00053EEF"/>
    <w:rsid w:val="00054153"/>
    <w:rsid w:val="00062C1B"/>
    <w:rsid w:val="00064AC6"/>
    <w:rsid w:val="00082FA7"/>
    <w:rsid w:val="000869C2"/>
    <w:rsid w:val="000875B3"/>
    <w:rsid w:val="00090275"/>
    <w:rsid w:val="00097598"/>
    <w:rsid w:val="000A1DA9"/>
    <w:rsid w:val="000A3128"/>
    <w:rsid w:val="000A667A"/>
    <w:rsid w:val="000A6C3F"/>
    <w:rsid w:val="000B2D72"/>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25CC4"/>
    <w:rsid w:val="0013374A"/>
    <w:rsid w:val="00133D4B"/>
    <w:rsid w:val="00133E60"/>
    <w:rsid w:val="00137947"/>
    <w:rsid w:val="00145EF1"/>
    <w:rsid w:val="00147746"/>
    <w:rsid w:val="00147933"/>
    <w:rsid w:val="0015124C"/>
    <w:rsid w:val="001516F5"/>
    <w:rsid w:val="0015337A"/>
    <w:rsid w:val="00154310"/>
    <w:rsid w:val="001548A9"/>
    <w:rsid w:val="00155349"/>
    <w:rsid w:val="0015659A"/>
    <w:rsid w:val="00160D31"/>
    <w:rsid w:val="00167ACD"/>
    <w:rsid w:val="00172DAF"/>
    <w:rsid w:val="00175ADE"/>
    <w:rsid w:val="001763C2"/>
    <w:rsid w:val="001767CB"/>
    <w:rsid w:val="00177A87"/>
    <w:rsid w:val="00184653"/>
    <w:rsid w:val="0018615D"/>
    <w:rsid w:val="0018628D"/>
    <w:rsid w:val="00186EC7"/>
    <w:rsid w:val="0019158E"/>
    <w:rsid w:val="00197FEB"/>
    <w:rsid w:val="001A1D68"/>
    <w:rsid w:val="001A7DC7"/>
    <w:rsid w:val="001B4EEE"/>
    <w:rsid w:val="001B7F21"/>
    <w:rsid w:val="001C21B7"/>
    <w:rsid w:val="001D503F"/>
    <w:rsid w:val="001D5AA2"/>
    <w:rsid w:val="001E24D6"/>
    <w:rsid w:val="001E4538"/>
    <w:rsid w:val="001F1805"/>
    <w:rsid w:val="001F1DFF"/>
    <w:rsid w:val="001F4F28"/>
    <w:rsid w:val="001F711D"/>
    <w:rsid w:val="00200D79"/>
    <w:rsid w:val="00202B0B"/>
    <w:rsid w:val="00204BE8"/>
    <w:rsid w:val="00215E02"/>
    <w:rsid w:val="00221231"/>
    <w:rsid w:val="00223911"/>
    <w:rsid w:val="002307B0"/>
    <w:rsid w:val="00231694"/>
    <w:rsid w:val="00232CEE"/>
    <w:rsid w:val="002333AF"/>
    <w:rsid w:val="00233828"/>
    <w:rsid w:val="002406B2"/>
    <w:rsid w:val="00244E69"/>
    <w:rsid w:val="002477FA"/>
    <w:rsid w:val="00253038"/>
    <w:rsid w:val="002554D2"/>
    <w:rsid w:val="002612BF"/>
    <w:rsid w:val="00261D63"/>
    <w:rsid w:val="002754A4"/>
    <w:rsid w:val="00275C1C"/>
    <w:rsid w:val="00276804"/>
    <w:rsid w:val="00277EDB"/>
    <w:rsid w:val="002859A3"/>
    <w:rsid w:val="00287538"/>
    <w:rsid w:val="0028790D"/>
    <w:rsid w:val="002A09D0"/>
    <w:rsid w:val="002A4B21"/>
    <w:rsid w:val="002B5743"/>
    <w:rsid w:val="002C0CC4"/>
    <w:rsid w:val="002C4174"/>
    <w:rsid w:val="002C7492"/>
    <w:rsid w:val="002D5723"/>
    <w:rsid w:val="002D75B3"/>
    <w:rsid w:val="002E10A2"/>
    <w:rsid w:val="002E15B9"/>
    <w:rsid w:val="002E409B"/>
    <w:rsid w:val="002E4D69"/>
    <w:rsid w:val="002E5144"/>
    <w:rsid w:val="002E52DF"/>
    <w:rsid w:val="002F1611"/>
    <w:rsid w:val="002F792A"/>
    <w:rsid w:val="0030334E"/>
    <w:rsid w:val="003116AA"/>
    <w:rsid w:val="003135E6"/>
    <w:rsid w:val="003364D4"/>
    <w:rsid w:val="00336912"/>
    <w:rsid w:val="0034123C"/>
    <w:rsid w:val="003419C5"/>
    <w:rsid w:val="00342336"/>
    <w:rsid w:val="00352B22"/>
    <w:rsid w:val="00353178"/>
    <w:rsid w:val="00353E3D"/>
    <w:rsid w:val="00353FEF"/>
    <w:rsid w:val="00354956"/>
    <w:rsid w:val="00357D44"/>
    <w:rsid w:val="00362513"/>
    <w:rsid w:val="00365065"/>
    <w:rsid w:val="00365FFE"/>
    <w:rsid w:val="0037530A"/>
    <w:rsid w:val="00377371"/>
    <w:rsid w:val="003802EE"/>
    <w:rsid w:val="0038095A"/>
    <w:rsid w:val="00381F4A"/>
    <w:rsid w:val="00383392"/>
    <w:rsid w:val="0038758B"/>
    <w:rsid w:val="00387716"/>
    <w:rsid w:val="00395A49"/>
    <w:rsid w:val="00397DDA"/>
    <w:rsid w:val="003B1662"/>
    <w:rsid w:val="003B755D"/>
    <w:rsid w:val="003B7866"/>
    <w:rsid w:val="003D7096"/>
    <w:rsid w:val="003E4928"/>
    <w:rsid w:val="003F2836"/>
    <w:rsid w:val="003F792F"/>
    <w:rsid w:val="003F7C4E"/>
    <w:rsid w:val="004003CC"/>
    <w:rsid w:val="00401C3E"/>
    <w:rsid w:val="00406A44"/>
    <w:rsid w:val="00407822"/>
    <w:rsid w:val="00412C56"/>
    <w:rsid w:val="00420141"/>
    <w:rsid w:val="0042595A"/>
    <w:rsid w:val="004275C8"/>
    <w:rsid w:val="004314A4"/>
    <w:rsid w:val="00432231"/>
    <w:rsid w:val="00437FA4"/>
    <w:rsid w:val="004419A0"/>
    <w:rsid w:val="004449B7"/>
    <w:rsid w:val="00450949"/>
    <w:rsid w:val="004540E1"/>
    <w:rsid w:val="00454C65"/>
    <w:rsid w:val="00456DEB"/>
    <w:rsid w:val="004619EE"/>
    <w:rsid w:val="00461B36"/>
    <w:rsid w:val="00464101"/>
    <w:rsid w:val="004679FA"/>
    <w:rsid w:val="0047056E"/>
    <w:rsid w:val="00477F18"/>
    <w:rsid w:val="00485F3C"/>
    <w:rsid w:val="00487D5F"/>
    <w:rsid w:val="004A477F"/>
    <w:rsid w:val="004A4C5C"/>
    <w:rsid w:val="004B400F"/>
    <w:rsid w:val="004C14FA"/>
    <w:rsid w:val="004C2424"/>
    <w:rsid w:val="004D12DD"/>
    <w:rsid w:val="004E136D"/>
    <w:rsid w:val="004F04DA"/>
    <w:rsid w:val="004F0F6B"/>
    <w:rsid w:val="004F41BA"/>
    <w:rsid w:val="00501DA5"/>
    <w:rsid w:val="005033DA"/>
    <w:rsid w:val="005078A0"/>
    <w:rsid w:val="0050792E"/>
    <w:rsid w:val="0051268A"/>
    <w:rsid w:val="0052784F"/>
    <w:rsid w:val="00531EDA"/>
    <w:rsid w:val="00532BA6"/>
    <w:rsid w:val="005433B6"/>
    <w:rsid w:val="005502A8"/>
    <w:rsid w:val="005508CC"/>
    <w:rsid w:val="00552963"/>
    <w:rsid w:val="0055492B"/>
    <w:rsid w:val="00557A3F"/>
    <w:rsid w:val="0056043D"/>
    <w:rsid w:val="005616A3"/>
    <w:rsid w:val="00561A9A"/>
    <w:rsid w:val="00564429"/>
    <w:rsid w:val="00567693"/>
    <w:rsid w:val="00571138"/>
    <w:rsid w:val="0057142F"/>
    <w:rsid w:val="00571A24"/>
    <w:rsid w:val="00582D56"/>
    <w:rsid w:val="00583427"/>
    <w:rsid w:val="00590433"/>
    <w:rsid w:val="00592469"/>
    <w:rsid w:val="00592957"/>
    <w:rsid w:val="005932C7"/>
    <w:rsid w:val="0059396D"/>
    <w:rsid w:val="005A3DA7"/>
    <w:rsid w:val="005A6781"/>
    <w:rsid w:val="005B17DE"/>
    <w:rsid w:val="005B3CCF"/>
    <w:rsid w:val="005B4C1C"/>
    <w:rsid w:val="005B7910"/>
    <w:rsid w:val="005C1B25"/>
    <w:rsid w:val="005C3450"/>
    <w:rsid w:val="005C3F84"/>
    <w:rsid w:val="005C6F2A"/>
    <w:rsid w:val="005E33F6"/>
    <w:rsid w:val="006107D5"/>
    <w:rsid w:val="00610B4E"/>
    <w:rsid w:val="00611E02"/>
    <w:rsid w:val="00621429"/>
    <w:rsid w:val="00627AF2"/>
    <w:rsid w:val="0063089E"/>
    <w:rsid w:val="006316A4"/>
    <w:rsid w:val="00631E3C"/>
    <w:rsid w:val="00634558"/>
    <w:rsid w:val="00635AD7"/>
    <w:rsid w:val="00635DCE"/>
    <w:rsid w:val="00637160"/>
    <w:rsid w:val="006372C7"/>
    <w:rsid w:val="006376E3"/>
    <w:rsid w:val="00645085"/>
    <w:rsid w:val="006506E6"/>
    <w:rsid w:val="00651843"/>
    <w:rsid w:val="006534D1"/>
    <w:rsid w:val="00653A88"/>
    <w:rsid w:val="006545B0"/>
    <w:rsid w:val="006602F1"/>
    <w:rsid w:val="00660417"/>
    <w:rsid w:val="006626A0"/>
    <w:rsid w:val="00667481"/>
    <w:rsid w:val="006703F5"/>
    <w:rsid w:val="0067198D"/>
    <w:rsid w:val="0068065A"/>
    <w:rsid w:val="00680E07"/>
    <w:rsid w:val="00683802"/>
    <w:rsid w:val="00683AEF"/>
    <w:rsid w:val="0068679D"/>
    <w:rsid w:val="0069769C"/>
    <w:rsid w:val="00697F48"/>
    <w:rsid w:val="006A3829"/>
    <w:rsid w:val="006A3F65"/>
    <w:rsid w:val="006B164C"/>
    <w:rsid w:val="006B6BFC"/>
    <w:rsid w:val="006D5E08"/>
    <w:rsid w:val="006E7B69"/>
    <w:rsid w:val="006E7D13"/>
    <w:rsid w:val="00702DA6"/>
    <w:rsid w:val="00703965"/>
    <w:rsid w:val="00706B32"/>
    <w:rsid w:val="0071004E"/>
    <w:rsid w:val="00714070"/>
    <w:rsid w:val="007148AA"/>
    <w:rsid w:val="00730DDA"/>
    <w:rsid w:val="007333F9"/>
    <w:rsid w:val="00733829"/>
    <w:rsid w:val="00733DE9"/>
    <w:rsid w:val="00741E9C"/>
    <w:rsid w:val="007459B1"/>
    <w:rsid w:val="00750B57"/>
    <w:rsid w:val="00752FC4"/>
    <w:rsid w:val="00760E19"/>
    <w:rsid w:val="007654E7"/>
    <w:rsid w:val="00766F4D"/>
    <w:rsid w:val="0077019B"/>
    <w:rsid w:val="00773E81"/>
    <w:rsid w:val="00776A5D"/>
    <w:rsid w:val="00785B6F"/>
    <w:rsid w:val="0078736D"/>
    <w:rsid w:val="00787601"/>
    <w:rsid w:val="00796920"/>
    <w:rsid w:val="00797BED"/>
    <w:rsid w:val="007A1C59"/>
    <w:rsid w:val="007A1F21"/>
    <w:rsid w:val="007A3EF3"/>
    <w:rsid w:val="007A552B"/>
    <w:rsid w:val="007A6D1E"/>
    <w:rsid w:val="007B25F7"/>
    <w:rsid w:val="007B793B"/>
    <w:rsid w:val="007C6D45"/>
    <w:rsid w:val="007C7818"/>
    <w:rsid w:val="007E0494"/>
    <w:rsid w:val="007E0667"/>
    <w:rsid w:val="007E4331"/>
    <w:rsid w:val="007E4E14"/>
    <w:rsid w:val="007E71C9"/>
    <w:rsid w:val="007F0A8C"/>
    <w:rsid w:val="007F462A"/>
    <w:rsid w:val="007F5AF5"/>
    <w:rsid w:val="007F78DB"/>
    <w:rsid w:val="00804480"/>
    <w:rsid w:val="00805AFA"/>
    <w:rsid w:val="008068B6"/>
    <w:rsid w:val="0081015C"/>
    <w:rsid w:val="00814FBE"/>
    <w:rsid w:val="00815A99"/>
    <w:rsid w:val="00821F74"/>
    <w:rsid w:val="00822375"/>
    <w:rsid w:val="00824A23"/>
    <w:rsid w:val="00836C05"/>
    <w:rsid w:val="008437C4"/>
    <w:rsid w:val="00843F67"/>
    <w:rsid w:val="00847145"/>
    <w:rsid w:val="008503E8"/>
    <w:rsid w:val="008806C5"/>
    <w:rsid w:val="00881BC1"/>
    <w:rsid w:val="0088319C"/>
    <w:rsid w:val="008837CF"/>
    <w:rsid w:val="00896CFE"/>
    <w:rsid w:val="008977A1"/>
    <w:rsid w:val="008A38D9"/>
    <w:rsid w:val="008A6900"/>
    <w:rsid w:val="008B11AD"/>
    <w:rsid w:val="008C4032"/>
    <w:rsid w:val="008C4363"/>
    <w:rsid w:val="008D4115"/>
    <w:rsid w:val="008E266D"/>
    <w:rsid w:val="008E5948"/>
    <w:rsid w:val="008E6931"/>
    <w:rsid w:val="008E76BE"/>
    <w:rsid w:val="008F09A4"/>
    <w:rsid w:val="008F6C4D"/>
    <w:rsid w:val="0090354E"/>
    <w:rsid w:val="0090398E"/>
    <w:rsid w:val="00905D03"/>
    <w:rsid w:val="00914031"/>
    <w:rsid w:val="0092601C"/>
    <w:rsid w:val="00926F54"/>
    <w:rsid w:val="00932175"/>
    <w:rsid w:val="00935B26"/>
    <w:rsid w:val="00937808"/>
    <w:rsid w:val="00940C81"/>
    <w:rsid w:val="00942B19"/>
    <w:rsid w:val="00942EE2"/>
    <w:rsid w:val="009466D6"/>
    <w:rsid w:val="00950C45"/>
    <w:rsid w:val="00954143"/>
    <w:rsid w:val="009600D3"/>
    <w:rsid w:val="009604AE"/>
    <w:rsid w:val="00974952"/>
    <w:rsid w:val="00980D15"/>
    <w:rsid w:val="00980F5C"/>
    <w:rsid w:val="00983714"/>
    <w:rsid w:val="00985229"/>
    <w:rsid w:val="0098545D"/>
    <w:rsid w:val="00987DEA"/>
    <w:rsid w:val="00990C28"/>
    <w:rsid w:val="00991E7A"/>
    <w:rsid w:val="009939BE"/>
    <w:rsid w:val="00994BF4"/>
    <w:rsid w:val="009A0346"/>
    <w:rsid w:val="009A140C"/>
    <w:rsid w:val="009B132A"/>
    <w:rsid w:val="009B4DE9"/>
    <w:rsid w:val="009B6CCF"/>
    <w:rsid w:val="009B6FA0"/>
    <w:rsid w:val="009C0BC7"/>
    <w:rsid w:val="009D10D0"/>
    <w:rsid w:val="009D1225"/>
    <w:rsid w:val="009D15BD"/>
    <w:rsid w:val="009D277D"/>
    <w:rsid w:val="009D3040"/>
    <w:rsid w:val="009D3082"/>
    <w:rsid w:val="009D48F2"/>
    <w:rsid w:val="009D784B"/>
    <w:rsid w:val="009E2A0A"/>
    <w:rsid w:val="009E56DB"/>
    <w:rsid w:val="00A01013"/>
    <w:rsid w:val="00A06B19"/>
    <w:rsid w:val="00A10895"/>
    <w:rsid w:val="00A11F91"/>
    <w:rsid w:val="00A122B7"/>
    <w:rsid w:val="00A141C9"/>
    <w:rsid w:val="00A147E1"/>
    <w:rsid w:val="00A16F91"/>
    <w:rsid w:val="00A17571"/>
    <w:rsid w:val="00A22C52"/>
    <w:rsid w:val="00A240DB"/>
    <w:rsid w:val="00A2514A"/>
    <w:rsid w:val="00A25A33"/>
    <w:rsid w:val="00A267AD"/>
    <w:rsid w:val="00A32B2C"/>
    <w:rsid w:val="00A351FF"/>
    <w:rsid w:val="00A355E9"/>
    <w:rsid w:val="00A51FAA"/>
    <w:rsid w:val="00A52B3E"/>
    <w:rsid w:val="00A55A96"/>
    <w:rsid w:val="00A56340"/>
    <w:rsid w:val="00A605D0"/>
    <w:rsid w:val="00A621A5"/>
    <w:rsid w:val="00A62501"/>
    <w:rsid w:val="00A66E07"/>
    <w:rsid w:val="00A679F2"/>
    <w:rsid w:val="00A709E5"/>
    <w:rsid w:val="00A7250C"/>
    <w:rsid w:val="00A73D60"/>
    <w:rsid w:val="00A745C2"/>
    <w:rsid w:val="00A81448"/>
    <w:rsid w:val="00A84E2A"/>
    <w:rsid w:val="00A876D8"/>
    <w:rsid w:val="00A912F7"/>
    <w:rsid w:val="00A925BE"/>
    <w:rsid w:val="00A973C8"/>
    <w:rsid w:val="00AA074E"/>
    <w:rsid w:val="00AA45E5"/>
    <w:rsid w:val="00AA657C"/>
    <w:rsid w:val="00AB4D11"/>
    <w:rsid w:val="00AB5B67"/>
    <w:rsid w:val="00AB5F38"/>
    <w:rsid w:val="00AB66CA"/>
    <w:rsid w:val="00AB6BD9"/>
    <w:rsid w:val="00AC619F"/>
    <w:rsid w:val="00AD7BAB"/>
    <w:rsid w:val="00AE028E"/>
    <w:rsid w:val="00AE0FA5"/>
    <w:rsid w:val="00AE5973"/>
    <w:rsid w:val="00AF77D2"/>
    <w:rsid w:val="00B04933"/>
    <w:rsid w:val="00B052E8"/>
    <w:rsid w:val="00B11BB2"/>
    <w:rsid w:val="00B144C0"/>
    <w:rsid w:val="00B338D7"/>
    <w:rsid w:val="00B34FEF"/>
    <w:rsid w:val="00B352D4"/>
    <w:rsid w:val="00B402AF"/>
    <w:rsid w:val="00B404A0"/>
    <w:rsid w:val="00B41942"/>
    <w:rsid w:val="00B41EC4"/>
    <w:rsid w:val="00B44C6F"/>
    <w:rsid w:val="00B44D45"/>
    <w:rsid w:val="00B46BAE"/>
    <w:rsid w:val="00B52F2E"/>
    <w:rsid w:val="00B614D1"/>
    <w:rsid w:val="00B63B89"/>
    <w:rsid w:val="00B661C8"/>
    <w:rsid w:val="00B80CFD"/>
    <w:rsid w:val="00B908B1"/>
    <w:rsid w:val="00B92424"/>
    <w:rsid w:val="00B97B40"/>
    <w:rsid w:val="00BC351F"/>
    <w:rsid w:val="00BD69DE"/>
    <w:rsid w:val="00BD7A38"/>
    <w:rsid w:val="00BE0CD8"/>
    <w:rsid w:val="00BF29ED"/>
    <w:rsid w:val="00BF5C8A"/>
    <w:rsid w:val="00C0402A"/>
    <w:rsid w:val="00C0490F"/>
    <w:rsid w:val="00C079B3"/>
    <w:rsid w:val="00C24707"/>
    <w:rsid w:val="00C27ED6"/>
    <w:rsid w:val="00C319B4"/>
    <w:rsid w:val="00C33CD7"/>
    <w:rsid w:val="00C34E1C"/>
    <w:rsid w:val="00C365AB"/>
    <w:rsid w:val="00C37D91"/>
    <w:rsid w:val="00C416DC"/>
    <w:rsid w:val="00C474DC"/>
    <w:rsid w:val="00C47857"/>
    <w:rsid w:val="00C5387A"/>
    <w:rsid w:val="00C563FE"/>
    <w:rsid w:val="00C61050"/>
    <w:rsid w:val="00C634C5"/>
    <w:rsid w:val="00C641E4"/>
    <w:rsid w:val="00C66480"/>
    <w:rsid w:val="00C737AF"/>
    <w:rsid w:val="00C753E9"/>
    <w:rsid w:val="00C81B69"/>
    <w:rsid w:val="00C84EA1"/>
    <w:rsid w:val="00C90176"/>
    <w:rsid w:val="00C9043A"/>
    <w:rsid w:val="00C94B35"/>
    <w:rsid w:val="00C961A9"/>
    <w:rsid w:val="00CA0014"/>
    <w:rsid w:val="00CA417D"/>
    <w:rsid w:val="00CA5A74"/>
    <w:rsid w:val="00CB2202"/>
    <w:rsid w:val="00CB30C8"/>
    <w:rsid w:val="00CB4A52"/>
    <w:rsid w:val="00CC0365"/>
    <w:rsid w:val="00CC4296"/>
    <w:rsid w:val="00CC78A5"/>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45996"/>
    <w:rsid w:val="00D527DE"/>
    <w:rsid w:val="00D556C0"/>
    <w:rsid w:val="00D62D9B"/>
    <w:rsid w:val="00D63DA6"/>
    <w:rsid w:val="00D650B1"/>
    <w:rsid w:val="00D718C9"/>
    <w:rsid w:val="00D71A22"/>
    <w:rsid w:val="00D75B6C"/>
    <w:rsid w:val="00D82C98"/>
    <w:rsid w:val="00D850C8"/>
    <w:rsid w:val="00D9239E"/>
    <w:rsid w:val="00D9398B"/>
    <w:rsid w:val="00D93C38"/>
    <w:rsid w:val="00DB31C8"/>
    <w:rsid w:val="00DB4817"/>
    <w:rsid w:val="00DC0B0F"/>
    <w:rsid w:val="00DC1B28"/>
    <w:rsid w:val="00DC224C"/>
    <w:rsid w:val="00DC727C"/>
    <w:rsid w:val="00DD1A1D"/>
    <w:rsid w:val="00DD1D39"/>
    <w:rsid w:val="00DD2826"/>
    <w:rsid w:val="00DE2338"/>
    <w:rsid w:val="00DF3B32"/>
    <w:rsid w:val="00DF758C"/>
    <w:rsid w:val="00DF7D48"/>
    <w:rsid w:val="00E0136A"/>
    <w:rsid w:val="00E04E63"/>
    <w:rsid w:val="00E064CA"/>
    <w:rsid w:val="00E07CCE"/>
    <w:rsid w:val="00E13E2F"/>
    <w:rsid w:val="00E13E61"/>
    <w:rsid w:val="00E162FC"/>
    <w:rsid w:val="00E16B13"/>
    <w:rsid w:val="00E22E1D"/>
    <w:rsid w:val="00E26476"/>
    <w:rsid w:val="00E26ABD"/>
    <w:rsid w:val="00E348BA"/>
    <w:rsid w:val="00E34A80"/>
    <w:rsid w:val="00E36A25"/>
    <w:rsid w:val="00E36D9F"/>
    <w:rsid w:val="00E47099"/>
    <w:rsid w:val="00E471A8"/>
    <w:rsid w:val="00E65C86"/>
    <w:rsid w:val="00E66CEF"/>
    <w:rsid w:val="00E714F2"/>
    <w:rsid w:val="00E73749"/>
    <w:rsid w:val="00E759E4"/>
    <w:rsid w:val="00E76D56"/>
    <w:rsid w:val="00E77B8A"/>
    <w:rsid w:val="00E829D6"/>
    <w:rsid w:val="00E87276"/>
    <w:rsid w:val="00E9511F"/>
    <w:rsid w:val="00E966D1"/>
    <w:rsid w:val="00EA2226"/>
    <w:rsid w:val="00EA33BE"/>
    <w:rsid w:val="00EB13F8"/>
    <w:rsid w:val="00EB28A5"/>
    <w:rsid w:val="00EB2A67"/>
    <w:rsid w:val="00EB3741"/>
    <w:rsid w:val="00EB3F3D"/>
    <w:rsid w:val="00EB6483"/>
    <w:rsid w:val="00EB6DE0"/>
    <w:rsid w:val="00EC4B88"/>
    <w:rsid w:val="00EC64FD"/>
    <w:rsid w:val="00ED10C8"/>
    <w:rsid w:val="00ED1B50"/>
    <w:rsid w:val="00ED445E"/>
    <w:rsid w:val="00ED687C"/>
    <w:rsid w:val="00ED6928"/>
    <w:rsid w:val="00EE3C1C"/>
    <w:rsid w:val="00EE5676"/>
    <w:rsid w:val="00F01DE1"/>
    <w:rsid w:val="00F063BF"/>
    <w:rsid w:val="00F120C3"/>
    <w:rsid w:val="00F17F5E"/>
    <w:rsid w:val="00F21513"/>
    <w:rsid w:val="00F24DB0"/>
    <w:rsid w:val="00F31133"/>
    <w:rsid w:val="00F32E26"/>
    <w:rsid w:val="00F35F9D"/>
    <w:rsid w:val="00F427B1"/>
    <w:rsid w:val="00F4604C"/>
    <w:rsid w:val="00F55AC8"/>
    <w:rsid w:val="00F57B63"/>
    <w:rsid w:val="00F62B97"/>
    <w:rsid w:val="00F63335"/>
    <w:rsid w:val="00F64E38"/>
    <w:rsid w:val="00F65486"/>
    <w:rsid w:val="00F675A7"/>
    <w:rsid w:val="00F747FC"/>
    <w:rsid w:val="00F76523"/>
    <w:rsid w:val="00F835DA"/>
    <w:rsid w:val="00F83D25"/>
    <w:rsid w:val="00F8549F"/>
    <w:rsid w:val="00F917ED"/>
    <w:rsid w:val="00F91D40"/>
    <w:rsid w:val="00F97595"/>
    <w:rsid w:val="00FA14B8"/>
    <w:rsid w:val="00FA56DE"/>
    <w:rsid w:val="00FA7F8D"/>
    <w:rsid w:val="00FE222C"/>
    <w:rsid w:val="00FE24A6"/>
    <w:rsid w:val="00FE3845"/>
    <w:rsid w:val="00FF53D1"/>
    <w:rsid w:val="00FF67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4D31"/>
  <w15:docId w15:val="{B258C63C-F78D-441F-8093-A967D18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NL"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EC4"/>
    <w:pPr>
      <w:spacing w:line="260" w:lineRule="atLeast"/>
    </w:pPr>
    <w:rPr>
      <w:rFonts w:ascii="Arial" w:hAnsi="Arial"/>
      <w:lang w:eastAsia="en-US"/>
    </w:rPr>
  </w:style>
  <w:style w:type="paragraph" w:styleId="Heading1">
    <w:name w:val="heading 1"/>
    <w:basedOn w:val="Normal"/>
    <w:next w:val="Normal"/>
    <w:uiPriority w:val="9"/>
    <w:qFormat/>
    <w:rsid w:val="00B41EC4"/>
    <w:pPr>
      <w:keepNext/>
      <w:keepLines/>
      <w:spacing w:before="480" w:after="240"/>
      <w:outlineLvl w:val="0"/>
    </w:pPr>
    <w:rPr>
      <w:b/>
      <w:caps/>
      <w:u w:val="single"/>
    </w:rPr>
  </w:style>
  <w:style w:type="paragraph" w:styleId="Heading2">
    <w:name w:val="heading 2"/>
    <w:basedOn w:val="Normal"/>
    <w:next w:val="Normal"/>
    <w:qFormat/>
    <w:rsid w:val="00B41EC4"/>
    <w:pPr>
      <w:keepNext/>
      <w:keepLines/>
      <w:spacing w:before="240" w:after="240"/>
      <w:outlineLvl w:val="1"/>
    </w:pPr>
    <w:rPr>
      <w:caps/>
      <w:u w:val="single"/>
    </w:rPr>
  </w:style>
  <w:style w:type="paragraph" w:styleId="Heading3">
    <w:name w:val="heading 3"/>
    <w:basedOn w:val="Normal"/>
    <w:next w:val="Normal"/>
    <w:qFormat/>
    <w:rsid w:val="00B41EC4"/>
    <w:pPr>
      <w:keepNext/>
      <w:keepLines/>
      <w:spacing w:before="240" w:after="120"/>
      <w:outlineLvl w:val="2"/>
    </w:pPr>
    <w:rPr>
      <w:u w:val="single"/>
    </w:rPr>
  </w:style>
  <w:style w:type="paragraph" w:styleId="Heading4">
    <w:name w:val="heading 4"/>
    <w:basedOn w:val="Normal"/>
    <w:next w:val="Normal"/>
    <w:qFormat/>
    <w:rsid w:val="00B41EC4"/>
    <w:pPr>
      <w:keepNext/>
      <w:keepLines/>
      <w:spacing w:before="120" w:after="120"/>
      <w:outlineLvl w:val="3"/>
    </w:pPr>
    <w:rPr>
      <w:u w:val="single"/>
    </w:rPr>
  </w:style>
  <w:style w:type="paragraph" w:styleId="Heading5">
    <w:name w:val="heading 5"/>
    <w:basedOn w:val="Normal"/>
    <w:next w:val="Normal"/>
    <w:qFormat/>
    <w:rsid w:val="00B41EC4"/>
    <w:pPr>
      <w:keepNext/>
      <w:keepLines/>
      <w:spacing w:before="120" w:after="120"/>
      <w:outlineLvl w:val="4"/>
    </w:pPr>
    <w:rPr>
      <w:u w:val="single"/>
    </w:rPr>
  </w:style>
  <w:style w:type="paragraph" w:styleId="Heading6">
    <w:name w:val="heading 6"/>
    <w:basedOn w:val="Normal"/>
    <w:next w:val="Normal"/>
    <w:qFormat/>
    <w:rsid w:val="00B41EC4"/>
    <w:pPr>
      <w:keepNext/>
      <w:keepLines/>
      <w:spacing w:before="120" w:after="120"/>
      <w:outlineLvl w:val="5"/>
    </w:pPr>
    <w:rPr>
      <w:u w:val="single"/>
    </w:rPr>
  </w:style>
  <w:style w:type="paragraph" w:styleId="Heading7">
    <w:name w:val="heading 7"/>
    <w:basedOn w:val="Normal"/>
    <w:next w:val="Normal"/>
    <w:qFormat/>
    <w:rsid w:val="00B41EC4"/>
    <w:pPr>
      <w:keepNext/>
      <w:keepLines/>
      <w:spacing w:before="120" w:after="120"/>
      <w:outlineLvl w:val="6"/>
    </w:pPr>
    <w:rPr>
      <w:u w:val="single"/>
    </w:rPr>
  </w:style>
  <w:style w:type="paragraph" w:styleId="Heading8">
    <w:name w:val="heading 8"/>
    <w:basedOn w:val="Normal"/>
    <w:next w:val="Normal"/>
    <w:qFormat/>
    <w:rsid w:val="00B41EC4"/>
    <w:pPr>
      <w:keepNext/>
      <w:keepLines/>
      <w:spacing w:before="120" w:after="120"/>
      <w:outlineLvl w:val="7"/>
    </w:pPr>
    <w:rPr>
      <w:u w:val="single"/>
    </w:rPr>
  </w:style>
  <w:style w:type="paragraph" w:styleId="Heading9">
    <w:name w:val="heading 9"/>
    <w:basedOn w:val="Normal"/>
    <w:next w:val="Normal"/>
    <w:qFormat/>
    <w:rsid w:val="00B41EC4"/>
    <w:pPr>
      <w:keepNext/>
      <w:keepLines/>
      <w:spacing w:before="120" w:after="1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uiPriority w:val="99"/>
    <w:semiHidden/>
    <w:rsid w:val="00D556C0"/>
    <w:rPr>
      <w:rFonts w:ascii="Arial" w:hAnsi="Arial"/>
      <w:spacing w:val="0"/>
      <w:position w:val="6"/>
      <w:sz w:val="16"/>
      <w:szCs w:val="16"/>
    </w:rPr>
  </w:style>
  <w:style w:type="paragraph" w:styleId="FootnoteText">
    <w:name w:val="footnote text"/>
    <w:basedOn w:val="Normal"/>
    <w:link w:val="FootnoteTextChar"/>
    <w:uiPriority w:val="99"/>
    <w:semiHidden/>
    <w:rsid w:val="00B41EC4"/>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right" w:leader="dot" w:pos="8789"/>
      </w:tabs>
      <w:ind w:left="1219" w:right="567" w:hanging="1219"/>
    </w:pPr>
  </w:style>
  <w:style w:type="paragraph" w:styleId="TOC8">
    <w:name w:val="toc 8"/>
    <w:basedOn w:val="Normal"/>
    <w:next w:val="Normal"/>
    <w:semiHidden/>
    <w:rsid w:val="00DC727C"/>
    <w:pPr>
      <w:keepLines/>
      <w:tabs>
        <w:tab w:val="right" w:leader="dot" w:pos="8789"/>
      </w:tabs>
      <w:ind w:left="1378" w:right="567" w:hanging="1378"/>
    </w:pPr>
  </w:style>
  <w:style w:type="paragraph" w:styleId="TOC9">
    <w:name w:val="toc 9"/>
    <w:basedOn w:val="Normal"/>
    <w:next w:val="Normal"/>
    <w:semiHidden/>
    <w:rsid w:val="00DC727C"/>
    <w:pPr>
      <w:keepLines/>
      <w:tabs>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eastAsia="en-US"/>
    </w:rPr>
  </w:style>
  <w:style w:type="paragraph" w:customStyle="1" w:styleId="ServiceDienst">
    <w:name w:val="Service/Dienst"/>
    <w:next w:val="Normal"/>
    <w:rsid w:val="00E04E63"/>
    <w:pPr>
      <w:spacing w:line="240" w:lineRule="exact"/>
    </w:pPr>
    <w:rPr>
      <w:rFonts w:ascii="Arial" w:hAnsi="Arial"/>
      <w:noProof/>
      <w:sz w:val="17"/>
      <w:szCs w:val="16"/>
      <w:lang w:eastAsia="en-US"/>
    </w:rPr>
  </w:style>
  <w:style w:type="paragraph" w:customStyle="1" w:styleId="SectionSectie">
    <w:name w:val="Section/Sectie"/>
    <w:next w:val="Normal"/>
    <w:semiHidden/>
    <w:rsid w:val="0081015C"/>
    <w:pPr>
      <w:spacing w:line="220" w:lineRule="exact"/>
    </w:pPr>
    <w:rPr>
      <w:rFonts w:ascii="Arial" w:hAnsi="Arial"/>
      <w:noProof/>
      <w:sz w:val="14"/>
      <w:szCs w:val="16"/>
      <w:lang w:eastAsia="en-US"/>
    </w:rPr>
  </w:style>
  <w:style w:type="paragraph" w:customStyle="1" w:styleId="TitreTitel">
    <w:name w:val="Titre/Titel"/>
    <w:rsid w:val="00EB3741"/>
    <w:pPr>
      <w:spacing w:line="260" w:lineRule="atLeast"/>
    </w:pPr>
    <w:rPr>
      <w:rFonts w:ascii="Arial" w:hAnsi="Arial"/>
      <w:b/>
      <w:noProof/>
      <w:sz w:val="28"/>
      <w:szCs w:val="16"/>
      <w:lang w:eastAsia="en-US"/>
    </w:rPr>
  </w:style>
  <w:style w:type="paragraph" w:customStyle="1" w:styleId="AdresseAdres">
    <w:name w:val="Adresse/Adres"/>
    <w:rsid w:val="00A605D0"/>
    <w:pPr>
      <w:spacing w:line="160" w:lineRule="exact"/>
    </w:pPr>
    <w:rPr>
      <w:rFonts w:ascii="Arial" w:hAnsi="Arial"/>
      <w:noProof/>
      <w:sz w:val="13"/>
      <w:szCs w:val="16"/>
      <w:lang w:eastAsia="en-US"/>
    </w:rPr>
  </w:style>
  <w:style w:type="paragraph" w:customStyle="1" w:styleId="BNBNBB">
    <w:name w:val="BNB/NBB"/>
    <w:next w:val="AdresseAdres"/>
    <w:semiHidden/>
    <w:rsid w:val="00A605D0"/>
    <w:pPr>
      <w:spacing w:line="160" w:lineRule="exact"/>
    </w:pPr>
    <w:rPr>
      <w:rFonts w:ascii="Arial" w:hAnsi="Arial"/>
      <w:b/>
      <w:noProof/>
      <w:sz w:val="13"/>
      <w:szCs w:val="16"/>
      <w:lang w:eastAsia="en-US"/>
    </w:rPr>
  </w:style>
  <w:style w:type="paragraph" w:customStyle="1" w:styleId="IntroductionInleiding">
    <w:name w:val="Introduction/Inleiding"/>
    <w:basedOn w:val="Normal"/>
    <w:uiPriority w:val="4"/>
    <w:qFormat/>
    <w:rsid w:val="00276804"/>
    <w:pPr>
      <w:spacing w:after="260"/>
    </w:pPr>
    <w:rPr>
      <w:i/>
      <w:sz w:val="22"/>
    </w:rPr>
  </w:style>
  <w:style w:type="paragraph" w:customStyle="1" w:styleId="Sous-titreOndertitel">
    <w:name w:val="Sous-titre/Ondertitel"/>
    <w:basedOn w:val="Normal"/>
    <w:uiPriority w:val="3"/>
    <w:qFormat/>
    <w:rsid w:val="001E24D6"/>
    <w:pPr>
      <w:spacing w:before="240" w:after="120"/>
    </w:pPr>
    <w:rPr>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nl-NL" w:eastAsia="en-US"/>
    </w:rPr>
  </w:style>
  <w:style w:type="paragraph" w:customStyle="1" w:styleId="BoiteVakje">
    <w:name w:val="Boite/Vakje"/>
    <w:qFormat/>
    <w:rsid w:val="00FE24A6"/>
    <w:pPr>
      <w:spacing w:line="200" w:lineRule="atLeast"/>
    </w:pPr>
    <w:rPr>
      <w:rFonts w:ascii="Arial" w:hAnsi="Arial"/>
      <w:sz w:val="14"/>
      <w:szCs w:val="14"/>
      <w:lang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ind w:left="993"/>
    </w:pPr>
  </w:style>
  <w:style w:type="paragraph" w:customStyle="1" w:styleId="SignaturesHandtekeningen">
    <w:name w:val="Signatures/Handtekeningen"/>
    <w:basedOn w:val="Normal"/>
    <w:qFormat/>
    <w:rsid w:val="00E348BA"/>
    <w:pPr>
      <w:tabs>
        <w:tab w:val="left" w:pos="3402"/>
      </w:tabs>
    </w:p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eastAsia="en-US"/>
    </w:rPr>
  </w:style>
  <w:style w:type="paragraph" w:styleId="ListBullet">
    <w:name w:val="List Bullet"/>
    <w:basedOn w:val="Normal"/>
    <w:unhideWhenUsed/>
    <w:qFormat/>
    <w:rsid w:val="00B41EC4"/>
    <w:pPr>
      <w:numPr>
        <w:numId w:val="31"/>
      </w:numPr>
      <w:contextualSpacing/>
    </w:pPr>
  </w:style>
  <w:style w:type="paragraph" w:styleId="ListBullet2">
    <w:name w:val="List Bullet 2"/>
    <w:basedOn w:val="Normal"/>
    <w:unhideWhenUsed/>
    <w:qFormat/>
    <w:rsid w:val="00B41EC4"/>
    <w:pPr>
      <w:numPr>
        <w:numId w:val="32"/>
      </w:numPr>
      <w:contextualSpacing/>
    </w:pPr>
  </w:style>
  <w:style w:type="paragraph" w:styleId="ListBullet3">
    <w:name w:val="List Bullet 3"/>
    <w:basedOn w:val="Normal"/>
    <w:unhideWhenUsed/>
    <w:qFormat/>
    <w:rsid w:val="00B41EC4"/>
    <w:pPr>
      <w:numPr>
        <w:numId w:val="33"/>
      </w:numPr>
      <w:contextualSpacing/>
    </w:pPr>
  </w:style>
  <w:style w:type="paragraph" w:styleId="ListBullet4">
    <w:name w:val="List Bullet 4"/>
    <w:basedOn w:val="Normal"/>
    <w:unhideWhenUsed/>
    <w:qFormat/>
    <w:rsid w:val="00B41EC4"/>
    <w:pPr>
      <w:numPr>
        <w:numId w:val="34"/>
      </w:numPr>
      <w:contextualSpacing/>
    </w:pPr>
  </w:style>
  <w:style w:type="paragraph" w:styleId="ListBullet5">
    <w:name w:val="List Bullet 5"/>
    <w:basedOn w:val="Normal"/>
    <w:unhideWhenUsed/>
    <w:qFormat/>
    <w:rsid w:val="00B41EC4"/>
    <w:pPr>
      <w:numPr>
        <w:numId w:val="35"/>
      </w:numPr>
      <w:contextualSpacing/>
    </w:pPr>
  </w:style>
  <w:style w:type="paragraph" w:styleId="ListNumber">
    <w:name w:val="List Number"/>
    <w:basedOn w:val="Normal"/>
    <w:unhideWhenUsed/>
    <w:qFormat/>
    <w:rsid w:val="00B41EC4"/>
    <w:pPr>
      <w:numPr>
        <w:numId w:val="39"/>
      </w:numPr>
      <w:contextualSpacing/>
    </w:pPr>
  </w:style>
  <w:style w:type="paragraph" w:styleId="ListNumber2">
    <w:name w:val="List Number 2"/>
    <w:basedOn w:val="Normal"/>
    <w:unhideWhenUsed/>
    <w:qFormat/>
    <w:rsid w:val="00B41EC4"/>
    <w:pPr>
      <w:numPr>
        <w:numId w:val="40"/>
      </w:numPr>
      <w:contextualSpacing/>
    </w:pPr>
  </w:style>
  <w:style w:type="paragraph" w:styleId="ListNumber3">
    <w:name w:val="List Number 3"/>
    <w:basedOn w:val="Normal"/>
    <w:unhideWhenUsed/>
    <w:qFormat/>
    <w:rsid w:val="00B41EC4"/>
    <w:pPr>
      <w:numPr>
        <w:numId w:val="41"/>
      </w:numPr>
      <w:contextualSpacing/>
    </w:pPr>
  </w:style>
  <w:style w:type="character" w:styleId="UnresolvedMention">
    <w:name w:val="Unresolved Mention"/>
    <w:basedOn w:val="DefaultParagraphFont"/>
    <w:uiPriority w:val="99"/>
    <w:semiHidden/>
    <w:unhideWhenUsed/>
    <w:rsid w:val="00703965"/>
    <w:rPr>
      <w:color w:val="605E5C"/>
      <w:shd w:val="clear" w:color="auto" w:fill="E1DFDD"/>
    </w:rPr>
  </w:style>
  <w:style w:type="paragraph" w:customStyle="1" w:styleId="AnnexeBijlage">
    <w:name w:val="Annexe/Bijlage"/>
    <w:uiPriority w:val="1"/>
    <w:rsid w:val="00926F54"/>
    <w:pPr>
      <w:spacing w:line="260" w:lineRule="atLeast"/>
    </w:pPr>
    <w:rPr>
      <w:rFonts w:ascii="Arial" w:hAnsi="Arial"/>
      <w:b/>
      <w:noProof/>
      <w:sz w:val="24"/>
      <w:szCs w:val="16"/>
      <w:lang w:eastAsia="en-US"/>
    </w:rPr>
  </w:style>
  <w:style w:type="paragraph" w:styleId="BodyText">
    <w:name w:val="Body Text"/>
    <w:basedOn w:val="Normal"/>
    <w:link w:val="BodyTextChar"/>
    <w:uiPriority w:val="1"/>
    <w:qFormat/>
    <w:rsid w:val="00147746"/>
    <w:pPr>
      <w:widowControl w:val="0"/>
      <w:autoSpaceDE w:val="0"/>
      <w:autoSpaceDN w:val="0"/>
      <w:spacing w:line="240" w:lineRule="auto"/>
    </w:pPr>
    <w:rPr>
      <w:rFonts w:ascii="Arial MT" w:eastAsia="Arial MT" w:hAnsi="Arial MT" w:cs="Arial MT"/>
    </w:rPr>
  </w:style>
  <w:style w:type="character" w:customStyle="1" w:styleId="BodyTextChar">
    <w:name w:val="Body Text Char"/>
    <w:basedOn w:val="DefaultParagraphFont"/>
    <w:link w:val="BodyText"/>
    <w:uiPriority w:val="1"/>
    <w:rsid w:val="00147746"/>
    <w:rPr>
      <w:rFonts w:ascii="Arial MT" w:eastAsia="Arial MT" w:hAnsi="Arial MT" w:cs="Arial MT"/>
      <w:lang w:val="nl-NL" w:eastAsia="en-US"/>
    </w:rPr>
  </w:style>
  <w:style w:type="paragraph" w:styleId="ListParagraph">
    <w:name w:val="List Paragraph"/>
    <w:basedOn w:val="Normal"/>
    <w:uiPriority w:val="34"/>
    <w:qFormat/>
    <w:rsid w:val="00147746"/>
    <w:pPr>
      <w:widowControl w:val="0"/>
      <w:autoSpaceDE w:val="0"/>
      <w:autoSpaceDN w:val="0"/>
      <w:spacing w:line="240" w:lineRule="auto"/>
      <w:ind w:left="1265" w:hanging="567"/>
      <w:jc w:val="both"/>
    </w:pPr>
    <w:rPr>
      <w:rFonts w:ascii="Arial MT" w:eastAsia="Arial MT" w:hAnsi="Arial MT" w:cs="Arial MT"/>
      <w:sz w:val="22"/>
      <w:szCs w:val="22"/>
    </w:rPr>
  </w:style>
  <w:style w:type="paragraph" w:customStyle="1" w:styleId="InstructionsText">
    <w:name w:val="Instructions Text"/>
    <w:basedOn w:val="Normal"/>
    <w:link w:val="InstructionsTextChar"/>
    <w:autoRedefine/>
    <w:rsid w:val="005508CC"/>
    <w:pPr>
      <w:spacing w:after="120" w:line="240" w:lineRule="auto"/>
      <w:jc w:val="both"/>
    </w:pPr>
    <w:rPr>
      <w:rFonts w:ascii="Times New Roman" w:hAnsi="Times New Roman"/>
      <w:sz w:val="24"/>
      <w:szCs w:val="24"/>
      <w:lang w:eastAsia="de-DE"/>
    </w:rPr>
  </w:style>
  <w:style w:type="character" w:customStyle="1" w:styleId="InstructionsTabelleberschrift">
    <w:name w:val="Instructions Tabelle Überschrift"/>
    <w:qFormat/>
    <w:rsid w:val="00147746"/>
    <w:rPr>
      <w:rFonts w:ascii="Verdana" w:hAnsi="Verdana" w:cs="Times New Roman"/>
      <w:b/>
      <w:bCs/>
      <w:sz w:val="20"/>
      <w:u w:val="single"/>
    </w:rPr>
  </w:style>
  <w:style w:type="character" w:customStyle="1" w:styleId="InstructionsTabelleText">
    <w:name w:val="Instructions Tabelle Text"/>
    <w:rsid w:val="00147746"/>
    <w:rPr>
      <w:rFonts w:ascii="Verdana" w:hAnsi="Verdana" w:cs="Times New Roman"/>
      <w:sz w:val="20"/>
    </w:rPr>
  </w:style>
  <w:style w:type="character" w:customStyle="1" w:styleId="FormatvorlageInstructionsTabelleText">
    <w:name w:val="Formatvorlage Instructions Tabelle Text"/>
    <w:uiPriority w:val="99"/>
    <w:qFormat/>
    <w:rsid w:val="00147746"/>
    <w:rPr>
      <w:rFonts w:ascii="Verdana" w:hAnsi="Verdana" w:cs="Times New Roman"/>
      <w:bCs/>
      <w:sz w:val="20"/>
      <w:u w:val="none"/>
    </w:rPr>
  </w:style>
  <w:style w:type="character" w:customStyle="1" w:styleId="InstructionsTextChar">
    <w:name w:val="Instructions Text Char"/>
    <w:link w:val="InstructionsText"/>
    <w:locked/>
    <w:rsid w:val="005508CC"/>
    <w:rPr>
      <w:rFonts w:ascii="Times New Roman" w:hAnsi="Times New Roman"/>
      <w:sz w:val="24"/>
      <w:szCs w:val="24"/>
      <w:lang w:val="nl-NL" w:eastAsia="de-DE"/>
    </w:rPr>
  </w:style>
  <w:style w:type="character" w:customStyle="1" w:styleId="FootnoteTextChar">
    <w:name w:val="Footnote Text Char"/>
    <w:basedOn w:val="DefaultParagraphFont"/>
    <w:link w:val="FootnoteText"/>
    <w:uiPriority w:val="99"/>
    <w:semiHidden/>
    <w:rsid w:val="00147746"/>
    <w:rPr>
      <w:rFonts w:ascii="Arial" w:hAnsi="Arial"/>
      <w:sz w:val="18"/>
      <w:lang w:val="nl-NL" w:eastAsia="en-US"/>
    </w:rPr>
  </w:style>
  <w:style w:type="paragraph" w:styleId="CommentText">
    <w:name w:val="annotation text"/>
    <w:basedOn w:val="Normal"/>
    <w:link w:val="CommentTextChar"/>
    <w:uiPriority w:val="99"/>
    <w:semiHidden/>
    <w:unhideWhenUsed/>
    <w:pPr>
      <w:spacing w:line="240" w:lineRule="auto"/>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4419A0"/>
    <w:rPr>
      <w:b/>
      <w:bCs/>
    </w:rPr>
  </w:style>
  <w:style w:type="character" w:customStyle="1" w:styleId="CommentTextChar">
    <w:name w:val="Comment Text Char"/>
    <w:basedOn w:val="DefaultParagraphFont"/>
    <w:link w:val="CommentText"/>
    <w:uiPriority w:val="99"/>
    <w:semiHidden/>
    <w:rsid w:val="004419A0"/>
    <w:rPr>
      <w:rFonts w:ascii="Arial" w:hAnsi="Arial"/>
      <w:lang w:eastAsia="en-US"/>
    </w:rPr>
  </w:style>
  <w:style w:type="character" w:customStyle="1" w:styleId="CommentSubjectChar">
    <w:name w:val="Comment Subject Char"/>
    <w:basedOn w:val="CommentTextChar"/>
    <w:link w:val="CommentSubject"/>
    <w:semiHidden/>
    <w:rsid w:val="004419A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a9c461b-77d6-46a9-915a-72eb0f473247" xsi:nil="true"/>
    <lcf76f155ced4ddcb4097134ff3c332f xmlns="a9e23225-6968-4682-bd36-b493a5d9a87d">
      <Terms xmlns="http://schemas.microsoft.com/office/infopath/2007/PartnerControls"/>
    </lcf76f155ced4ddcb4097134ff3c332f>
    <Reference xmlns="a9e23225-6968-4682-bd36-b493a5d9a87d">NBB_2023_07</Reference>
    <Type_x0020_doc xmlns="a9e23225-6968-4682-bd36-b493a5d9a87d">Circulaire</Type_x0020_doc>
    <Autre_x0020_service xmlns="a9e23225-6968-4682-bd36-b493a5d9a87d" xsi:nil="true"/>
    <Date xmlns="a9e23225-6968-4682-bd36-b493a5d9a87d">2023-06-26T22:00:00+00:00</Date>
    <Author0 xmlns="a9e23225-6968-4682-bd36-b493a5d9a87d">
      <Value>Ben Hadj Saif</Value>
    </Author0>
    <Related_x0020_note_x0020_DC xmlns="a9e23225-6968-4682-bd36-b493a5d9a87d">2023.06.27_TA.2 (TA/2023/06/216)</Related_x0020_note_x0020_DC>
    <SharedWithUsers xmlns="840d724a-69e1-43b1-a700-7f8aa0538f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36EA3545A3B7458D66C327AB1027BA" ma:contentTypeVersion="22" ma:contentTypeDescription="Create a new document." ma:contentTypeScope="" ma:versionID="77e591564934ded631d8de122506397e">
  <xsd:schema xmlns:xsd="http://www.w3.org/2001/XMLSchema" xmlns:xs="http://www.w3.org/2001/XMLSchema" xmlns:p="http://schemas.microsoft.com/office/2006/metadata/properties" xmlns:ns2="a9e23225-6968-4682-bd36-b493a5d9a87d" xmlns:ns3="840d724a-69e1-43b1-a700-7f8aa0538fc6" xmlns:ns4="8a9c461b-77d6-46a9-915a-72eb0f473247" targetNamespace="http://schemas.microsoft.com/office/2006/metadata/properties" ma:root="true" ma:fieldsID="8c49a99835c28ed622456555c10f4a8b" ns2:_="" ns3:_="" ns4:_="">
    <xsd:import namespace="a9e23225-6968-4682-bd36-b493a5d9a87d"/>
    <xsd:import namespace="840d724a-69e1-43b1-a700-7f8aa0538fc6"/>
    <xsd:import namespace="8a9c461b-77d6-46a9-915a-72eb0f473247"/>
    <xsd:element name="properties">
      <xsd:complexType>
        <xsd:sequence>
          <xsd:element name="documentManagement">
            <xsd:complexType>
              <xsd:all>
                <xsd:element ref="ns2:Reference" minOccurs="0"/>
                <xsd:element ref="ns2:Date" minOccurs="0"/>
                <xsd:element ref="ns2:Author0" minOccurs="0"/>
                <xsd:element ref="ns2:Type_x0020_doc" minOccurs="0"/>
                <xsd:element ref="ns2:Autre_x0020_servi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lated_x0020_note_x0020_DC"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23225-6968-4682-bd36-b493a5d9a87d" elementFormDefault="qualified">
    <xsd:import namespace="http://schemas.microsoft.com/office/2006/documentManagement/types"/>
    <xsd:import namespace="http://schemas.microsoft.com/office/infopath/2007/PartnerControls"/>
    <xsd:element name="Reference" ma:index="4" nillable="true" ma:displayName="Reference" ma:default="NBB_20xx" ma:internalName="Reference"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Author0" ma:index="6" nillable="true" ma:displayName="Author" ma:internalName="Author0" ma:readOnly="false" ma:requiredMultiChoice="true">
      <xsd:complexType>
        <xsd:complexContent>
          <xsd:extension base="dms:MultiChoice">
            <xsd:sequence>
              <xsd:element name="Value" maxOccurs="unbounded" minOccurs="0" nillable="true">
                <xsd:simpleType>
                  <xsd:restriction base="dms:Choice">
                    <xsd:enumeration value="Ben Hadj Saif"/>
                    <xsd:enumeration value="Bernardo Sabina"/>
                    <xsd:enumeration value="Bienfait Benoît"/>
                    <xsd:enumeration value="Boussauw Justien"/>
                    <xsd:enumeration value="Bracke Sietse"/>
                    <xsd:enumeration value="Bruggeman Annick"/>
                    <xsd:enumeration value="Castiaux Danielle"/>
                    <xsd:enumeration value="Chrispeels Ilse"/>
                    <xsd:enumeration value="Colinet Michel"/>
                    <xsd:enumeration value="Creminger Kim"/>
                    <xsd:enumeration value="De Coen Christelle"/>
                    <xsd:enumeration value="De Doncker Helga"/>
                    <xsd:enumeration value="De Groote Isabelle"/>
                    <xsd:enumeration value="Dessy Nathan"/>
                    <xsd:enumeration value="Doucet Gaetan"/>
                    <xsd:enumeration value="Folie Stéphane"/>
                    <xsd:enumeration value="Francart Alexandre"/>
                    <xsd:enumeration value="Gerard Paul"/>
                    <xsd:enumeration value="Gilsoul Christelle"/>
                    <xsd:enumeration value="Griffin Sylvie"/>
                    <xsd:enumeration value="Guebs Françoise"/>
                    <xsd:enumeration value="Janssens Jurgen"/>
                    <xsd:enumeration value="Janssens Pieter-Jan"/>
                    <xsd:enumeration value="Jespers Alexandra"/>
                    <xsd:enumeration value="Kasongo Mélissa"/>
                    <xsd:enumeration value="Lamoot Jeroen"/>
                    <xsd:enumeration value="Lini Aziza"/>
                    <xsd:enumeration value="Louckx Claude"/>
                    <xsd:enumeration value="Meau Isabelle"/>
                    <xsd:enumeration value="Motteu Giles"/>
                    <xsd:enumeration value="Nerinckx Christel"/>
                    <xsd:enumeration value="Reginster Alexandre"/>
                    <xsd:enumeration value="Renoirte Claire"/>
                    <xsd:enumeration value="Rovira Kaltwasser Pablo"/>
                    <xsd:enumeration value="Schepens Thomas"/>
                    <xsd:enumeration value="Schepens William"/>
                    <xsd:enumeration value="Staner Nicolas"/>
                    <xsd:enumeration value="Strypstein Nicolas"/>
                    <xsd:enumeration value="Swyngedouw Jo"/>
                    <xsd:enumeration value="Tam Rita"/>
                    <xsd:enumeration value="Terrier Catherine"/>
                    <xsd:enumeration value="Uyttersprot Nancy"/>
                    <xsd:enumeration value="Vancauwenberge Lino"/>
                    <xsd:enumeration value="Van Damme Arthur"/>
                    <xsd:enumeration value="Vanderstappen Lisanne"/>
                    <xsd:enumeration value="Van Raemdonck Kurt"/>
                    <xsd:enumeration value="Van Roy Patrick"/>
                    <xsd:enumeration value="Van Tendeloo Brenda"/>
                    <xsd:enumeration value="Waleffe Aline"/>
                    <xsd:enumeration value="Autre service"/>
                  </xsd:restriction>
                </xsd:simpleType>
              </xsd:element>
            </xsd:sequence>
          </xsd:extension>
        </xsd:complexContent>
      </xsd:complexType>
    </xsd:element>
    <xsd:element name="Type_x0020_doc" ma:index="7" nillable="true" ma:displayName="Type doc" ma:format="Dropdown" ma:internalName="Type_x0020_doc" ma:readOnly="false">
      <xsd:simpleType>
        <xsd:restriction base="dms:Choice">
          <xsd:enumeration value="Circulaire"/>
          <xsd:enumeration value="Mededeling/Communication"/>
        </xsd:restriction>
      </xsd:simpleType>
    </xsd:element>
    <xsd:element name="Autre_x0020_service" ma:index="8" nillable="true" ma:displayName="Autre service" ma:format="Dropdown" ma:internalName="Autre_x0020_service" ma:readOnly="false">
      <xsd:simpleType>
        <xsd:restriction base="dms:Choice">
          <xsd:enumeration value="TC-TV"/>
          <xsd:enumeration value="TP"/>
          <xsd:enumeration value="JU"/>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Related_x0020_note_x0020_DC" ma:index="24" nillable="true" ma:displayName="Related note DC" ma:internalName="Related_x0020_note_x0020_DC">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41c2123-d835-457b-aae2-5e3430564c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d724a-69e1-43b1-a700-7f8aa0538fc6"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3f15d18-c89e-49a1-834c-721e6630c54d}" ma:internalName="TaxCatchAll" ma:showField="CatchAllData" ma:web="840d724a-69e1-43b1-a700-7f8aa0538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AAFAA-CFDB-4DB5-9CF5-43D74A72F1B0}">
  <ds:schemaRefs>
    <ds:schemaRef ds:uri="http://schemas.openxmlformats.org/officeDocument/2006/bibliography"/>
  </ds:schemaRefs>
</ds:datastoreItem>
</file>

<file path=customXml/itemProps2.xml><?xml version="1.0" encoding="utf-8"?>
<ds:datastoreItem xmlns:ds="http://schemas.openxmlformats.org/officeDocument/2006/customXml" ds:itemID="{5AB691A0-51B6-4768-AB35-4A5586A62CA7}">
  <ds:schemaRefs>
    <ds:schemaRef ds:uri="http://schemas.microsoft.com/office/2006/metadata/properties"/>
    <ds:schemaRef ds:uri="http://schemas.microsoft.com/office/infopath/2007/PartnerControls"/>
    <ds:schemaRef ds:uri="8a9c461b-77d6-46a9-915a-72eb0f473247"/>
    <ds:schemaRef ds:uri="a9e23225-6968-4682-bd36-b493a5d9a87d"/>
    <ds:schemaRef ds:uri="840d724a-69e1-43b1-a700-7f8aa0538fc6"/>
  </ds:schemaRefs>
</ds:datastoreItem>
</file>

<file path=customXml/itemProps3.xml><?xml version="1.0" encoding="utf-8"?>
<ds:datastoreItem xmlns:ds="http://schemas.openxmlformats.org/officeDocument/2006/customXml" ds:itemID="{8640A89A-729E-4DCF-B17F-872F7D2FC967}">
  <ds:schemaRefs>
    <ds:schemaRef ds:uri="http://schemas.microsoft.com/sharepoint/v3/contenttype/forms"/>
  </ds:schemaRefs>
</ds:datastoreItem>
</file>

<file path=customXml/itemProps4.xml><?xml version="1.0" encoding="utf-8"?>
<ds:datastoreItem xmlns:ds="http://schemas.openxmlformats.org/officeDocument/2006/customXml" ds:itemID="{D78ED552-6C30-446C-BFD1-5A1BC5874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23225-6968-4682-bd36-b493a5d9a87d"/>
    <ds:schemaRef ds:uri="840d724a-69e1-43b1-a700-7f8aa0538fc6"/>
    <ds:schemaRef ds:uri="8a9c461b-77d6-46a9-915a-72eb0f47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CIRCUL.dotm</Template>
  <TotalTime>64</TotalTime>
  <Pages>7</Pages>
  <Words>2303</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CIRCUL</vt:lpstr>
    </vt:vector>
  </TitlesOfParts>
  <Company>National Bank of Belgium</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dc:title>
  <dc:subject/>
  <dc:creator>Chaibi Saifeddine</dc:creator>
  <cp:keywords/>
  <dc:description/>
  <cp:lastModifiedBy>Casteur Geertrui</cp:lastModifiedBy>
  <cp:revision>30</cp:revision>
  <cp:lastPrinted>2005-10-19T14:54:00Z</cp:lastPrinted>
  <dcterms:created xsi:type="dcterms:W3CDTF">2023-05-05T09:41:00Z</dcterms:created>
  <dcterms:modified xsi:type="dcterms:W3CDTF">2023-06-29T06:45:00Z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0x0101008236EA3545A3B7458D66C327AB1027BA</vt:lpwstr>
  </property>
  <property fmtid="{D5CDD505-2E9C-101B-9397-08002B2CF9AE}" pid="3" name="MediaServiceImageTags">
    <vt:lpwstr/>
  </property>
  <property fmtid="{D5CDD505-2E9C-101B-9397-08002B2CF9AE}" pid="4" name="DocumentType">
    <vt:lpwstr>Translated document</vt:lpwstr>
  </property>
  <property fmtid="{D5CDD505-2E9C-101B-9397-08002B2CF9AE}" pid="5" name="TranslationLanguage">
    <vt:lpwstr>Néerlandais</vt:lpwstr>
  </property>
  <property fmtid="{D5CDD505-2E9C-101B-9397-08002B2CF9AE}" pid="6" name="TranslationComplete">
    <vt:lpwstr>Yes</vt:lpwstr>
  </property>
  <property fmtid="{D5CDD505-2E9C-101B-9397-08002B2CF9AE}" pid="7" name="Order">
    <vt:r8>350600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