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EC8E9" w14:textId="083B290F" w:rsidR="00271777" w:rsidRDefault="00271777" w:rsidP="00271777">
      <w:pPr>
        <w:spacing w:before="120" w:line="240" w:lineRule="auto"/>
        <w:jc w:val="center"/>
        <w:rPr>
          <w:rFonts w:ascii="Times New Roman" w:hAnsi="Times New Roman" w:cs="Times New Roman"/>
          <w:b/>
          <w:sz w:val="28"/>
          <w:szCs w:val="28"/>
        </w:rPr>
      </w:pPr>
      <w:r w:rsidRPr="00FA1A1F">
        <w:rPr>
          <w:rFonts w:ascii="Times New Roman" w:hAnsi="Times New Roman" w:cs="Times New Roman"/>
          <w:b/>
          <w:sz w:val="28"/>
          <w:szCs w:val="28"/>
        </w:rPr>
        <w:t>Reporting Instructions for</w:t>
      </w:r>
      <w:r w:rsidRPr="00FA1A1F">
        <w:rPr>
          <w:rFonts w:ascii="Times New Roman" w:hAnsi="Times New Roman" w:cs="Times New Roman"/>
          <w:b/>
          <w:sz w:val="28"/>
          <w:szCs w:val="28"/>
        </w:rPr>
        <w:br/>
        <w:t xml:space="preserve">Interest Rate </w:t>
      </w:r>
      <w:r>
        <w:rPr>
          <w:rFonts w:ascii="Times New Roman" w:hAnsi="Times New Roman" w:cs="Times New Roman"/>
          <w:b/>
          <w:sz w:val="28"/>
          <w:szCs w:val="28"/>
        </w:rPr>
        <w:t xml:space="preserve">Risk </w:t>
      </w:r>
      <w:r w:rsidRPr="00FA1A1F">
        <w:rPr>
          <w:rFonts w:ascii="Times New Roman" w:hAnsi="Times New Roman" w:cs="Times New Roman"/>
          <w:b/>
          <w:sz w:val="28"/>
          <w:szCs w:val="28"/>
        </w:rPr>
        <w:t>in the Banking Book (IRRBB) Template</w:t>
      </w:r>
      <w:r w:rsidR="00352170">
        <w:rPr>
          <w:rFonts w:ascii="Times New Roman" w:hAnsi="Times New Roman" w:cs="Times New Roman"/>
          <w:b/>
          <w:sz w:val="28"/>
          <w:szCs w:val="28"/>
        </w:rPr>
        <w:t xml:space="preserve"> in 2020</w:t>
      </w:r>
      <w:r w:rsidR="0051711F">
        <w:rPr>
          <w:rFonts w:ascii="Times New Roman" w:hAnsi="Times New Roman" w:cs="Times New Roman"/>
          <w:b/>
          <w:sz w:val="28"/>
          <w:szCs w:val="28"/>
        </w:rPr>
        <w:t xml:space="preserve"> </w:t>
      </w:r>
      <w:r w:rsidR="0051711F" w:rsidRPr="0051711F">
        <w:rPr>
          <w:rFonts w:ascii="Times New Roman" w:hAnsi="Times New Roman" w:cs="Times New Roman"/>
          <w:b/>
          <w:i/>
          <w:iCs/>
        </w:rPr>
        <w:t xml:space="preserve">(applicable </w:t>
      </w:r>
      <w:r w:rsidR="0051711F">
        <w:rPr>
          <w:rFonts w:ascii="Times New Roman" w:hAnsi="Times New Roman" w:cs="Times New Roman"/>
          <w:b/>
          <w:i/>
          <w:iCs/>
        </w:rPr>
        <w:t xml:space="preserve">from </w:t>
      </w:r>
      <w:r w:rsidR="0051711F" w:rsidRPr="0051711F">
        <w:rPr>
          <w:rFonts w:ascii="Times New Roman" w:hAnsi="Times New Roman" w:cs="Times New Roman"/>
          <w:b/>
          <w:i/>
          <w:iCs/>
        </w:rPr>
        <w:t>reference date 31/12/2019)</w:t>
      </w:r>
    </w:p>
    <w:p w14:paraId="7B68DE64" w14:textId="4C397B85" w:rsidR="00352170" w:rsidRPr="00352170" w:rsidRDefault="00352170" w:rsidP="00271777">
      <w:pPr>
        <w:spacing w:before="120" w:line="240" w:lineRule="auto"/>
        <w:jc w:val="center"/>
        <w:rPr>
          <w:rFonts w:ascii="Times New Roman" w:hAnsi="Times New Roman" w:cs="Times New Roman"/>
          <w:bCs/>
          <w:sz w:val="24"/>
          <w:szCs w:val="24"/>
        </w:rPr>
      </w:pPr>
      <w:r w:rsidRPr="00352170">
        <w:rPr>
          <w:rFonts w:ascii="Times New Roman" w:hAnsi="Times New Roman" w:cs="Times New Roman"/>
          <w:bCs/>
          <w:sz w:val="24"/>
          <w:szCs w:val="24"/>
        </w:rPr>
        <w:t>11 December 2019</w:t>
      </w:r>
    </w:p>
    <w:tbl>
      <w:tblPr>
        <w:tblW w:w="9355" w:type="dxa"/>
        <w:tblInd w:w="70" w:type="dxa"/>
        <w:tblCellMar>
          <w:left w:w="70" w:type="dxa"/>
          <w:right w:w="70" w:type="dxa"/>
        </w:tblCellMar>
        <w:tblLook w:val="04A0" w:firstRow="1" w:lastRow="0" w:firstColumn="1" w:lastColumn="0" w:noHBand="0" w:noVBand="1"/>
      </w:tblPr>
      <w:tblGrid>
        <w:gridCol w:w="2268"/>
        <w:gridCol w:w="1417"/>
        <w:gridCol w:w="1417"/>
        <w:gridCol w:w="1417"/>
        <w:gridCol w:w="1417"/>
        <w:gridCol w:w="1419"/>
      </w:tblGrid>
      <w:tr w:rsidR="00352170" w:rsidRPr="00352170" w14:paraId="030FFACA" w14:textId="77777777" w:rsidTr="005C1E1F">
        <w:trPr>
          <w:trHeight w:val="568"/>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BDBC6F" w14:textId="619C7998" w:rsidR="00352170" w:rsidRPr="009D0C10" w:rsidRDefault="00CB07C1" w:rsidP="005C1E1F">
            <w:pPr>
              <w:spacing w:after="0" w:line="240" w:lineRule="auto"/>
              <w:jc w:val="center"/>
              <w:rPr>
                <w:rFonts w:ascii="Calibri" w:eastAsia="Times New Roman" w:hAnsi="Calibri" w:cs="Calibri"/>
                <w:b/>
                <w:bCs/>
                <w:color w:val="000000"/>
                <w:lang w:val="en-US" w:eastAsia="nl-BE"/>
              </w:rPr>
            </w:pPr>
            <w:r w:rsidRPr="009D0C10">
              <w:rPr>
                <w:rFonts w:ascii="Calibri" w:eastAsia="Times New Roman" w:hAnsi="Calibri" w:cs="Calibri"/>
                <w:b/>
                <w:bCs/>
                <w:color w:val="000000"/>
                <w:lang w:val="en-US" w:eastAsia="nl-BE"/>
              </w:rPr>
              <w:t>REPORTING DEADLINES TO THE NBB</w:t>
            </w: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2BB81" w14:textId="3550E2E3" w:rsidR="00352170" w:rsidRPr="00352170" w:rsidRDefault="00352170" w:rsidP="00352170">
            <w:pPr>
              <w:spacing w:after="0" w:line="240" w:lineRule="auto"/>
              <w:jc w:val="center"/>
              <w:rPr>
                <w:rFonts w:ascii="Calibri" w:eastAsia="Times New Roman" w:hAnsi="Calibri" w:cs="Calibri"/>
                <w:b/>
                <w:bCs/>
                <w:color w:val="000000"/>
                <w:lang w:val="nl-BE" w:eastAsia="nl-BE"/>
              </w:rPr>
            </w:pPr>
            <w:r w:rsidRPr="00352170">
              <w:rPr>
                <w:rFonts w:ascii="Calibri" w:eastAsia="Times New Roman" w:hAnsi="Calibri" w:cs="Calibri"/>
                <w:b/>
                <w:bCs/>
                <w:color w:val="000000"/>
                <w:lang w:val="nl-BE" w:eastAsia="nl-BE"/>
              </w:rPr>
              <w:t>Referen</w:t>
            </w:r>
            <w:r w:rsidR="005C1E1F">
              <w:rPr>
                <w:rFonts w:ascii="Calibri" w:eastAsia="Times New Roman" w:hAnsi="Calibri" w:cs="Calibri"/>
                <w:b/>
                <w:bCs/>
                <w:color w:val="000000"/>
                <w:lang w:val="nl-BE" w:eastAsia="nl-BE"/>
              </w:rPr>
              <w:t xml:space="preserve">ce </w:t>
            </w:r>
            <w:r w:rsidRPr="00352170">
              <w:rPr>
                <w:rFonts w:ascii="Calibri" w:eastAsia="Times New Roman" w:hAnsi="Calibri" w:cs="Calibri"/>
                <w:b/>
                <w:bCs/>
                <w:color w:val="000000"/>
                <w:lang w:val="nl-BE" w:eastAsia="nl-BE"/>
              </w:rPr>
              <w:t>da</w:t>
            </w:r>
            <w:r w:rsidR="005C1E1F">
              <w:rPr>
                <w:rFonts w:ascii="Calibri" w:eastAsia="Times New Roman" w:hAnsi="Calibri" w:cs="Calibri"/>
                <w:b/>
                <w:bCs/>
                <w:color w:val="000000"/>
                <w:lang w:val="nl-BE" w:eastAsia="nl-BE"/>
              </w:rPr>
              <w:t>tes</w:t>
            </w:r>
          </w:p>
        </w:tc>
      </w:tr>
      <w:tr w:rsidR="00352170" w:rsidRPr="00352170" w14:paraId="11C98929" w14:textId="77777777" w:rsidTr="005C1E1F">
        <w:trPr>
          <w:trHeight w:val="290"/>
        </w:trPr>
        <w:tc>
          <w:tcPr>
            <w:tcW w:w="2268"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4D055" w14:textId="77777777" w:rsidR="00352170" w:rsidRPr="00352170" w:rsidRDefault="00352170" w:rsidP="00352170">
            <w:pPr>
              <w:spacing w:after="0" w:line="240" w:lineRule="auto"/>
              <w:jc w:val="center"/>
              <w:rPr>
                <w:rFonts w:ascii="Calibri" w:eastAsia="Times New Roman" w:hAnsi="Calibri" w:cs="Calibri"/>
                <w:b/>
                <w:bCs/>
                <w:color w:val="000000"/>
                <w:lang w:val="nl-BE" w:eastAsia="nl-BE"/>
              </w:rPr>
            </w:pPr>
          </w:p>
        </w:tc>
        <w:tc>
          <w:tcPr>
            <w:tcW w:w="1417"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14890229" w14:textId="77777777" w:rsidR="00352170" w:rsidRPr="00352170" w:rsidRDefault="00352170" w:rsidP="00352170">
            <w:pPr>
              <w:spacing w:after="0" w:line="240" w:lineRule="auto"/>
              <w:jc w:val="right"/>
              <w:rPr>
                <w:rFonts w:ascii="Calibri" w:eastAsia="Times New Roman" w:hAnsi="Calibri" w:cs="Calibri"/>
                <w:b/>
                <w:bCs/>
                <w:color w:val="000000"/>
                <w:lang w:val="nl-BE" w:eastAsia="nl-BE"/>
              </w:rPr>
            </w:pPr>
            <w:r w:rsidRPr="00352170">
              <w:rPr>
                <w:rFonts w:ascii="Calibri" w:eastAsia="Times New Roman" w:hAnsi="Calibri" w:cs="Calibri"/>
                <w:b/>
                <w:bCs/>
                <w:color w:val="000000"/>
                <w:lang w:val="nl-BE" w:eastAsia="nl-BE"/>
              </w:rPr>
              <w:t>31/12/2019</w:t>
            </w:r>
          </w:p>
        </w:tc>
        <w:tc>
          <w:tcPr>
            <w:tcW w:w="1417" w:type="dxa"/>
            <w:tcBorders>
              <w:top w:val="single" w:sz="4" w:space="0" w:color="auto"/>
              <w:left w:val="nil"/>
              <w:bottom w:val="single" w:sz="8" w:space="0" w:color="auto"/>
              <w:right w:val="single" w:sz="4" w:space="0" w:color="auto"/>
            </w:tcBorders>
            <w:shd w:val="clear" w:color="auto" w:fill="auto"/>
            <w:noWrap/>
            <w:vAlign w:val="bottom"/>
            <w:hideMark/>
          </w:tcPr>
          <w:p w14:paraId="672488A1" w14:textId="77777777" w:rsidR="00352170" w:rsidRPr="00352170" w:rsidRDefault="00352170" w:rsidP="00352170">
            <w:pPr>
              <w:spacing w:after="0" w:line="240" w:lineRule="auto"/>
              <w:jc w:val="right"/>
              <w:rPr>
                <w:rFonts w:ascii="Calibri" w:eastAsia="Times New Roman" w:hAnsi="Calibri" w:cs="Calibri"/>
                <w:b/>
                <w:bCs/>
                <w:color w:val="000000"/>
                <w:lang w:val="nl-BE" w:eastAsia="nl-BE"/>
              </w:rPr>
            </w:pPr>
            <w:r w:rsidRPr="00352170">
              <w:rPr>
                <w:rFonts w:ascii="Calibri" w:eastAsia="Times New Roman" w:hAnsi="Calibri" w:cs="Calibri"/>
                <w:b/>
                <w:bCs/>
                <w:color w:val="000000"/>
                <w:lang w:val="nl-BE" w:eastAsia="nl-BE"/>
              </w:rPr>
              <w:t>31/03/2020</w:t>
            </w:r>
          </w:p>
        </w:tc>
        <w:tc>
          <w:tcPr>
            <w:tcW w:w="1417" w:type="dxa"/>
            <w:tcBorders>
              <w:top w:val="single" w:sz="4" w:space="0" w:color="auto"/>
              <w:left w:val="nil"/>
              <w:bottom w:val="single" w:sz="8" w:space="0" w:color="auto"/>
              <w:right w:val="single" w:sz="4" w:space="0" w:color="auto"/>
            </w:tcBorders>
            <w:shd w:val="clear" w:color="auto" w:fill="auto"/>
            <w:noWrap/>
            <w:vAlign w:val="bottom"/>
            <w:hideMark/>
          </w:tcPr>
          <w:p w14:paraId="7F9A68FE" w14:textId="77777777" w:rsidR="00352170" w:rsidRPr="00352170" w:rsidRDefault="00352170" w:rsidP="00352170">
            <w:pPr>
              <w:spacing w:after="0" w:line="240" w:lineRule="auto"/>
              <w:jc w:val="right"/>
              <w:rPr>
                <w:rFonts w:ascii="Calibri" w:eastAsia="Times New Roman" w:hAnsi="Calibri" w:cs="Calibri"/>
                <w:b/>
                <w:bCs/>
                <w:color w:val="000000"/>
                <w:lang w:val="nl-BE" w:eastAsia="nl-BE"/>
              </w:rPr>
            </w:pPr>
            <w:r w:rsidRPr="00352170">
              <w:rPr>
                <w:rFonts w:ascii="Calibri" w:eastAsia="Times New Roman" w:hAnsi="Calibri" w:cs="Calibri"/>
                <w:b/>
                <w:bCs/>
                <w:color w:val="000000"/>
                <w:lang w:val="nl-BE" w:eastAsia="nl-BE"/>
              </w:rPr>
              <w:t>30/06/2020</w:t>
            </w:r>
          </w:p>
        </w:tc>
        <w:tc>
          <w:tcPr>
            <w:tcW w:w="1417" w:type="dxa"/>
            <w:tcBorders>
              <w:top w:val="single" w:sz="4" w:space="0" w:color="auto"/>
              <w:left w:val="nil"/>
              <w:bottom w:val="single" w:sz="8" w:space="0" w:color="auto"/>
              <w:right w:val="single" w:sz="4" w:space="0" w:color="auto"/>
            </w:tcBorders>
            <w:shd w:val="clear" w:color="auto" w:fill="auto"/>
            <w:noWrap/>
            <w:vAlign w:val="bottom"/>
            <w:hideMark/>
          </w:tcPr>
          <w:p w14:paraId="61BAD6AD" w14:textId="77777777" w:rsidR="00352170" w:rsidRPr="00352170" w:rsidRDefault="00352170" w:rsidP="00352170">
            <w:pPr>
              <w:spacing w:after="0" w:line="240" w:lineRule="auto"/>
              <w:jc w:val="right"/>
              <w:rPr>
                <w:rFonts w:ascii="Calibri" w:eastAsia="Times New Roman" w:hAnsi="Calibri" w:cs="Calibri"/>
                <w:b/>
                <w:bCs/>
                <w:color w:val="000000"/>
                <w:lang w:val="nl-BE" w:eastAsia="nl-BE"/>
              </w:rPr>
            </w:pPr>
            <w:r w:rsidRPr="00352170">
              <w:rPr>
                <w:rFonts w:ascii="Calibri" w:eastAsia="Times New Roman" w:hAnsi="Calibri" w:cs="Calibri"/>
                <w:b/>
                <w:bCs/>
                <w:color w:val="000000"/>
                <w:lang w:val="nl-BE" w:eastAsia="nl-BE"/>
              </w:rPr>
              <w:t>30/09/2020</w:t>
            </w:r>
          </w:p>
        </w:tc>
        <w:tc>
          <w:tcPr>
            <w:tcW w:w="1419" w:type="dxa"/>
            <w:tcBorders>
              <w:top w:val="single" w:sz="4" w:space="0" w:color="auto"/>
              <w:left w:val="nil"/>
              <w:bottom w:val="single" w:sz="8" w:space="0" w:color="auto"/>
              <w:right w:val="single" w:sz="8" w:space="0" w:color="auto"/>
            </w:tcBorders>
            <w:shd w:val="clear" w:color="auto" w:fill="auto"/>
            <w:noWrap/>
            <w:vAlign w:val="bottom"/>
            <w:hideMark/>
          </w:tcPr>
          <w:p w14:paraId="57CA952B" w14:textId="77777777" w:rsidR="00352170" w:rsidRPr="00352170" w:rsidRDefault="00352170" w:rsidP="00352170">
            <w:pPr>
              <w:spacing w:after="0" w:line="240" w:lineRule="auto"/>
              <w:jc w:val="right"/>
              <w:rPr>
                <w:rFonts w:ascii="Calibri" w:eastAsia="Times New Roman" w:hAnsi="Calibri" w:cs="Calibri"/>
                <w:b/>
                <w:bCs/>
                <w:color w:val="000000"/>
                <w:lang w:val="nl-BE" w:eastAsia="nl-BE"/>
              </w:rPr>
            </w:pPr>
            <w:r w:rsidRPr="00352170">
              <w:rPr>
                <w:rFonts w:ascii="Calibri" w:eastAsia="Times New Roman" w:hAnsi="Calibri" w:cs="Calibri"/>
                <w:b/>
                <w:bCs/>
                <w:color w:val="000000"/>
                <w:lang w:val="nl-BE" w:eastAsia="nl-BE"/>
              </w:rPr>
              <w:t>31/12/2020</w:t>
            </w:r>
          </w:p>
        </w:tc>
      </w:tr>
      <w:tr w:rsidR="00352170" w:rsidRPr="00352170" w14:paraId="739C1A33" w14:textId="77777777" w:rsidTr="005C1E1F">
        <w:trPr>
          <w:trHeight w:val="278"/>
        </w:trPr>
        <w:tc>
          <w:tcPr>
            <w:tcW w:w="2268" w:type="dxa"/>
            <w:tcBorders>
              <w:top w:val="single" w:sz="4" w:space="0" w:color="auto"/>
              <w:left w:val="single" w:sz="4" w:space="0" w:color="auto"/>
              <w:bottom w:val="single" w:sz="4" w:space="0" w:color="auto"/>
              <w:right w:val="nil"/>
            </w:tcBorders>
            <w:shd w:val="clear" w:color="auto" w:fill="auto"/>
            <w:noWrap/>
            <w:vAlign w:val="center"/>
            <w:hideMark/>
          </w:tcPr>
          <w:p w14:paraId="313FBF8B" w14:textId="5D9ADB74" w:rsidR="00352170" w:rsidRPr="009D0C10" w:rsidRDefault="009E2858" w:rsidP="00352170">
            <w:pPr>
              <w:spacing w:after="0" w:line="240" w:lineRule="auto"/>
              <w:jc w:val="center"/>
              <w:rPr>
                <w:rFonts w:ascii="Calibri" w:eastAsia="Times New Roman" w:hAnsi="Calibri" w:cs="Calibri"/>
                <w:color w:val="000000"/>
                <w:lang w:val="en-US" w:eastAsia="nl-BE"/>
              </w:rPr>
            </w:pPr>
            <w:r>
              <w:rPr>
                <w:rFonts w:ascii="Calibri" w:eastAsia="Times New Roman" w:hAnsi="Calibri" w:cs="Calibri"/>
                <w:color w:val="000000"/>
                <w:lang w:eastAsia="nl-BE"/>
              </w:rPr>
              <w:t>I</w:t>
            </w:r>
            <w:r w:rsidR="00352170" w:rsidRPr="00352170">
              <w:rPr>
                <w:rFonts w:ascii="Calibri" w:eastAsia="Times New Roman" w:hAnsi="Calibri" w:cs="Calibri"/>
                <w:color w:val="000000"/>
                <w:lang w:eastAsia="nl-BE"/>
              </w:rPr>
              <w:t>nstitutions identified as significant within the SSM (</w:t>
            </w:r>
            <w:r w:rsidR="00352170">
              <w:rPr>
                <w:rFonts w:ascii="Calibri" w:eastAsia="Times New Roman" w:hAnsi="Calibri" w:cs="Calibri"/>
                <w:color w:val="000000"/>
                <w:lang w:eastAsia="nl-BE"/>
              </w:rPr>
              <w:t>SIs</w:t>
            </w:r>
            <w:r w:rsidR="00352170" w:rsidRPr="00352170">
              <w:rPr>
                <w:rFonts w:ascii="Calibri" w:eastAsia="Times New Roman" w:hAnsi="Calibri" w:cs="Calibri"/>
                <w:color w:val="000000"/>
                <w:lang w:eastAsia="nl-BE"/>
              </w:rPr>
              <w:t>)</w:t>
            </w:r>
          </w:p>
        </w:tc>
        <w:tc>
          <w:tcPr>
            <w:tcW w:w="1417" w:type="dxa"/>
            <w:tcBorders>
              <w:top w:val="nil"/>
              <w:left w:val="single" w:sz="4" w:space="0" w:color="auto"/>
              <w:bottom w:val="single" w:sz="4" w:space="0" w:color="auto"/>
              <w:right w:val="single" w:sz="4" w:space="0" w:color="auto"/>
            </w:tcBorders>
            <w:shd w:val="clear" w:color="000000" w:fill="DAEEF3"/>
            <w:noWrap/>
            <w:vAlign w:val="center"/>
            <w:hideMark/>
          </w:tcPr>
          <w:p w14:paraId="75A4069E" w14:textId="77777777" w:rsidR="00352170" w:rsidRPr="00352170" w:rsidRDefault="00352170" w:rsidP="00352170">
            <w:pPr>
              <w:spacing w:after="0" w:line="240" w:lineRule="auto"/>
              <w:jc w:val="center"/>
              <w:rPr>
                <w:rFonts w:ascii="Calibri" w:eastAsia="Times New Roman" w:hAnsi="Calibri" w:cs="Calibri"/>
                <w:color w:val="000000"/>
                <w:lang w:val="nl-BE" w:eastAsia="nl-BE"/>
              </w:rPr>
            </w:pPr>
            <w:r w:rsidRPr="00352170">
              <w:rPr>
                <w:rFonts w:ascii="Calibri" w:eastAsia="Times New Roman" w:hAnsi="Calibri" w:cs="Calibri"/>
                <w:color w:val="000000"/>
                <w:lang w:val="nl-BE" w:eastAsia="nl-BE"/>
              </w:rPr>
              <w:t>18/02/2020</w:t>
            </w:r>
          </w:p>
        </w:tc>
        <w:tc>
          <w:tcPr>
            <w:tcW w:w="1417" w:type="dxa"/>
            <w:tcBorders>
              <w:top w:val="nil"/>
              <w:left w:val="nil"/>
              <w:bottom w:val="single" w:sz="4" w:space="0" w:color="auto"/>
              <w:right w:val="single" w:sz="4" w:space="0" w:color="auto"/>
            </w:tcBorders>
            <w:shd w:val="clear" w:color="000000" w:fill="DAEEF3"/>
            <w:noWrap/>
            <w:vAlign w:val="center"/>
            <w:hideMark/>
          </w:tcPr>
          <w:p w14:paraId="309ED469" w14:textId="77777777" w:rsidR="00352170" w:rsidRPr="00352170" w:rsidRDefault="00352170" w:rsidP="00352170">
            <w:pPr>
              <w:spacing w:after="0" w:line="240" w:lineRule="auto"/>
              <w:jc w:val="center"/>
              <w:rPr>
                <w:rFonts w:ascii="Calibri" w:eastAsia="Times New Roman" w:hAnsi="Calibri" w:cs="Calibri"/>
                <w:color w:val="000000"/>
                <w:lang w:val="nl-BE" w:eastAsia="nl-BE"/>
              </w:rPr>
            </w:pPr>
            <w:r w:rsidRPr="00352170">
              <w:rPr>
                <w:rFonts w:ascii="Calibri" w:eastAsia="Times New Roman" w:hAnsi="Calibri" w:cs="Calibri"/>
                <w:color w:val="000000"/>
                <w:lang w:val="nl-BE" w:eastAsia="nl-BE"/>
              </w:rPr>
              <w:t>20/05/2020</w:t>
            </w:r>
          </w:p>
        </w:tc>
        <w:tc>
          <w:tcPr>
            <w:tcW w:w="1417" w:type="dxa"/>
            <w:tcBorders>
              <w:top w:val="nil"/>
              <w:left w:val="nil"/>
              <w:bottom w:val="single" w:sz="4" w:space="0" w:color="auto"/>
              <w:right w:val="single" w:sz="4" w:space="0" w:color="auto"/>
            </w:tcBorders>
            <w:shd w:val="clear" w:color="000000" w:fill="DAEEF3"/>
            <w:noWrap/>
            <w:vAlign w:val="center"/>
            <w:hideMark/>
          </w:tcPr>
          <w:p w14:paraId="5847811B" w14:textId="77777777" w:rsidR="00352170" w:rsidRPr="00352170" w:rsidRDefault="00352170" w:rsidP="00352170">
            <w:pPr>
              <w:spacing w:after="0" w:line="240" w:lineRule="auto"/>
              <w:jc w:val="center"/>
              <w:rPr>
                <w:rFonts w:ascii="Calibri" w:eastAsia="Times New Roman" w:hAnsi="Calibri" w:cs="Calibri"/>
                <w:color w:val="000000"/>
                <w:lang w:val="nl-BE" w:eastAsia="nl-BE"/>
              </w:rPr>
            </w:pPr>
            <w:r w:rsidRPr="00352170">
              <w:rPr>
                <w:rFonts w:ascii="Calibri" w:eastAsia="Times New Roman" w:hAnsi="Calibri" w:cs="Calibri"/>
                <w:color w:val="000000"/>
                <w:lang w:val="nl-BE" w:eastAsia="nl-BE"/>
              </w:rPr>
              <w:t>18/08/2020</w:t>
            </w:r>
          </w:p>
        </w:tc>
        <w:tc>
          <w:tcPr>
            <w:tcW w:w="1417" w:type="dxa"/>
            <w:tcBorders>
              <w:top w:val="nil"/>
              <w:left w:val="nil"/>
              <w:bottom w:val="single" w:sz="4" w:space="0" w:color="auto"/>
              <w:right w:val="single" w:sz="4" w:space="0" w:color="auto"/>
            </w:tcBorders>
            <w:shd w:val="clear" w:color="000000" w:fill="DAEEF3"/>
            <w:noWrap/>
            <w:vAlign w:val="center"/>
            <w:hideMark/>
          </w:tcPr>
          <w:p w14:paraId="4A30D528" w14:textId="77777777" w:rsidR="00352170" w:rsidRPr="00352170" w:rsidRDefault="00352170" w:rsidP="00352170">
            <w:pPr>
              <w:spacing w:after="0" w:line="240" w:lineRule="auto"/>
              <w:jc w:val="center"/>
              <w:rPr>
                <w:rFonts w:ascii="Calibri" w:eastAsia="Times New Roman" w:hAnsi="Calibri" w:cs="Calibri"/>
                <w:color w:val="000000"/>
                <w:lang w:val="nl-BE" w:eastAsia="nl-BE"/>
              </w:rPr>
            </w:pPr>
            <w:r w:rsidRPr="00352170">
              <w:rPr>
                <w:rFonts w:ascii="Calibri" w:eastAsia="Times New Roman" w:hAnsi="Calibri" w:cs="Calibri"/>
                <w:color w:val="000000"/>
                <w:lang w:val="nl-BE" w:eastAsia="nl-BE"/>
              </w:rPr>
              <w:t>18/11/2020</w:t>
            </w:r>
          </w:p>
        </w:tc>
        <w:tc>
          <w:tcPr>
            <w:tcW w:w="1419" w:type="dxa"/>
            <w:tcBorders>
              <w:top w:val="nil"/>
              <w:left w:val="nil"/>
              <w:bottom w:val="single" w:sz="4" w:space="0" w:color="auto"/>
              <w:right w:val="single" w:sz="4" w:space="0" w:color="auto"/>
            </w:tcBorders>
            <w:shd w:val="clear" w:color="000000" w:fill="DAEEF3"/>
            <w:noWrap/>
            <w:vAlign w:val="center"/>
            <w:hideMark/>
          </w:tcPr>
          <w:p w14:paraId="4E6E2C08" w14:textId="77777777" w:rsidR="00352170" w:rsidRPr="00352170" w:rsidRDefault="00352170" w:rsidP="00352170">
            <w:pPr>
              <w:spacing w:after="0" w:line="240" w:lineRule="auto"/>
              <w:jc w:val="center"/>
              <w:rPr>
                <w:rFonts w:ascii="Calibri" w:eastAsia="Times New Roman" w:hAnsi="Calibri" w:cs="Calibri"/>
                <w:color w:val="000000"/>
                <w:lang w:val="nl-BE" w:eastAsia="nl-BE"/>
              </w:rPr>
            </w:pPr>
            <w:r w:rsidRPr="00352170">
              <w:rPr>
                <w:rFonts w:ascii="Calibri" w:eastAsia="Times New Roman" w:hAnsi="Calibri" w:cs="Calibri"/>
                <w:color w:val="000000"/>
                <w:lang w:val="nl-BE" w:eastAsia="nl-BE"/>
              </w:rPr>
              <w:t>18/02/2021</w:t>
            </w:r>
          </w:p>
        </w:tc>
      </w:tr>
      <w:tr w:rsidR="00352170" w:rsidRPr="00352170" w14:paraId="13331C79" w14:textId="77777777" w:rsidTr="005C1E1F">
        <w:trPr>
          <w:trHeight w:val="278"/>
        </w:trPr>
        <w:tc>
          <w:tcPr>
            <w:tcW w:w="2268" w:type="dxa"/>
            <w:tcBorders>
              <w:top w:val="single" w:sz="4" w:space="0" w:color="auto"/>
              <w:left w:val="single" w:sz="4" w:space="0" w:color="auto"/>
              <w:bottom w:val="single" w:sz="4" w:space="0" w:color="auto"/>
              <w:right w:val="nil"/>
            </w:tcBorders>
            <w:shd w:val="clear" w:color="auto" w:fill="auto"/>
            <w:noWrap/>
            <w:vAlign w:val="center"/>
            <w:hideMark/>
          </w:tcPr>
          <w:p w14:paraId="46A61AED" w14:textId="2B963571" w:rsidR="00352170" w:rsidRPr="009D0C10" w:rsidRDefault="009E2858" w:rsidP="00352170">
            <w:pPr>
              <w:spacing w:after="0" w:line="240" w:lineRule="auto"/>
              <w:jc w:val="center"/>
              <w:rPr>
                <w:rFonts w:ascii="Calibri" w:eastAsia="Times New Roman" w:hAnsi="Calibri" w:cs="Calibri"/>
                <w:color w:val="000000"/>
                <w:lang w:val="en-US" w:eastAsia="nl-BE"/>
              </w:rPr>
            </w:pPr>
            <w:r>
              <w:rPr>
                <w:rFonts w:ascii="Calibri" w:eastAsia="Times New Roman" w:hAnsi="Calibri" w:cs="Calibri"/>
                <w:color w:val="000000"/>
                <w:lang w:eastAsia="nl-BE"/>
              </w:rPr>
              <w:t>I</w:t>
            </w:r>
            <w:r w:rsidR="00352170" w:rsidRPr="00352170">
              <w:rPr>
                <w:rFonts w:ascii="Calibri" w:eastAsia="Times New Roman" w:hAnsi="Calibri" w:cs="Calibri"/>
                <w:color w:val="000000"/>
                <w:lang w:eastAsia="nl-BE"/>
              </w:rPr>
              <w:t xml:space="preserve">nstitutions identified as subsidiaries </w:t>
            </w:r>
            <w:r w:rsidR="00352170">
              <w:rPr>
                <w:rFonts w:ascii="Calibri" w:eastAsia="Times New Roman" w:hAnsi="Calibri" w:cs="Calibri"/>
                <w:color w:val="000000"/>
                <w:lang w:eastAsia="nl-BE"/>
              </w:rPr>
              <w:t>of</w:t>
            </w:r>
            <w:r w:rsidR="00352170" w:rsidRPr="00352170">
              <w:rPr>
                <w:rFonts w:ascii="Calibri" w:eastAsia="Times New Roman" w:hAnsi="Calibri" w:cs="Calibri"/>
                <w:color w:val="000000"/>
                <w:lang w:eastAsia="nl-BE"/>
              </w:rPr>
              <w:t xml:space="preserve"> significant</w:t>
            </w:r>
            <w:r w:rsidR="00352170">
              <w:rPr>
                <w:rFonts w:ascii="Calibri" w:eastAsia="Times New Roman" w:hAnsi="Calibri" w:cs="Calibri"/>
                <w:color w:val="000000"/>
                <w:lang w:eastAsia="nl-BE"/>
              </w:rPr>
              <w:t xml:space="preserve"> institutions</w:t>
            </w:r>
            <w:r w:rsidR="00352170" w:rsidRPr="00352170">
              <w:rPr>
                <w:rFonts w:ascii="Calibri" w:eastAsia="Times New Roman" w:hAnsi="Calibri" w:cs="Calibri"/>
                <w:color w:val="000000"/>
                <w:lang w:eastAsia="nl-BE"/>
              </w:rPr>
              <w:t xml:space="preserve"> within the SSM</w:t>
            </w:r>
          </w:p>
        </w:tc>
        <w:tc>
          <w:tcPr>
            <w:tcW w:w="1417" w:type="dxa"/>
            <w:tcBorders>
              <w:top w:val="nil"/>
              <w:left w:val="single" w:sz="4" w:space="0" w:color="auto"/>
              <w:bottom w:val="single" w:sz="4" w:space="0" w:color="auto"/>
              <w:right w:val="single" w:sz="4" w:space="0" w:color="auto"/>
            </w:tcBorders>
            <w:shd w:val="clear" w:color="000000" w:fill="92D050"/>
            <w:noWrap/>
            <w:vAlign w:val="center"/>
            <w:hideMark/>
          </w:tcPr>
          <w:p w14:paraId="6D63CE70" w14:textId="77777777" w:rsidR="00352170" w:rsidRPr="00352170" w:rsidRDefault="00352170" w:rsidP="00352170">
            <w:pPr>
              <w:spacing w:after="0" w:line="240" w:lineRule="auto"/>
              <w:jc w:val="center"/>
              <w:rPr>
                <w:rFonts w:ascii="Calibri" w:eastAsia="Times New Roman" w:hAnsi="Calibri" w:cs="Calibri"/>
                <w:color w:val="000000"/>
                <w:lang w:val="nl-BE" w:eastAsia="nl-BE"/>
              </w:rPr>
            </w:pPr>
            <w:r w:rsidRPr="00352170">
              <w:rPr>
                <w:rFonts w:ascii="Calibri" w:eastAsia="Times New Roman" w:hAnsi="Calibri" w:cs="Calibri"/>
                <w:color w:val="000000"/>
                <w:lang w:val="nl-BE" w:eastAsia="nl-BE"/>
              </w:rPr>
              <w:t>10/03/2020</w:t>
            </w:r>
          </w:p>
        </w:tc>
        <w:tc>
          <w:tcPr>
            <w:tcW w:w="1417" w:type="dxa"/>
            <w:tcBorders>
              <w:top w:val="nil"/>
              <w:left w:val="nil"/>
              <w:bottom w:val="single" w:sz="4" w:space="0" w:color="auto"/>
              <w:right w:val="single" w:sz="4" w:space="0" w:color="auto"/>
            </w:tcBorders>
            <w:shd w:val="clear" w:color="000000" w:fill="92D050"/>
            <w:noWrap/>
            <w:vAlign w:val="center"/>
            <w:hideMark/>
          </w:tcPr>
          <w:p w14:paraId="28F37E73" w14:textId="77777777" w:rsidR="00352170" w:rsidRPr="00352170" w:rsidRDefault="00352170" w:rsidP="00352170">
            <w:pPr>
              <w:spacing w:after="0" w:line="240" w:lineRule="auto"/>
              <w:jc w:val="center"/>
              <w:rPr>
                <w:rFonts w:ascii="Calibri" w:eastAsia="Times New Roman" w:hAnsi="Calibri" w:cs="Calibri"/>
                <w:color w:val="000000"/>
                <w:lang w:val="nl-BE" w:eastAsia="nl-BE"/>
              </w:rPr>
            </w:pPr>
            <w:r w:rsidRPr="00352170">
              <w:rPr>
                <w:rFonts w:ascii="Calibri" w:eastAsia="Times New Roman" w:hAnsi="Calibri" w:cs="Calibri"/>
                <w:color w:val="000000"/>
                <w:lang w:val="nl-BE" w:eastAsia="nl-BE"/>
              </w:rPr>
              <w:t>10/06/2020</w:t>
            </w:r>
          </w:p>
        </w:tc>
        <w:tc>
          <w:tcPr>
            <w:tcW w:w="1417" w:type="dxa"/>
            <w:tcBorders>
              <w:top w:val="nil"/>
              <w:left w:val="nil"/>
              <w:bottom w:val="single" w:sz="4" w:space="0" w:color="auto"/>
              <w:right w:val="single" w:sz="4" w:space="0" w:color="auto"/>
            </w:tcBorders>
            <w:shd w:val="clear" w:color="000000" w:fill="92D050"/>
            <w:noWrap/>
            <w:vAlign w:val="center"/>
            <w:hideMark/>
          </w:tcPr>
          <w:p w14:paraId="2046BAA6" w14:textId="77777777" w:rsidR="00352170" w:rsidRPr="00352170" w:rsidRDefault="00352170" w:rsidP="00352170">
            <w:pPr>
              <w:spacing w:after="0" w:line="240" w:lineRule="auto"/>
              <w:jc w:val="center"/>
              <w:rPr>
                <w:rFonts w:ascii="Calibri" w:eastAsia="Times New Roman" w:hAnsi="Calibri" w:cs="Calibri"/>
                <w:color w:val="000000"/>
                <w:lang w:val="nl-BE" w:eastAsia="nl-BE"/>
              </w:rPr>
            </w:pPr>
            <w:r w:rsidRPr="00352170">
              <w:rPr>
                <w:rFonts w:ascii="Calibri" w:eastAsia="Times New Roman" w:hAnsi="Calibri" w:cs="Calibri"/>
                <w:color w:val="000000"/>
                <w:lang w:val="nl-BE" w:eastAsia="nl-BE"/>
              </w:rPr>
              <w:t>08/09/2020</w:t>
            </w:r>
          </w:p>
        </w:tc>
        <w:tc>
          <w:tcPr>
            <w:tcW w:w="1417" w:type="dxa"/>
            <w:tcBorders>
              <w:top w:val="nil"/>
              <w:left w:val="nil"/>
              <w:bottom w:val="single" w:sz="4" w:space="0" w:color="auto"/>
              <w:right w:val="single" w:sz="4" w:space="0" w:color="auto"/>
            </w:tcBorders>
            <w:shd w:val="clear" w:color="000000" w:fill="92D050"/>
            <w:noWrap/>
            <w:vAlign w:val="center"/>
            <w:hideMark/>
          </w:tcPr>
          <w:p w14:paraId="547346F9" w14:textId="77777777" w:rsidR="00352170" w:rsidRPr="00352170" w:rsidRDefault="00352170" w:rsidP="00352170">
            <w:pPr>
              <w:spacing w:after="0" w:line="240" w:lineRule="auto"/>
              <w:jc w:val="center"/>
              <w:rPr>
                <w:rFonts w:ascii="Calibri" w:eastAsia="Times New Roman" w:hAnsi="Calibri" w:cs="Calibri"/>
                <w:color w:val="000000"/>
                <w:lang w:val="nl-BE" w:eastAsia="nl-BE"/>
              </w:rPr>
            </w:pPr>
            <w:r w:rsidRPr="00352170">
              <w:rPr>
                <w:rFonts w:ascii="Calibri" w:eastAsia="Times New Roman" w:hAnsi="Calibri" w:cs="Calibri"/>
                <w:color w:val="000000"/>
                <w:lang w:val="nl-BE" w:eastAsia="nl-BE"/>
              </w:rPr>
              <w:t>09/12/2020</w:t>
            </w:r>
          </w:p>
        </w:tc>
        <w:tc>
          <w:tcPr>
            <w:tcW w:w="1419" w:type="dxa"/>
            <w:tcBorders>
              <w:top w:val="nil"/>
              <w:left w:val="nil"/>
              <w:bottom w:val="single" w:sz="4" w:space="0" w:color="auto"/>
              <w:right w:val="single" w:sz="4" w:space="0" w:color="auto"/>
            </w:tcBorders>
            <w:shd w:val="clear" w:color="000000" w:fill="92D050"/>
            <w:noWrap/>
            <w:vAlign w:val="center"/>
            <w:hideMark/>
          </w:tcPr>
          <w:p w14:paraId="6576A209" w14:textId="77777777" w:rsidR="00352170" w:rsidRPr="00352170" w:rsidRDefault="00352170" w:rsidP="00352170">
            <w:pPr>
              <w:spacing w:after="0" w:line="240" w:lineRule="auto"/>
              <w:jc w:val="center"/>
              <w:rPr>
                <w:rFonts w:ascii="Calibri" w:eastAsia="Times New Roman" w:hAnsi="Calibri" w:cs="Calibri"/>
                <w:color w:val="000000"/>
                <w:lang w:val="nl-BE" w:eastAsia="nl-BE"/>
              </w:rPr>
            </w:pPr>
            <w:r w:rsidRPr="00352170">
              <w:rPr>
                <w:rFonts w:ascii="Calibri" w:eastAsia="Times New Roman" w:hAnsi="Calibri" w:cs="Calibri"/>
                <w:color w:val="000000"/>
                <w:lang w:val="nl-BE" w:eastAsia="nl-BE"/>
              </w:rPr>
              <w:t>11/03/2021</w:t>
            </w:r>
          </w:p>
        </w:tc>
      </w:tr>
    </w:tbl>
    <w:p w14:paraId="04BE64D8" w14:textId="77777777" w:rsidR="00271777" w:rsidRPr="00FA1A1F" w:rsidRDefault="00271777" w:rsidP="00271777">
      <w:pPr>
        <w:spacing w:before="120" w:line="240" w:lineRule="auto"/>
        <w:jc w:val="both"/>
        <w:rPr>
          <w:rFonts w:ascii="Times New Roman" w:hAnsi="Times New Roman" w:cs="Times New Roman"/>
          <w:b/>
        </w:rPr>
      </w:pPr>
    </w:p>
    <w:p w14:paraId="172F6FEA" w14:textId="77777777" w:rsidR="00271777" w:rsidRPr="00FA1A1F" w:rsidRDefault="00271777" w:rsidP="00271777">
      <w:pPr>
        <w:spacing w:before="120" w:line="240" w:lineRule="auto"/>
        <w:jc w:val="both"/>
        <w:rPr>
          <w:rFonts w:ascii="Times New Roman" w:hAnsi="Times New Roman" w:cs="Times New Roman"/>
        </w:rPr>
      </w:pPr>
      <w:r w:rsidRPr="00FA1A1F">
        <w:rPr>
          <w:rFonts w:ascii="Times New Roman" w:hAnsi="Times New Roman" w:cs="Times New Roman"/>
        </w:rPr>
        <w:t xml:space="preserve">To fill-in the </w:t>
      </w:r>
      <w:r w:rsidRPr="0097593A">
        <w:rPr>
          <w:rFonts w:ascii="Times New Roman" w:hAnsi="Times New Roman" w:cs="Times New Roman"/>
        </w:rPr>
        <w:t xml:space="preserve">template </w:t>
      </w:r>
      <w:r w:rsidRPr="0097593A">
        <w:rPr>
          <w:rFonts w:ascii="Times New Roman" w:hAnsi="Times New Roman" w:cs="Times New Roman"/>
          <w:b/>
          <w:color w:val="2038EC"/>
        </w:rPr>
        <w:t>05 – YYYY QX SREP IRRBB</w:t>
      </w:r>
      <w:r w:rsidRPr="0097593A">
        <w:rPr>
          <w:rFonts w:ascii="Times New Roman" w:hAnsi="Times New Roman" w:cs="Times New Roman"/>
          <w:b/>
          <w:color w:val="2038EC"/>
          <w:sz w:val="16"/>
        </w:rPr>
        <w:t>.</w:t>
      </w:r>
      <w:r w:rsidRPr="0097593A">
        <w:rPr>
          <w:rFonts w:ascii="Times New Roman" w:hAnsi="Times New Roman" w:cs="Times New Roman"/>
          <w:b/>
          <w:color w:val="2038EC"/>
        </w:rPr>
        <w:t>xlsx</w:t>
      </w:r>
      <w:r w:rsidRPr="0097593A">
        <w:rPr>
          <w:rFonts w:ascii="Times New Roman" w:hAnsi="Times New Roman" w:cs="Times New Roman"/>
        </w:rPr>
        <w:t>, institutions ar</w:t>
      </w:r>
      <w:r w:rsidRPr="00FA1A1F">
        <w:rPr>
          <w:rFonts w:ascii="Times New Roman" w:hAnsi="Times New Roman" w:cs="Times New Roman"/>
        </w:rPr>
        <w:t xml:space="preserve">e requested to </w:t>
      </w:r>
      <w:r>
        <w:rPr>
          <w:rFonts w:ascii="Times New Roman" w:hAnsi="Times New Roman" w:cs="Times New Roman"/>
        </w:rPr>
        <w:t>respect</w:t>
      </w:r>
      <w:r w:rsidRPr="00FA1A1F">
        <w:rPr>
          <w:rFonts w:ascii="Times New Roman" w:hAnsi="Times New Roman" w:cs="Times New Roman"/>
        </w:rPr>
        <w:t xml:space="preserve"> the </w:t>
      </w:r>
      <w:r>
        <w:rPr>
          <w:rFonts w:ascii="Times New Roman" w:hAnsi="Times New Roman" w:cs="Times New Roman"/>
        </w:rPr>
        <w:t>following instructions</w:t>
      </w:r>
      <w:r w:rsidRPr="00430F45">
        <w:rPr>
          <w:rFonts w:ascii="Times New Roman" w:hAnsi="Times New Roman" w:cs="Times New Roman"/>
          <w:sz w:val="16"/>
        </w:rPr>
        <w:t>.</w:t>
      </w:r>
    </w:p>
    <w:p w14:paraId="11E51564" w14:textId="77777777" w:rsidR="00271777" w:rsidRPr="00FA1A1F" w:rsidRDefault="00271777" w:rsidP="00271777">
      <w:pPr>
        <w:spacing w:before="120" w:line="240" w:lineRule="auto"/>
        <w:jc w:val="both"/>
        <w:rPr>
          <w:rFonts w:ascii="Times New Roman" w:hAnsi="Times New Roman" w:cs="Times New Roman"/>
        </w:rPr>
      </w:pPr>
      <w:r w:rsidRPr="00FA1A1F">
        <w:rPr>
          <w:rFonts w:ascii="Times New Roman" w:hAnsi="Times New Roman" w:cs="Times New Roman"/>
        </w:rPr>
        <w:t>This document comprises the following sections:</w:t>
      </w:r>
    </w:p>
    <w:sdt>
      <w:sdtPr>
        <w:rPr>
          <w:rFonts w:ascii="Times New Roman" w:eastAsiaTheme="minorHAnsi" w:hAnsi="Times New Roman" w:cs="Times New Roman"/>
          <w:b w:val="0"/>
          <w:bCs w:val="0"/>
          <w:color w:val="auto"/>
          <w:sz w:val="22"/>
          <w:szCs w:val="22"/>
          <w:lang w:val="en-GB" w:eastAsia="en-US"/>
        </w:rPr>
        <w:id w:val="-1256286849"/>
        <w:docPartObj>
          <w:docPartGallery w:val="Table of Contents"/>
          <w:docPartUnique/>
        </w:docPartObj>
      </w:sdtPr>
      <w:sdtEndPr>
        <w:rPr>
          <w:noProof/>
        </w:rPr>
      </w:sdtEndPr>
      <w:sdtContent>
        <w:p w14:paraId="1C724558" w14:textId="77777777" w:rsidR="00271777" w:rsidRPr="00FA1A1F" w:rsidRDefault="00271777" w:rsidP="00271777">
          <w:pPr>
            <w:pStyle w:val="TOCHeading"/>
            <w:spacing w:before="120" w:line="240" w:lineRule="auto"/>
            <w:jc w:val="both"/>
            <w:rPr>
              <w:rFonts w:ascii="Times New Roman" w:hAnsi="Times New Roman" w:cs="Times New Roman"/>
              <w:color w:val="auto"/>
            </w:rPr>
          </w:pPr>
        </w:p>
        <w:p w14:paraId="66DAF44B" w14:textId="3932C53E" w:rsidR="00271777" w:rsidRDefault="00271777" w:rsidP="00271777">
          <w:pPr>
            <w:pStyle w:val="TOC1"/>
            <w:tabs>
              <w:tab w:val="left" w:pos="442"/>
              <w:tab w:val="right" w:leader="dot" w:pos="9016"/>
            </w:tabs>
            <w:rPr>
              <w:rFonts w:eastAsiaTheme="minorEastAsia"/>
              <w:noProof/>
              <w:lang w:eastAsia="en-GB"/>
            </w:rPr>
          </w:pPr>
          <w:r w:rsidRPr="00FA1A1F">
            <w:rPr>
              <w:rFonts w:ascii="Times New Roman" w:hAnsi="Times New Roman" w:cs="Times New Roman"/>
            </w:rPr>
            <w:fldChar w:fldCharType="begin"/>
          </w:r>
          <w:r w:rsidRPr="00FA1A1F">
            <w:rPr>
              <w:rFonts w:ascii="Times New Roman" w:hAnsi="Times New Roman" w:cs="Times New Roman"/>
            </w:rPr>
            <w:instrText xml:space="preserve"> TOC \o "1-3" \h \z \u </w:instrText>
          </w:r>
          <w:r w:rsidRPr="00FA1A1F">
            <w:rPr>
              <w:rFonts w:ascii="Times New Roman" w:hAnsi="Times New Roman" w:cs="Times New Roman"/>
            </w:rPr>
            <w:fldChar w:fldCharType="separate"/>
          </w:r>
          <w:hyperlink w:anchor="_Toc11660156" w:history="1">
            <w:r w:rsidRPr="00465D89">
              <w:rPr>
                <w:rStyle w:val="Hyperlink"/>
                <w:rFonts w:ascii="Times New Roman" w:eastAsia="Times New Roman" w:hAnsi="Times New Roman" w:cs="Times New Roman"/>
                <w:noProof/>
                <w:kern w:val="28"/>
                <w:lang w:eastAsia="en-GB"/>
              </w:rPr>
              <w:t>1.</w:t>
            </w:r>
            <w:r>
              <w:rPr>
                <w:rFonts w:eastAsiaTheme="minorEastAsia"/>
                <w:noProof/>
                <w:lang w:eastAsia="en-GB"/>
              </w:rPr>
              <w:tab/>
            </w:r>
            <w:r w:rsidRPr="00465D89">
              <w:rPr>
                <w:rStyle w:val="Hyperlink"/>
                <w:rFonts w:ascii="Times New Roman" w:eastAsia="Times New Roman" w:hAnsi="Times New Roman" w:cs="Times New Roman"/>
                <w:noProof/>
                <w:kern w:val="28"/>
                <w:lang w:eastAsia="en-GB"/>
              </w:rPr>
              <w:t>General instructions</w:t>
            </w:r>
            <w:r>
              <w:rPr>
                <w:noProof/>
                <w:webHidden/>
              </w:rPr>
              <w:tab/>
            </w:r>
            <w:r>
              <w:rPr>
                <w:noProof/>
                <w:webHidden/>
              </w:rPr>
              <w:fldChar w:fldCharType="begin"/>
            </w:r>
            <w:r>
              <w:rPr>
                <w:noProof/>
                <w:webHidden/>
              </w:rPr>
              <w:instrText xml:space="preserve"> PAGEREF _Toc11660156 \h </w:instrText>
            </w:r>
            <w:r>
              <w:rPr>
                <w:noProof/>
                <w:webHidden/>
              </w:rPr>
            </w:r>
            <w:r>
              <w:rPr>
                <w:noProof/>
                <w:webHidden/>
              </w:rPr>
              <w:fldChar w:fldCharType="separate"/>
            </w:r>
            <w:r w:rsidR="00C15AF3">
              <w:rPr>
                <w:noProof/>
                <w:webHidden/>
              </w:rPr>
              <w:t>2</w:t>
            </w:r>
            <w:r>
              <w:rPr>
                <w:noProof/>
                <w:webHidden/>
              </w:rPr>
              <w:fldChar w:fldCharType="end"/>
            </w:r>
          </w:hyperlink>
        </w:p>
        <w:p w14:paraId="78DACB57" w14:textId="43CDB6D4" w:rsidR="00271777" w:rsidRDefault="005F4857" w:rsidP="00271777">
          <w:pPr>
            <w:pStyle w:val="TOC2"/>
            <w:tabs>
              <w:tab w:val="right" w:leader="dot" w:pos="9016"/>
            </w:tabs>
            <w:rPr>
              <w:rFonts w:eastAsiaTheme="minorEastAsia"/>
              <w:noProof/>
              <w:lang w:eastAsia="en-GB"/>
            </w:rPr>
          </w:pPr>
          <w:hyperlink w:anchor="_Toc11660157" w:history="1">
            <w:r w:rsidR="00271777" w:rsidRPr="00465D89">
              <w:rPr>
                <w:rStyle w:val="Hyperlink"/>
                <w:rFonts w:ascii="Times New Roman" w:hAnsi="Times New Roman" w:cs="Times New Roman"/>
                <w:noProof/>
              </w:rPr>
              <w:t>Legal background</w:t>
            </w:r>
            <w:r w:rsidR="00271777">
              <w:rPr>
                <w:noProof/>
                <w:webHidden/>
              </w:rPr>
              <w:tab/>
            </w:r>
            <w:r w:rsidR="00271777">
              <w:rPr>
                <w:noProof/>
                <w:webHidden/>
              </w:rPr>
              <w:fldChar w:fldCharType="begin"/>
            </w:r>
            <w:r w:rsidR="00271777">
              <w:rPr>
                <w:noProof/>
                <w:webHidden/>
              </w:rPr>
              <w:instrText xml:space="preserve"> PAGEREF _Toc11660157 \h </w:instrText>
            </w:r>
            <w:r w:rsidR="00271777">
              <w:rPr>
                <w:noProof/>
                <w:webHidden/>
              </w:rPr>
            </w:r>
            <w:r w:rsidR="00271777">
              <w:rPr>
                <w:noProof/>
                <w:webHidden/>
              </w:rPr>
              <w:fldChar w:fldCharType="separate"/>
            </w:r>
            <w:r w:rsidR="00C15AF3">
              <w:rPr>
                <w:noProof/>
                <w:webHidden/>
              </w:rPr>
              <w:t>2</w:t>
            </w:r>
            <w:r w:rsidR="00271777">
              <w:rPr>
                <w:noProof/>
                <w:webHidden/>
              </w:rPr>
              <w:fldChar w:fldCharType="end"/>
            </w:r>
          </w:hyperlink>
        </w:p>
        <w:p w14:paraId="7CB7D099" w14:textId="7E462B60" w:rsidR="00271777" w:rsidRDefault="005F4857" w:rsidP="00271777">
          <w:pPr>
            <w:pStyle w:val="TOC2"/>
            <w:tabs>
              <w:tab w:val="right" w:leader="dot" w:pos="9016"/>
            </w:tabs>
            <w:rPr>
              <w:rFonts w:eastAsiaTheme="minorEastAsia"/>
              <w:noProof/>
              <w:lang w:eastAsia="en-GB"/>
            </w:rPr>
          </w:pPr>
          <w:hyperlink w:anchor="_Toc11660158" w:history="1">
            <w:r w:rsidR="00271777" w:rsidRPr="00465D89">
              <w:rPr>
                <w:rStyle w:val="Hyperlink"/>
                <w:rFonts w:ascii="Times New Roman" w:hAnsi="Times New Roman" w:cs="Times New Roman"/>
                <w:noProof/>
              </w:rPr>
              <w:t>Reference date</w:t>
            </w:r>
            <w:r w:rsidR="00271777">
              <w:rPr>
                <w:noProof/>
                <w:webHidden/>
              </w:rPr>
              <w:tab/>
            </w:r>
            <w:r w:rsidR="00271777">
              <w:rPr>
                <w:noProof/>
                <w:webHidden/>
              </w:rPr>
              <w:fldChar w:fldCharType="begin"/>
            </w:r>
            <w:r w:rsidR="00271777">
              <w:rPr>
                <w:noProof/>
                <w:webHidden/>
              </w:rPr>
              <w:instrText xml:space="preserve"> PAGEREF _Toc11660158 \h </w:instrText>
            </w:r>
            <w:r w:rsidR="00271777">
              <w:rPr>
                <w:noProof/>
                <w:webHidden/>
              </w:rPr>
            </w:r>
            <w:r w:rsidR="00271777">
              <w:rPr>
                <w:noProof/>
                <w:webHidden/>
              </w:rPr>
              <w:fldChar w:fldCharType="separate"/>
            </w:r>
            <w:r w:rsidR="00C15AF3">
              <w:rPr>
                <w:noProof/>
                <w:webHidden/>
              </w:rPr>
              <w:t>2</w:t>
            </w:r>
            <w:r w:rsidR="00271777">
              <w:rPr>
                <w:noProof/>
                <w:webHidden/>
              </w:rPr>
              <w:fldChar w:fldCharType="end"/>
            </w:r>
          </w:hyperlink>
        </w:p>
        <w:p w14:paraId="32CA717F" w14:textId="0A74E312" w:rsidR="00271777" w:rsidRDefault="005F4857" w:rsidP="00271777">
          <w:pPr>
            <w:pStyle w:val="TOC2"/>
            <w:tabs>
              <w:tab w:val="right" w:leader="dot" w:pos="9016"/>
            </w:tabs>
            <w:rPr>
              <w:rFonts w:eastAsiaTheme="minorEastAsia"/>
              <w:noProof/>
              <w:lang w:eastAsia="en-GB"/>
            </w:rPr>
          </w:pPr>
          <w:hyperlink w:anchor="_Toc11660159" w:history="1">
            <w:r w:rsidR="00271777" w:rsidRPr="00465D89">
              <w:rPr>
                <w:rStyle w:val="Hyperlink"/>
                <w:rFonts w:ascii="Times New Roman" w:hAnsi="Times New Roman" w:cs="Times New Roman"/>
                <w:noProof/>
              </w:rPr>
              <w:t>Reporting units</w:t>
            </w:r>
            <w:r w:rsidR="00271777">
              <w:rPr>
                <w:noProof/>
                <w:webHidden/>
              </w:rPr>
              <w:tab/>
            </w:r>
            <w:r w:rsidR="00271777">
              <w:rPr>
                <w:noProof/>
                <w:webHidden/>
              </w:rPr>
              <w:fldChar w:fldCharType="begin"/>
            </w:r>
            <w:r w:rsidR="00271777">
              <w:rPr>
                <w:noProof/>
                <w:webHidden/>
              </w:rPr>
              <w:instrText xml:space="preserve"> PAGEREF _Toc11660159 \h </w:instrText>
            </w:r>
            <w:r w:rsidR="00271777">
              <w:rPr>
                <w:noProof/>
                <w:webHidden/>
              </w:rPr>
            </w:r>
            <w:r w:rsidR="00271777">
              <w:rPr>
                <w:noProof/>
                <w:webHidden/>
              </w:rPr>
              <w:fldChar w:fldCharType="separate"/>
            </w:r>
            <w:r w:rsidR="00C15AF3">
              <w:rPr>
                <w:noProof/>
                <w:webHidden/>
              </w:rPr>
              <w:t>2</w:t>
            </w:r>
            <w:r w:rsidR="00271777">
              <w:rPr>
                <w:noProof/>
                <w:webHidden/>
              </w:rPr>
              <w:fldChar w:fldCharType="end"/>
            </w:r>
          </w:hyperlink>
        </w:p>
        <w:p w14:paraId="1B70EEFA" w14:textId="18040A2B" w:rsidR="00271777" w:rsidRDefault="005F4857" w:rsidP="00271777">
          <w:pPr>
            <w:pStyle w:val="TOC2"/>
            <w:tabs>
              <w:tab w:val="right" w:leader="dot" w:pos="9016"/>
            </w:tabs>
            <w:rPr>
              <w:rFonts w:eastAsiaTheme="minorEastAsia"/>
              <w:noProof/>
              <w:lang w:eastAsia="en-GB"/>
            </w:rPr>
          </w:pPr>
          <w:hyperlink w:anchor="_Toc11660160" w:history="1">
            <w:r w:rsidR="00271777" w:rsidRPr="00465D89">
              <w:rPr>
                <w:rStyle w:val="Hyperlink"/>
                <w:rFonts w:ascii="Times New Roman" w:hAnsi="Times New Roman" w:cs="Times New Roman"/>
                <w:noProof/>
              </w:rPr>
              <w:t>Data</w:t>
            </w:r>
            <w:r w:rsidR="00271777">
              <w:rPr>
                <w:noProof/>
                <w:webHidden/>
              </w:rPr>
              <w:tab/>
            </w:r>
            <w:r w:rsidR="00271777">
              <w:rPr>
                <w:noProof/>
                <w:webHidden/>
              </w:rPr>
              <w:fldChar w:fldCharType="begin"/>
            </w:r>
            <w:r w:rsidR="00271777">
              <w:rPr>
                <w:noProof/>
                <w:webHidden/>
              </w:rPr>
              <w:instrText xml:space="preserve"> PAGEREF _Toc11660160 \h </w:instrText>
            </w:r>
            <w:r w:rsidR="00271777">
              <w:rPr>
                <w:noProof/>
                <w:webHidden/>
              </w:rPr>
            </w:r>
            <w:r w:rsidR="00271777">
              <w:rPr>
                <w:noProof/>
                <w:webHidden/>
              </w:rPr>
              <w:fldChar w:fldCharType="separate"/>
            </w:r>
            <w:r w:rsidR="00C15AF3">
              <w:rPr>
                <w:noProof/>
                <w:webHidden/>
              </w:rPr>
              <w:t>3</w:t>
            </w:r>
            <w:r w:rsidR="00271777">
              <w:rPr>
                <w:noProof/>
                <w:webHidden/>
              </w:rPr>
              <w:fldChar w:fldCharType="end"/>
            </w:r>
          </w:hyperlink>
        </w:p>
        <w:p w14:paraId="568CBE7E" w14:textId="192FCC4B" w:rsidR="00271777" w:rsidRDefault="005F4857" w:rsidP="00271777">
          <w:pPr>
            <w:pStyle w:val="TOC2"/>
            <w:tabs>
              <w:tab w:val="right" w:leader="dot" w:pos="9016"/>
            </w:tabs>
            <w:rPr>
              <w:rFonts w:eastAsiaTheme="minorEastAsia"/>
              <w:noProof/>
              <w:lang w:eastAsia="en-GB"/>
            </w:rPr>
          </w:pPr>
          <w:hyperlink w:anchor="_Toc11660161" w:history="1">
            <w:r w:rsidR="00271777" w:rsidRPr="00465D89">
              <w:rPr>
                <w:rStyle w:val="Hyperlink"/>
                <w:rFonts w:ascii="Times New Roman" w:hAnsi="Times New Roman" w:cs="Times New Roman"/>
                <w:noProof/>
              </w:rPr>
              <w:t>Validation rules</w:t>
            </w:r>
            <w:r w:rsidR="00271777">
              <w:rPr>
                <w:noProof/>
                <w:webHidden/>
              </w:rPr>
              <w:tab/>
            </w:r>
            <w:r w:rsidR="00271777">
              <w:rPr>
                <w:noProof/>
                <w:webHidden/>
              </w:rPr>
              <w:fldChar w:fldCharType="begin"/>
            </w:r>
            <w:r w:rsidR="00271777">
              <w:rPr>
                <w:noProof/>
                <w:webHidden/>
              </w:rPr>
              <w:instrText xml:space="preserve"> PAGEREF _Toc11660161 \h </w:instrText>
            </w:r>
            <w:r w:rsidR="00271777">
              <w:rPr>
                <w:noProof/>
                <w:webHidden/>
              </w:rPr>
            </w:r>
            <w:r w:rsidR="00271777">
              <w:rPr>
                <w:noProof/>
                <w:webHidden/>
              </w:rPr>
              <w:fldChar w:fldCharType="separate"/>
            </w:r>
            <w:r w:rsidR="00C15AF3">
              <w:rPr>
                <w:noProof/>
                <w:webHidden/>
              </w:rPr>
              <w:t>3</w:t>
            </w:r>
            <w:r w:rsidR="00271777">
              <w:rPr>
                <w:noProof/>
                <w:webHidden/>
              </w:rPr>
              <w:fldChar w:fldCharType="end"/>
            </w:r>
          </w:hyperlink>
        </w:p>
        <w:p w14:paraId="7074C129" w14:textId="47DF8160" w:rsidR="00271777" w:rsidRDefault="005F4857" w:rsidP="00271777">
          <w:pPr>
            <w:pStyle w:val="TOC1"/>
            <w:tabs>
              <w:tab w:val="left" w:pos="442"/>
              <w:tab w:val="right" w:leader="dot" w:pos="9016"/>
            </w:tabs>
            <w:rPr>
              <w:rFonts w:eastAsiaTheme="minorEastAsia"/>
              <w:noProof/>
              <w:lang w:eastAsia="en-GB"/>
            </w:rPr>
          </w:pPr>
          <w:hyperlink w:anchor="_Toc11660162" w:history="1">
            <w:r w:rsidR="00271777" w:rsidRPr="00465D89">
              <w:rPr>
                <w:rStyle w:val="Hyperlink"/>
                <w:rFonts w:ascii="Times New Roman" w:eastAsia="Times New Roman" w:hAnsi="Times New Roman" w:cs="Times New Roman"/>
                <w:noProof/>
                <w:kern w:val="28"/>
                <w:lang w:eastAsia="en-GB"/>
              </w:rPr>
              <w:t>2.</w:t>
            </w:r>
            <w:r w:rsidR="00271777">
              <w:rPr>
                <w:rFonts w:eastAsiaTheme="minorEastAsia"/>
                <w:noProof/>
                <w:lang w:eastAsia="en-GB"/>
              </w:rPr>
              <w:tab/>
            </w:r>
            <w:r w:rsidR="00271777" w:rsidRPr="00465D89">
              <w:rPr>
                <w:rStyle w:val="Hyperlink"/>
                <w:rFonts w:ascii="Times New Roman" w:eastAsia="Times New Roman" w:hAnsi="Times New Roman" w:cs="Times New Roman"/>
                <w:noProof/>
                <w:kern w:val="28"/>
                <w:lang w:eastAsia="en-GB"/>
              </w:rPr>
              <w:t>Specific instructions</w:t>
            </w:r>
            <w:r w:rsidR="00271777">
              <w:rPr>
                <w:noProof/>
                <w:webHidden/>
              </w:rPr>
              <w:tab/>
            </w:r>
            <w:r w:rsidR="00271777">
              <w:rPr>
                <w:noProof/>
                <w:webHidden/>
              </w:rPr>
              <w:fldChar w:fldCharType="begin"/>
            </w:r>
            <w:r w:rsidR="00271777">
              <w:rPr>
                <w:noProof/>
                <w:webHidden/>
              </w:rPr>
              <w:instrText xml:space="preserve"> PAGEREF _Toc11660162 \h </w:instrText>
            </w:r>
            <w:r w:rsidR="00271777">
              <w:rPr>
                <w:noProof/>
                <w:webHidden/>
              </w:rPr>
            </w:r>
            <w:r w:rsidR="00271777">
              <w:rPr>
                <w:noProof/>
                <w:webHidden/>
              </w:rPr>
              <w:fldChar w:fldCharType="separate"/>
            </w:r>
            <w:r w:rsidR="00C15AF3">
              <w:rPr>
                <w:noProof/>
                <w:webHidden/>
              </w:rPr>
              <w:t>4</w:t>
            </w:r>
            <w:r w:rsidR="00271777">
              <w:rPr>
                <w:noProof/>
                <w:webHidden/>
              </w:rPr>
              <w:fldChar w:fldCharType="end"/>
            </w:r>
          </w:hyperlink>
        </w:p>
        <w:p w14:paraId="4A23367C" w14:textId="2DBCDE04" w:rsidR="00271777" w:rsidRDefault="005F4857" w:rsidP="00271777">
          <w:pPr>
            <w:pStyle w:val="TOC2"/>
            <w:tabs>
              <w:tab w:val="right" w:leader="dot" w:pos="9016"/>
            </w:tabs>
            <w:rPr>
              <w:rFonts w:eastAsiaTheme="minorEastAsia"/>
              <w:noProof/>
              <w:lang w:eastAsia="en-GB"/>
            </w:rPr>
          </w:pPr>
          <w:hyperlink w:anchor="_Toc11660163" w:history="1">
            <w:r w:rsidR="00271777" w:rsidRPr="00465D89">
              <w:rPr>
                <w:rStyle w:val="Hyperlink"/>
                <w:rFonts w:ascii="Times New Roman" w:hAnsi="Times New Roman" w:cs="Times New Roman"/>
                <w:noProof/>
              </w:rPr>
              <w:t>Template “0_Identification”</w:t>
            </w:r>
            <w:r w:rsidR="00271777">
              <w:rPr>
                <w:noProof/>
                <w:webHidden/>
              </w:rPr>
              <w:tab/>
            </w:r>
            <w:r w:rsidR="00271777">
              <w:rPr>
                <w:noProof/>
                <w:webHidden/>
              </w:rPr>
              <w:fldChar w:fldCharType="begin"/>
            </w:r>
            <w:r w:rsidR="00271777">
              <w:rPr>
                <w:noProof/>
                <w:webHidden/>
              </w:rPr>
              <w:instrText xml:space="preserve"> PAGEREF _Toc11660163 \h </w:instrText>
            </w:r>
            <w:r w:rsidR="00271777">
              <w:rPr>
                <w:noProof/>
                <w:webHidden/>
              </w:rPr>
            </w:r>
            <w:r w:rsidR="00271777">
              <w:rPr>
                <w:noProof/>
                <w:webHidden/>
              </w:rPr>
              <w:fldChar w:fldCharType="separate"/>
            </w:r>
            <w:r w:rsidR="00C15AF3">
              <w:rPr>
                <w:noProof/>
                <w:webHidden/>
              </w:rPr>
              <w:t>4</w:t>
            </w:r>
            <w:r w:rsidR="00271777">
              <w:rPr>
                <w:noProof/>
                <w:webHidden/>
              </w:rPr>
              <w:fldChar w:fldCharType="end"/>
            </w:r>
          </w:hyperlink>
        </w:p>
        <w:p w14:paraId="43EDFECD" w14:textId="694E6324" w:rsidR="00271777" w:rsidRDefault="005F4857" w:rsidP="00271777">
          <w:pPr>
            <w:pStyle w:val="TOC2"/>
            <w:tabs>
              <w:tab w:val="right" w:leader="dot" w:pos="9016"/>
            </w:tabs>
            <w:rPr>
              <w:rFonts w:eastAsiaTheme="minorEastAsia"/>
              <w:noProof/>
              <w:lang w:eastAsia="en-GB"/>
            </w:rPr>
          </w:pPr>
          <w:hyperlink w:anchor="_Toc11660164" w:history="1">
            <w:r w:rsidR="00271777" w:rsidRPr="00465D89">
              <w:rPr>
                <w:rStyle w:val="Hyperlink"/>
                <w:rFonts w:ascii="Times New Roman" w:hAnsi="Times New Roman" w:cs="Times New Roman"/>
                <w:noProof/>
              </w:rPr>
              <w:t>Templates 1 – 5 “IRRBB Material Currencies” and “Other material currencies”</w:t>
            </w:r>
            <w:r w:rsidR="00271777">
              <w:rPr>
                <w:noProof/>
                <w:webHidden/>
              </w:rPr>
              <w:tab/>
            </w:r>
            <w:r w:rsidR="00271777">
              <w:rPr>
                <w:noProof/>
                <w:webHidden/>
              </w:rPr>
              <w:fldChar w:fldCharType="begin"/>
            </w:r>
            <w:r w:rsidR="00271777">
              <w:rPr>
                <w:noProof/>
                <w:webHidden/>
              </w:rPr>
              <w:instrText xml:space="preserve"> PAGEREF _Toc11660164 \h </w:instrText>
            </w:r>
            <w:r w:rsidR="00271777">
              <w:rPr>
                <w:noProof/>
                <w:webHidden/>
              </w:rPr>
            </w:r>
            <w:r w:rsidR="00271777">
              <w:rPr>
                <w:noProof/>
                <w:webHidden/>
              </w:rPr>
              <w:fldChar w:fldCharType="separate"/>
            </w:r>
            <w:r w:rsidR="00C15AF3">
              <w:rPr>
                <w:noProof/>
                <w:webHidden/>
              </w:rPr>
              <w:t>5</w:t>
            </w:r>
            <w:r w:rsidR="00271777">
              <w:rPr>
                <w:noProof/>
                <w:webHidden/>
              </w:rPr>
              <w:fldChar w:fldCharType="end"/>
            </w:r>
          </w:hyperlink>
        </w:p>
        <w:p w14:paraId="1C54CA74" w14:textId="12A13349" w:rsidR="00271777" w:rsidRDefault="005F4857" w:rsidP="00271777">
          <w:pPr>
            <w:pStyle w:val="TOC2"/>
            <w:tabs>
              <w:tab w:val="right" w:leader="dot" w:pos="9016"/>
            </w:tabs>
            <w:rPr>
              <w:rFonts w:eastAsiaTheme="minorEastAsia"/>
              <w:noProof/>
              <w:lang w:eastAsia="en-GB"/>
            </w:rPr>
          </w:pPr>
          <w:hyperlink w:anchor="_Toc11660165" w:history="1">
            <w:r w:rsidR="00271777" w:rsidRPr="00465D89">
              <w:rPr>
                <w:rStyle w:val="Hyperlink"/>
                <w:rFonts w:ascii="Times New Roman" w:hAnsi="Times New Roman" w:cs="Times New Roman"/>
                <w:noProof/>
              </w:rPr>
              <w:t>Template “6_IRRBB_additional”</w:t>
            </w:r>
            <w:r w:rsidR="00271777">
              <w:rPr>
                <w:noProof/>
                <w:webHidden/>
              </w:rPr>
              <w:tab/>
            </w:r>
            <w:r w:rsidR="00271777">
              <w:rPr>
                <w:noProof/>
                <w:webHidden/>
              </w:rPr>
              <w:fldChar w:fldCharType="begin"/>
            </w:r>
            <w:r w:rsidR="00271777">
              <w:rPr>
                <w:noProof/>
                <w:webHidden/>
              </w:rPr>
              <w:instrText xml:space="preserve"> PAGEREF _Toc11660165 \h </w:instrText>
            </w:r>
            <w:r w:rsidR="00271777">
              <w:rPr>
                <w:noProof/>
                <w:webHidden/>
              </w:rPr>
            </w:r>
            <w:r w:rsidR="00271777">
              <w:rPr>
                <w:noProof/>
                <w:webHidden/>
              </w:rPr>
              <w:fldChar w:fldCharType="separate"/>
            </w:r>
            <w:r w:rsidR="00C15AF3">
              <w:rPr>
                <w:noProof/>
                <w:webHidden/>
              </w:rPr>
              <w:t>10</w:t>
            </w:r>
            <w:r w:rsidR="00271777">
              <w:rPr>
                <w:noProof/>
                <w:webHidden/>
              </w:rPr>
              <w:fldChar w:fldCharType="end"/>
            </w:r>
          </w:hyperlink>
        </w:p>
        <w:p w14:paraId="7BE77EA8" w14:textId="25B1C49F" w:rsidR="00271777" w:rsidRDefault="005F4857" w:rsidP="00271777">
          <w:pPr>
            <w:pStyle w:val="TOC2"/>
            <w:tabs>
              <w:tab w:val="right" w:leader="dot" w:pos="9016"/>
            </w:tabs>
            <w:rPr>
              <w:rFonts w:eastAsiaTheme="minorEastAsia"/>
              <w:noProof/>
              <w:lang w:eastAsia="en-GB"/>
            </w:rPr>
          </w:pPr>
          <w:hyperlink w:anchor="_Toc11660166" w:history="1">
            <w:r w:rsidR="00271777" w:rsidRPr="00465D89">
              <w:rPr>
                <w:rStyle w:val="Hyperlink"/>
                <w:rFonts w:ascii="Times New Roman" w:hAnsi="Times New Roman" w:cs="Times New Roman"/>
                <w:noProof/>
              </w:rPr>
              <w:t>Template “7_IRRBB_Assumptions”</w:t>
            </w:r>
            <w:r w:rsidR="00271777">
              <w:rPr>
                <w:noProof/>
                <w:webHidden/>
              </w:rPr>
              <w:tab/>
            </w:r>
            <w:r w:rsidR="00271777">
              <w:rPr>
                <w:noProof/>
                <w:webHidden/>
              </w:rPr>
              <w:fldChar w:fldCharType="begin"/>
            </w:r>
            <w:r w:rsidR="00271777">
              <w:rPr>
                <w:noProof/>
                <w:webHidden/>
              </w:rPr>
              <w:instrText xml:space="preserve"> PAGEREF _Toc11660166 \h </w:instrText>
            </w:r>
            <w:r w:rsidR="00271777">
              <w:rPr>
                <w:noProof/>
                <w:webHidden/>
              </w:rPr>
            </w:r>
            <w:r w:rsidR="00271777">
              <w:rPr>
                <w:noProof/>
                <w:webHidden/>
              </w:rPr>
              <w:fldChar w:fldCharType="separate"/>
            </w:r>
            <w:r w:rsidR="00C15AF3">
              <w:rPr>
                <w:noProof/>
                <w:webHidden/>
              </w:rPr>
              <w:t>18</w:t>
            </w:r>
            <w:r w:rsidR="00271777">
              <w:rPr>
                <w:noProof/>
                <w:webHidden/>
              </w:rPr>
              <w:fldChar w:fldCharType="end"/>
            </w:r>
          </w:hyperlink>
        </w:p>
        <w:p w14:paraId="7AF2EDE9" w14:textId="77777777" w:rsidR="00271777" w:rsidRPr="00FA1A1F" w:rsidRDefault="00271777" w:rsidP="00271777">
          <w:pPr>
            <w:spacing w:before="120" w:line="240" w:lineRule="auto"/>
            <w:jc w:val="both"/>
            <w:rPr>
              <w:rFonts w:ascii="Times New Roman" w:hAnsi="Times New Roman" w:cs="Times New Roman"/>
            </w:rPr>
          </w:pPr>
          <w:r w:rsidRPr="00FA1A1F">
            <w:rPr>
              <w:rFonts w:ascii="Times New Roman" w:hAnsi="Times New Roman" w:cs="Times New Roman"/>
              <w:b/>
              <w:bCs/>
              <w:noProof/>
            </w:rPr>
            <w:fldChar w:fldCharType="end"/>
          </w:r>
        </w:p>
      </w:sdtContent>
    </w:sdt>
    <w:p w14:paraId="549DFFA6" w14:textId="77777777" w:rsidR="00271777" w:rsidRDefault="00271777" w:rsidP="00271777">
      <w:pPr>
        <w:rPr>
          <w:rFonts w:ascii="Times New Roman" w:eastAsia="Times New Roman" w:hAnsi="Times New Roman" w:cs="Times New Roman"/>
          <w:b/>
          <w:bCs/>
          <w:kern w:val="28"/>
          <w:sz w:val="32"/>
          <w:szCs w:val="28"/>
          <w:lang w:eastAsia="en-GB"/>
        </w:rPr>
      </w:pPr>
      <w:r>
        <w:rPr>
          <w:rFonts w:ascii="Times New Roman" w:eastAsia="Times New Roman" w:hAnsi="Times New Roman" w:cs="Times New Roman"/>
          <w:kern w:val="28"/>
          <w:sz w:val="32"/>
          <w:lang w:eastAsia="en-GB"/>
        </w:rPr>
        <w:br w:type="page"/>
      </w:r>
    </w:p>
    <w:p w14:paraId="4C6574D2" w14:textId="77777777" w:rsidR="00271777" w:rsidRDefault="00271777" w:rsidP="00271777">
      <w:pPr>
        <w:pStyle w:val="Heading1"/>
        <w:keepLines w:val="0"/>
        <w:numPr>
          <w:ilvl w:val="0"/>
          <w:numId w:val="1"/>
        </w:numPr>
        <w:tabs>
          <w:tab w:val="num" w:pos="567"/>
          <w:tab w:val="left" w:pos="851"/>
          <w:tab w:val="right" w:pos="9356"/>
        </w:tabs>
        <w:spacing w:before="120" w:after="120" w:line="360" w:lineRule="auto"/>
        <w:ind w:left="567" w:hanging="567"/>
        <w:jc w:val="both"/>
        <w:rPr>
          <w:rFonts w:ascii="Times New Roman" w:eastAsia="Times New Roman" w:hAnsi="Times New Roman" w:cs="Times New Roman"/>
          <w:color w:val="auto"/>
          <w:kern w:val="28"/>
          <w:sz w:val="32"/>
          <w:lang w:eastAsia="en-GB"/>
        </w:rPr>
      </w:pPr>
      <w:bookmarkStart w:id="0" w:name="_Toc518916485"/>
      <w:bookmarkStart w:id="1" w:name="_Toc11660156"/>
      <w:r w:rsidRPr="00FA1A1F">
        <w:rPr>
          <w:rFonts w:ascii="Times New Roman" w:eastAsia="Times New Roman" w:hAnsi="Times New Roman" w:cs="Times New Roman"/>
          <w:color w:val="auto"/>
          <w:kern w:val="28"/>
          <w:sz w:val="32"/>
          <w:lang w:eastAsia="en-GB"/>
        </w:rPr>
        <w:lastRenderedPageBreak/>
        <w:t>General instructions</w:t>
      </w:r>
      <w:bookmarkEnd w:id="0"/>
      <w:bookmarkEnd w:id="1"/>
    </w:p>
    <w:p w14:paraId="6B3F7D3E" w14:textId="77777777" w:rsidR="00271777" w:rsidRPr="00FA1A1F" w:rsidRDefault="00271777" w:rsidP="00271777">
      <w:pPr>
        <w:pStyle w:val="Heading2"/>
        <w:spacing w:before="120" w:after="240" w:line="360" w:lineRule="auto"/>
        <w:ind w:left="720"/>
        <w:rPr>
          <w:rFonts w:ascii="Times New Roman" w:hAnsi="Times New Roman" w:cs="Times New Roman"/>
          <w:color w:val="auto"/>
        </w:rPr>
      </w:pPr>
      <w:bookmarkStart w:id="2" w:name="_Toc518916486"/>
      <w:bookmarkStart w:id="3" w:name="_Toc11660157"/>
      <w:r>
        <w:rPr>
          <w:rFonts w:ascii="Times New Roman" w:hAnsi="Times New Roman" w:cs="Times New Roman"/>
          <w:color w:val="auto"/>
        </w:rPr>
        <w:t>Legal background</w:t>
      </w:r>
      <w:bookmarkEnd w:id="2"/>
      <w:bookmarkEnd w:id="3"/>
    </w:p>
    <w:p w14:paraId="7DB4B55F" w14:textId="77777777" w:rsidR="00271777" w:rsidRPr="00F51710" w:rsidRDefault="00271777" w:rsidP="00271777">
      <w:pPr>
        <w:pStyle w:val="ListParagraph"/>
        <w:numPr>
          <w:ilvl w:val="0"/>
          <w:numId w:val="2"/>
        </w:numPr>
        <w:spacing w:before="120" w:line="360" w:lineRule="auto"/>
        <w:ind w:left="426"/>
        <w:jc w:val="both"/>
        <w:rPr>
          <w:rFonts w:ascii="Times New Roman" w:hAnsi="Times New Roman" w:cs="Times New Roman"/>
        </w:rPr>
      </w:pPr>
      <w:r>
        <w:rPr>
          <w:rFonts w:ascii="Times New Roman" w:hAnsi="Times New Roman" w:cs="Times New Roman"/>
        </w:rPr>
        <w:t xml:space="preserve">In the preparation of the templates institutions should </w:t>
      </w:r>
      <w:proofErr w:type="gramStart"/>
      <w:r>
        <w:rPr>
          <w:rFonts w:ascii="Times New Roman" w:hAnsi="Times New Roman" w:cs="Times New Roman"/>
        </w:rPr>
        <w:t>take into account</w:t>
      </w:r>
      <w:proofErr w:type="gramEnd"/>
      <w:r>
        <w:rPr>
          <w:rFonts w:ascii="Times New Roman" w:hAnsi="Times New Roman" w:cs="Times New Roman"/>
        </w:rPr>
        <w:t xml:space="preserve"> the </w:t>
      </w:r>
      <w:r w:rsidRPr="00882EF2">
        <w:rPr>
          <w:rFonts w:ascii="Times New Roman" w:hAnsi="Times New Roman" w:cs="Times New Roman"/>
        </w:rPr>
        <w:t>EBA</w:t>
      </w:r>
      <w:r>
        <w:rPr>
          <w:rFonts w:ascii="Times New Roman" w:hAnsi="Times New Roman" w:cs="Times New Roman"/>
        </w:rPr>
        <w:t xml:space="preserve"> </w:t>
      </w:r>
      <w:r w:rsidRPr="00BD2510">
        <w:rPr>
          <w:rFonts w:ascii="Times New Roman" w:hAnsi="Times New Roman" w:cs="Times New Roman"/>
        </w:rPr>
        <w:t xml:space="preserve">Guidelines on the management of interest rate risk arising from non-trading book activities </w:t>
      </w:r>
      <w:r>
        <w:rPr>
          <w:rFonts w:ascii="Times New Roman" w:hAnsi="Times New Roman" w:cs="Times New Roman"/>
        </w:rPr>
        <w:t>(EBA/</w:t>
      </w:r>
      <w:r w:rsidRPr="00882EF2">
        <w:rPr>
          <w:rFonts w:ascii="Times New Roman" w:hAnsi="Times New Roman" w:cs="Times New Roman"/>
        </w:rPr>
        <w:t>GL</w:t>
      </w:r>
      <w:r>
        <w:rPr>
          <w:rFonts w:ascii="Times New Roman" w:hAnsi="Times New Roman" w:cs="Times New Roman"/>
        </w:rPr>
        <w:t>/</w:t>
      </w:r>
      <w:r w:rsidRPr="00882EF2">
        <w:rPr>
          <w:rFonts w:ascii="Times New Roman" w:hAnsi="Times New Roman" w:cs="Times New Roman"/>
        </w:rPr>
        <w:t>201</w:t>
      </w:r>
      <w:r>
        <w:rPr>
          <w:rFonts w:ascii="Times New Roman" w:hAnsi="Times New Roman" w:cs="Times New Roman"/>
        </w:rPr>
        <w:t>8/02), which specify, among other things:</w:t>
      </w:r>
    </w:p>
    <w:p w14:paraId="189EF57A" w14:textId="77777777" w:rsidR="00271777" w:rsidRDefault="00271777" w:rsidP="00271777">
      <w:pPr>
        <w:pStyle w:val="ListParagraph"/>
        <w:numPr>
          <w:ilvl w:val="1"/>
          <w:numId w:val="1"/>
        </w:numPr>
        <w:spacing w:before="120" w:line="360" w:lineRule="auto"/>
        <w:ind w:left="993"/>
        <w:jc w:val="both"/>
        <w:rPr>
          <w:rFonts w:ascii="Times New Roman" w:hAnsi="Times New Roman" w:cs="Times New Roman"/>
          <w:i/>
        </w:rPr>
      </w:pPr>
      <w:r w:rsidRPr="00C709C5">
        <w:rPr>
          <w:rFonts w:ascii="Times New Roman" w:hAnsi="Times New Roman" w:cs="Times New Roman"/>
          <w:i/>
        </w:rPr>
        <w:t>“</w:t>
      </w:r>
      <w:proofErr w:type="gramStart"/>
      <w:r>
        <w:rPr>
          <w:rFonts w:ascii="Times New Roman" w:hAnsi="Times New Roman" w:cs="Times New Roman"/>
          <w:i/>
        </w:rPr>
        <w:t>the</w:t>
      </w:r>
      <w:proofErr w:type="gramEnd"/>
      <w:r>
        <w:rPr>
          <w:rFonts w:ascii="Times New Roman" w:hAnsi="Times New Roman" w:cs="Times New Roman"/>
          <w:i/>
        </w:rPr>
        <w:t xml:space="preserve"> systems to be implemented by institutions for </w:t>
      </w:r>
      <w:r w:rsidRPr="00C709C5">
        <w:rPr>
          <w:rFonts w:ascii="Times New Roman" w:hAnsi="Times New Roman" w:cs="Times New Roman"/>
          <w:i/>
        </w:rPr>
        <w:t xml:space="preserve">the identification, </w:t>
      </w:r>
      <w:r>
        <w:rPr>
          <w:rFonts w:ascii="Times New Roman" w:hAnsi="Times New Roman" w:cs="Times New Roman"/>
          <w:i/>
        </w:rPr>
        <w:t xml:space="preserve">evaluation and </w:t>
      </w:r>
      <w:r w:rsidRPr="00C709C5">
        <w:rPr>
          <w:rFonts w:ascii="Times New Roman" w:hAnsi="Times New Roman" w:cs="Times New Roman"/>
          <w:i/>
        </w:rPr>
        <w:t xml:space="preserve">management </w:t>
      </w:r>
      <w:r>
        <w:rPr>
          <w:rFonts w:ascii="Times New Roman" w:hAnsi="Times New Roman" w:cs="Times New Roman"/>
          <w:i/>
        </w:rPr>
        <w:t xml:space="preserve">(…) </w:t>
      </w:r>
      <w:r w:rsidRPr="00C709C5">
        <w:rPr>
          <w:rFonts w:ascii="Times New Roman" w:hAnsi="Times New Roman" w:cs="Times New Roman"/>
          <w:i/>
        </w:rPr>
        <w:t>of IRRBB</w:t>
      </w:r>
      <w:r>
        <w:rPr>
          <w:rFonts w:ascii="Times New Roman" w:hAnsi="Times New Roman" w:cs="Times New Roman"/>
          <w:i/>
        </w:rPr>
        <w:t xml:space="preserve"> referred to in Article 84 of Directive 2013/36/EU</w:t>
      </w:r>
      <w:r w:rsidRPr="00C709C5">
        <w:rPr>
          <w:rFonts w:ascii="Times New Roman" w:hAnsi="Times New Roman" w:cs="Times New Roman"/>
          <w:i/>
        </w:rPr>
        <w:t>;</w:t>
      </w:r>
    </w:p>
    <w:p w14:paraId="253BF574" w14:textId="77777777" w:rsidR="00271777" w:rsidRPr="00C709C5" w:rsidRDefault="00271777" w:rsidP="00271777">
      <w:pPr>
        <w:pStyle w:val="ListParagraph"/>
        <w:numPr>
          <w:ilvl w:val="1"/>
          <w:numId w:val="1"/>
        </w:numPr>
        <w:spacing w:before="120" w:line="360" w:lineRule="auto"/>
        <w:ind w:left="993"/>
        <w:jc w:val="both"/>
        <w:rPr>
          <w:rFonts w:ascii="Times New Roman" w:hAnsi="Times New Roman" w:cs="Times New Roman"/>
          <w:i/>
        </w:rPr>
      </w:pPr>
      <w:r>
        <w:rPr>
          <w:rFonts w:ascii="Times New Roman" w:hAnsi="Times New Roman" w:cs="Times New Roman"/>
          <w:i/>
        </w:rPr>
        <w:t xml:space="preserve">institutions’ internal governance arrangements in relation to the management of </w:t>
      </w:r>
      <w:proofErr w:type="gramStart"/>
      <w:r>
        <w:rPr>
          <w:rFonts w:ascii="Times New Roman" w:hAnsi="Times New Roman" w:cs="Times New Roman"/>
          <w:i/>
        </w:rPr>
        <w:t>IRRBB;</w:t>
      </w:r>
      <w:proofErr w:type="gramEnd"/>
    </w:p>
    <w:p w14:paraId="08443C75" w14:textId="77777777" w:rsidR="00271777" w:rsidRPr="003B7EC0" w:rsidRDefault="00271777" w:rsidP="00271777">
      <w:pPr>
        <w:pStyle w:val="ListParagraph"/>
        <w:numPr>
          <w:ilvl w:val="1"/>
          <w:numId w:val="1"/>
        </w:numPr>
        <w:spacing w:before="120" w:line="360" w:lineRule="auto"/>
        <w:ind w:left="993"/>
        <w:jc w:val="both"/>
        <w:rPr>
          <w:rFonts w:ascii="Times New Roman" w:hAnsi="Times New Roman" w:cs="Times New Roman"/>
          <w:i/>
        </w:rPr>
      </w:pPr>
      <w:r>
        <w:rPr>
          <w:rFonts w:ascii="Times New Roman" w:hAnsi="Times New Roman" w:cs="Times New Roman"/>
          <w:i/>
        </w:rPr>
        <w:t xml:space="preserve">sudden and unexpected </w:t>
      </w:r>
      <w:r w:rsidRPr="00C709C5">
        <w:rPr>
          <w:rFonts w:ascii="Times New Roman" w:hAnsi="Times New Roman" w:cs="Times New Roman"/>
          <w:i/>
        </w:rPr>
        <w:t>change</w:t>
      </w:r>
      <w:r>
        <w:rPr>
          <w:rFonts w:ascii="Times New Roman" w:hAnsi="Times New Roman" w:cs="Times New Roman"/>
          <w:i/>
        </w:rPr>
        <w:t>s</w:t>
      </w:r>
      <w:r w:rsidRPr="00C709C5">
        <w:rPr>
          <w:rFonts w:ascii="Times New Roman" w:hAnsi="Times New Roman" w:cs="Times New Roman"/>
          <w:i/>
        </w:rPr>
        <w:t xml:space="preserve"> in </w:t>
      </w:r>
      <w:r>
        <w:rPr>
          <w:rFonts w:ascii="Times New Roman" w:hAnsi="Times New Roman" w:cs="Times New Roman"/>
          <w:i/>
        </w:rPr>
        <w:t xml:space="preserve">the </w:t>
      </w:r>
      <w:r w:rsidRPr="00C709C5">
        <w:rPr>
          <w:rFonts w:ascii="Times New Roman" w:hAnsi="Times New Roman" w:cs="Times New Roman"/>
          <w:i/>
        </w:rPr>
        <w:t xml:space="preserve">interest rates in </w:t>
      </w:r>
      <w:r>
        <w:rPr>
          <w:rFonts w:ascii="Times New Roman" w:hAnsi="Times New Roman" w:cs="Times New Roman"/>
          <w:i/>
        </w:rPr>
        <w:t xml:space="preserve">accordance with </w:t>
      </w:r>
      <w:r w:rsidRPr="00C709C5">
        <w:rPr>
          <w:rFonts w:ascii="Times New Roman" w:hAnsi="Times New Roman" w:cs="Times New Roman"/>
          <w:i/>
        </w:rPr>
        <w:t xml:space="preserve">Article 98(5) of Directive 2013/36/EU </w:t>
      </w:r>
      <w:r>
        <w:rPr>
          <w:rFonts w:ascii="Times New Roman" w:hAnsi="Times New Roman" w:cs="Times New Roman"/>
          <w:i/>
        </w:rPr>
        <w:t xml:space="preserve">for the purposes of the review and evaluation performed by competent </w:t>
      </w:r>
      <w:proofErr w:type="gramStart"/>
      <w:r>
        <w:rPr>
          <w:rFonts w:ascii="Times New Roman" w:hAnsi="Times New Roman" w:cs="Times New Roman"/>
          <w:i/>
        </w:rPr>
        <w:t>authorities</w:t>
      </w:r>
      <w:r w:rsidRPr="00C709C5">
        <w:rPr>
          <w:rFonts w:ascii="Times New Roman" w:hAnsi="Times New Roman" w:cs="Times New Roman"/>
          <w:i/>
        </w:rPr>
        <w:t>”</w:t>
      </w:r>
      <w:proofErr w:type="gramEnd"/>
    </w:p>
    <w:p w14:paraId="3CD01BC3"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r>
        <w:rPr>
          <w:rFonts w:ascii="Times New Roman" w:hAnsi="Times New Roman" w:cs="Times New Roman"/>
        </w:rPr>
        <w:t>Among other provisions, the</w:t>
      </w:r>
      <w:r w:rsidRPr="0031716D">
        <w:rPr>
          <w:rFonts w:ascii="Times New Roman" w:hAnsi="Times New Roman" w:cs="Times New Roman"/>
        </w:rPr>
        <w:t xml:space="preserve"> </w:t>
      </w:r>
      <w:r>
        <w:rPr>
          <w:rFonts w:ascii="Times New Roman" w:hAnsi="Times New Roman" w:cs="Times New Roman"/>
        </w:rPr>
        <w:t>EBA/</w:t>
      </w:r>
      <w:r w:rsidRPr="0031716D">
        <w:rPr>
          <w:rFonts w:ascii="Times New Roman" w:hAnsi="Times New Roman" w:cs="Times New Roman"/>
        </w:rPr>
        <w:t>GL</w:t>
      </w:r>
      <w:r>
        <w:rPr>
          <w:rFonts w:ascii="Times New Roman" w:hAnsi="Times New Roman" w:cs="Times New Roman"/>
        </w:rPr>
        <w:t>/2018/02</w:t>
      </w:r>
      <w:r w:rsidRPr="0031716D">
        <w:rPr>
          <w:rFonts w:ascii="Times New Roman" w:hAnsi="Times New Roman" w:cs="Times New Roman"/>
        </w:rPr>
        <w:t xml:space="preserve"> state that</w:t>
      </w:r>
      <w:r>
        <w:rPr>
          <w:rFonts w:ascii="Times New Roman" w:hAnsi="Times New Roman" w:cs="Times New Roman"/>
        </w:rPr>
        <w:t xml:space="preserve"> when managing their IRRBB institutions should:</w:t>
      </w:r>
    </w:p>
    <w:p w14:paraId="16C5D7B7" w14:textId="77777777" w:rsidR="00271777" w:rsidRPr="00C85864" w:rsidRDefault="00271777" w:rsidP="00271777">
      <w:pPr>
        <w:pStyle w:val="ListParagraph"/>
        <w:numPr>
          <w:ilvl w:val="0"/>
          <w:numId w:val="3"/>
        </w:numPr>
        <w:spacing w:before="120" w:line="360" w:lineRule="auto"/>
        <w:ind w:left="993"/>
        <w:jc w:val="both"/>
        <w:rPr>
          <w:rFonts w:ascii="Times New Roman" w:hAnsi="Times New Roman" w:cs="Times New Roman"/>
          <w:i/>
        </w:rPr>
      </w:pPr>
      <w:r>
        <w:rPr>
          <w:rFonts w:ascii="Times New Roman" w:hAnsi="Times New Roman" w:cs="Times New Roman"/>
          <w:i/>
        </w:rPr>
        <w:t>“</w:t>
      </w:r>
      <w:proofErr w:type="gramStart"/>
      <w:r w:rsidRPr="003E1C2A">
        <w:rPr>
          <w:rFonts w:ascii="Times New Roman" w:hAnsi="Times New Roman"/>
          <w:i/>
        </w:rPr>
        <w:t>measure</w:t>
      </w:r>
      <w:proofErr w:type="gramEnd"/>
      <w:r w:rsidRPr="003E1C2A">
        <w:rPr>
          <w:rFonts w:ascii="Times New Roman" w:hAnsi="Times New Roman"/>
          <w:i/>
        </w:rPr>
        <w:t xml:space="preserve"> their exposure</w:t>
      </w:r>
      <w:r>
        <w:rPr>
          <w:rFonts w:ascii="Times New Roman" w:hAnsi="Times New Roman" w:cs="Times New Roman"/>
          <w:i/>
        </w:rPr>
        <w:t xml:space="preserve"> to IRRBB in terms of potential changes to both the economic value (EV) and earnings” </w:t>
      </w:r>
      <w:r w:rsidRPr="00BD2510">
        <w:rPr>
          <w:rFonts w:ascii="Times New Roman" w:hAnsi="Times New Roman" w:cs="Times New Roman"/>
        </w:rPr>
        <w:t>(paragraph 81)</w:t>
      </w:r>
      <w:r>
        <w:rPr>
          <w:rFonts w:ascii="Times New Roman" w:hAnsi="Times New Roman" w:cs="Times New Roman"/>
          <w:i/>
        </w:rPr>
        <w:t>;</w:t>
      </w:r>
    </w:p>
    <w:p w14:paraId="3EF15315" w14:textId="77777777" w:rsidR="00271777" w:rsidRDefault="00271777" w:rsidP="00271777">
      <w:pPr>
        <w:pStyle w:val="ListParagraph"/>
        <w:numPr>
          <w:ilvl w:val="0"/>
          <w:numId w:val="3"/>
        </w:numPr>
        <w:spacing w:before="120" w:line="360" w:lineRule="auto"/>
        <w:ind w:left="993"/>
        <w:jc w:val="both"/>
        <w:rPr>
          <w:rFonts w:ascii="Times New Roman" w:hAnsi="Times New Roman" w:cs="Times New Roman"/>
          <w:i/>
        </w:rPr>
      </w:pPr>
      <w:r>
        <w:rPr>
          <w:rFonts w:ascii="Times New Roman" w:hAnsi="Times New Roman" w:cs="Times New Roman"/>
          <w:i/>
        </w:rPr>
        <w:t xml:space="preserve">“(…) regularly, at least quarterly, </w:t>
      </w:r>
      <w:r w:rsidRPr="00066A65">
        <w:rPr>
          <w:rFonts w:ascii="Times New Roman" w:hAnsi="Times New Roman" w:cs="Times New Roman"/>
          <w:i/>
        </w:rPr>
        <w:t>calculate the impact on their EVE of a</w:t>
      </w:r>
      <w:r>
        <w:rPr>
          <w:rFonts w:ascii="Times New Roman" w:hAnsi="Times New Roman" w:cs="Times New Roman"/>
          <w:i/>
        </w:rPr>
        <w:t xml:space="preserve"> </w:t>
      </w:r>
      <w:r w:rsidRPr="00C85864">
        <w:rPr>
          <w:rFonts w:ascii="Times New Roman" w:hAnsi="Times New Roman" w:cs="Times New Roman"/>
          <w:i/>
        </w:rPr>
        <w:t>sudden parallel +/-200 basis points shift of the yield curve</w:t>
      </w:r>
      <w:r>
        <w:rPr>
          <w:rFonts w:ascii="Times New Roman" w:hAnsi="Times New Roman" w:cs="Times New Roman"/>
          <w:i/>
        </w:rPr>
        <w:t>”</w:t>
      </w:r>
      <w:r w:rsidRPr="009940E0">
        <w:rPr>
          <w:rFonts w:ascii="Times New Roman" w:hAnsi="Times New Roman" w:cs="Times New Roman"/>
          <w:i/>
        </w:rPr>
        <w:t xml:space="preserve"> </w:t>
      </w:r>
      <w:r w:rsidRPr="00BD2510">
        <w:rPr>
          <w:rFonts w:ascii="Times New Roman" w:hAnsi="Times New Roman" w:cs="Times New Roman"/>
        </w:rPr>
        <w:t>(paragraph 113</w:t>
      </w:r>
      <w:proofErr w:type="gramStart"/>
      <w:r w:rsidRPr="00BD2510">
        <w:rPr>
          <w:rFonts w:ascii="Times New Roman" w:hAnsi="Times New Roman" w:cs="Times New Roman"/>
        </w:rPr>
        <w:t>)</w:t>
      </w:r>
      <w:r>
        <w:rPr>
          <w:rFonts w:ascii="Times New Roman" w:hAnsi="Times New Roman" w:cs="Times New Roman"/>
          <w:i/>
        </w:rPr>
        <w:t>;</w:t>
      </w:r>
      <w:proofErr w:type="gramEnd"/>
    </w:p>
    <w:p w14:paraId="4B0D3108" w14:textId="77777777" w:rsidR="00271777" w:rsidRPr="00C85864" w:rsidRDefault="00271777" w:rsidP="00271777">
      <w:pPr>
        <w:pStyle w:val="ListParagraph"/>
        <w:numPr>
          <w:ilvl w:val="0"/>
          <w:numId w:val="3"/>
        </w:numPr>
        <w:spacing w:before="120" w:line="360" w:lineRule="auto"/>
        <w:ind w:left="993"/>
        <w:jc w:val="both"/>
        <w:rPr>
          <w:rFonts w:ascii="Times New Roman" w:hAnsi="Times New Roman" w:cs="Times New Roman"/>
          <w:i/>
        </w:rPr>
      </w:pPr>
      <w:r>
        <w:rPr>
          <w:rFonts w:ascii="Times New Roman" w:hAnsi="Times New Roman" w:cs="Times New Roman"/>
          <w:i/>
        </w:rPr>
        <w:t>“</w:t>
      </w:r>
      <w:proofErr w:type="gramStart"/>
      <w:r w:rsidRPr="00066A65">
        <w:rPr>
          <w:rFonts w:ascii="Times New Roman" w:hAnsi="Times New Roman" w:cs="Times New Roman"/>
          <w:i/>
        </w:rPr>
        <w:t>regularly</w:t>
      </w:r>
      <w:proofErr w:type="gramEnd"/>
      <w:r w:rsidRPr="00066A65">
        <w:rPr>
          <w:rFonts w:ascii="Times New Roman" w:hAnsi="Times New Roman" w:cs="Times New Roman"/>
          <w:i/>
        </w:rPr>
        <w:t>, at least quarterly, calculate the impact on their EVE of interest rate shocks, applying scenarios 1 to 6 as set out in Annex III</w:t>
      </w:r>
      <w:r>
        <w:rPr>
          <w:rFonts w:ascii="Times New Roman" w:hAnsi="Times New Roman" w:cs="Times New Roman"/>
          <w:i/>
        </w:rPr>
        <w:t xml:space="preserve">” </w:t>
      </w:r>
      <w:r w:rsidRPr="00BD2510">
        <w:rPr>
          <w:rFonts w:ascii="Times New Roman" w:hAnsi="Times New Roman" w:cs="Times New Roman"/>
        </w:rPr>
        <w:t>(paragraph 114</w:t>
      </w:r>
      <w:r w:rsidRPr="00BD2510">
        <w:rPr>
          <w:rFonts w:ascii="Times New Roman" w:hAnsi="Times New Roman"/>
        </w:rPr>
        <w:t>)</w:t>
      </w:r>
      <w:r w:rsidRPr="003E1C2A">
        <w:rPr>
          <w:rFonts w:ascii="Times New Roman" w:hAnsi="Times New Roman"/>
          <w:i/>
        </w:rPr>
        <w:t>;</w:t>
      </w:r>
    </w:p>
    <w:p w14:paraId="541EE908"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r>
        <w:rPr>
          <w:rFonts w:ascii="Times New Roman" w:hAnsi="Times New Roman" w:cs="Times New Roman"/>
        </w:rPr>
        <w:t>The GL also state that “</w:t>
      </w:r>
      <w:r w:rsidRPr="0071652C">
        <w:rPr>
          <w:rFonts w:ascii="Times New Roman" w:hAnsi="Times New Roman" w:cs="Times New Roman"/>
          <w:i/>
        </w:rPr>
        <w:t>Institutions should demonstrate that their internal capital is commensurate with the level of the interest rate risk in their banking book</w:t>
      </w:r>
      <w:r>
        <w:rPr>
          <w:rFonts w:ascii="Times New Roman" w:hAnsi="Times New Roman" w:cs="Times New Roman"/>
        </w:rPr>
        <w:t>” (paragraph 23)</w:t>
      </w:r>
      <w:r w:rsidRPr="00430F45">
        <w:rPr>
          <w:rFonts w:ascii="Times New Roman" w:hAnsi="Times New Roman" w:cs="Times New Roman"/>
          <w:sz w:val="16"/>
        </w:rPr>
        <w:t>.</w:t>
      </w:r>
    </w:p>
    <w:p w14:paraId="40DEABAD"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r>
        <w:rPr>
          <w:rFonts w:ascii="Times New Roman" w:hAnsi="Times New Roman" w:cs="Times New Roman"/>
        </w:rPr>
        <w:t xml:space="preserve">Hence the current IRRBB </w:t>
      </w:r>
      <w:r w:rsidRPr="00A54DF2">
        <w:rPr>
          <w:rFonts w:ascii="Times New Roman" w:hAnsi="Times New Roman" w:cs="Times New Roman"/>
        </w:rPr>
        <w:t xml:space="preserve">templates are </w:t>
      </w:r>
      <w:r>
        <w:rPr>
          <w:rFonts w:ascii="Times New Roman" w:hAnsi="Times New Roman" w:cs="Times New Roman"/>
        </w:rPr>
        <w:t xml:space="preserve">designed </w:t>
      </w:r>
      <w:r w:rsidRPr="00A54DF2">
        <w:rPr>
          <w:rFonts w:ascii="Times New Roman" w:hAnsi="Times New Roman" w:cs="Times New Roman"/>
        </w:rPr>
        <w:t xml:space="preserve">for gathering information which institutions should routinely </w:t>
      </w:r>
      <w:r>
        <w:rPr>
          <w:rFonts w:ascii="Times New Roman" w:hAnsi="Times New Roman" w:cs="Times New Roman"/>
        </w:rPr>
        <w:t xml:space="preserve">prepare, </w:t>
      </w:r>
      <w:r w:rsidRPr="00A54DF2">
        <w:rPr>
          <w:rFonts w:ascii="Times New Roman" w:hAnsi="Times New Roman" w:cs="Times New Roman"/>
        </w:rPr>
        <w:t xml:space="preserve">measure and/or </w:t>
      </w:r>
      <w:r>
        <w:rPr>
          <w:rFonts w:ascii="Times New Roman" w:hAnsi="Times New Roman" w:cs="Times New Roman"/>
        </w:rPr>
        <w:t>m</w:t>
      </w:r>
      <w:r w:rsidRPr="00A54DF2">
        <w:rPr>
          <w:rFonts w:ascii="Times New Roman" w:hAnsi="Times New Roman" w:cs="Times New Roman"/>
        </w:rPr>
        <w:t>andatorily report to the competent authority</w:t>
      </w:r>
      <w:r w:rsidRPr="00430F45">
        <w:rPr>
          <w:rFonts w:ascii="Times New Roman" w:hAnsi="Times New Roman" w:cs="Times New Roman"/>
          <w:sz w:val="16"/>
        </w:rPr>
        <w:t>.</w:t>
      </w:r>
    </w:p>
    <w:p w14:paraId="396CE889" w14:textId="77777777" w:rsidR="00271777" w:rsidRPr="00C85864" w:rsidRDefault="00271777" w:rsidP="00271777">
      <w:pPr>
        <w:pStyle w:val="ListParagraph"/>
        <w:numPr>
          <w:ilvl w:val="0"/>
          <w:numId w:val="2"/>
        </w:numPr>
        <w:spacing w:before="120" w:line="360" w:lineRule="auto"/>
        <w:ind w:left="426"/>
        <w:jc w:val="both"/>
        <w:rPr>
          <w:rFonts w:ascii="Times New Roman" w:hAnsi="Times New Roman" w:cs="Times New Roman"/>
        </w:rPr>
      </w:pPr>
      <w:r w:rsidRPr="007D417B">
        <w:rPr>
          <w:rFonts w:ascii="Times New Roman" w:hAnsi="Times New Roman" w:cs="Times New Roman"/>
        </w:rPr>
        <w:t xml:space="preserve">The data points included in the STE for SREP data collection may arise from direct application of provisions included in the EBA/GL/2018/02 such as paragraphs 113 and 114 for the calculation of the change in economic value, or from institutions’ own internal methodologies, </w:t>
      </w:r>
      <w:proofErr w:type="gramStart"/>
      <w:r w:rsidRPr="007D417B">
        <w:rPr>
          <w:rFonts w:ascii="Times New Roman" w:hAnsi="Times New Roman" w:cs="Times New Roman"/>
        </w:rPr>
        <w:t>e</w:t>
      </w:r>
      <w:r w:rsidRPr="00430F45">
        <w:rPr>
          <w:rFonts w:ascii="Times New Roman" w:hAnsi="Times New Roman" w:cs="Times New Roman"/>
          <w:sz w:val="16"/>
        </w:rPr>
        <w:t>.</w:t>
      </w:r>
      <w:r w:rsidRPr="007D417B">
        <w:rPr>
          <w:rFonts w:ascii="Times New Roman" w:hAnsi="Times New Roman" w:cs="Times New Roman"/>
        </w:rPr>
        <w:t>g</w:t>
      </w:r>
      <w:r w:rsidRPr="00430F45">
        <w:rPr>
          <w:rFonts w:ascii="Times New Roman" w:hAnsi="Times New Roman" w:cs="Times New Roman"/>
          <w:sz w:val="16"/>
        </w:rPr>
        <w:t>.</w:t>
      </w:r>
      <w:proofErr w:type="gramEnd"/>
      <w:r w:rsidRPr="007D417B">
        <w:rPr>
          <w:rFonts w:ascii="Times New Roman" w:hAnsi="Times New Roman" w:cs="Times New Roman"/>
        </w:rPr>
        <w:t xml:space="preserve"> for the impact in net interest income and in earnings</w:t>
      </w:r>
      <w:r w:rsidRPr="00430F45">
        <w:rPr>
          <w:rFonts w:ascii="Times New Roman" w:hAnsi="Times New Roman" w:cs="Times New Roman"/>
          <w:sz w:val="16"/>
        </w:rPr>
        <w:t>.</w:t>
      </w:r>
    </w:p>
    <w:p w14:paraId="22219DB2" w14:textId="77777777" w:rsidR="00271777" w:rsidRPr="00FA1A1F" w:rsidRDefault="00271777" w:rsidP="00271777">
      <w:pPr>
        <w:pStyle w:val="Heading2"/>
        <w:spacing w:before="120" w:after="240" w:line="360" w:lineRule="auto"/>
        <w:ind w:left="720"/>
        <w:rPr>
          <w:rFonts w:ascii="Times New Roman" w:hAnsi="Times New Roman" w:cs="Times New Roman"/>
          <w:color w:val="auto"/>
        </w:rPr>
      </w:pPr>
      <w:bookmarkStart w:id="4" w:name="_Toc518916487"/>
      <w:bookmarkStart w:id="5" w:name="_Toc11660158"/>
      <w:r w:rsidRPr="00FA1A1F">
        <w:rPr>
          <w:rFonts w:ascii="Times New Roman" w:hAnsi="Times New Roman" w:cs="Times New Roman"/>
          <w:color w:val="auto"/>
        </w:rPr>
        <w:t>Reference date</w:t>
      </w:r>
      <w:bookmarkEnd w:id="4"/>
      <w:bookmarkEnd w:id="5"/>
    </w:p>
    <w:p w14:paraId="7EAB8BE7" w14:textId="77777777" w:rsidR="00271777" w:rsidRPr="00FA1A1F" w:rsidRDefault="00271777" w:rsidP="00271777">
      <w:pPr>
        <w:pStyle w:val="ListParagraph"/>
        <w:numPr>
          <w:ilvl w:val="0"/>
          <w:numId w:val="2"/>
        </w:numPr>
        <w:spacing w:before="120" w:line="360" w:lineRule="auto"/>
        <w:ind w:left="426"/>
        <w:jc w:val="both"/>
        <w:rPr>
          <w:rFonts w:ascii="Times New Roman" w:hAnsi="Times New Roman" w:cs="Times New Roman"/>
        </w:rPr>
      </w:pPr>
      <w:r w:rsidRPr="00FA1A1F">
        <w:rPr>
          <w:rFonts w:ascii="Times New Roman" w:hAnsi="Times New Roman" w:cs="Times New Roman"/>
        </w:rPr>
        <w:t xml:space="preserve">Data is requested with respect to </w:t>
      </w:r>
      <w:r>
        <w:rPr>
          <w:rFonts w:ascii="Times New Roman" w:hAnsi="Times New Roman" w:cs="Times New Roman"/>
        </w:rPr>
        <w:t xml:space="preserve">the selected </w:t>
      </w:r>
      <w:r w:rsidRPr="00FA1A1F">
        <w:rPr>
          <w:rFonts w:ascii="Times New Roman" w:hAnsi="Times New Roman" w:cs="Times New Roman"/>
        </w:rPr>
        <w:t>reference date</w:t>
      </w:r>
      <w:r>
        <w:rPr>
          <w:rFonts w:ascii="Times New Roman" w:hAnsi="Times New Roman" w:cs="Times New Roman"/>
        </w:rPr>
        <w:t xml:space="preserve"> in the </w:t>
      </w:r>
      <w:proofErr w:type="gramStart"/>
      <w:r>
        <w:rPr>
          <w:rFonts w:ascii="Times New Roman" w:hAnsi="Times New Roman" w:cs="Times New Roman"/>
        </w:rPr>
        <w:t>drop down</w:t>
      </w:r>
      <w:proofErr w:type="gramEnd"/>
      <w:r>
        <w:rPr>
          <w:rFonts w:ascii="Times New Roman" w:hAnsi="Times New Roman" w:cs="Times New Roman"/>
        </w:rPr>
        <w:t xml:space="preserve"> menu in cell C14 of template “0_Identification”</w:t>
      </w:r>
      <w:r w:rsidRPr="00430F45">
        <w:rPr>
          <w:rFonts w:ascii="Times New Roman" w:hAnsi="Times New Roman" w:cs="Times New Roman"/>
          <w:sz w:val="16"/>
        </w:rPr>
        <w:t>.</w:t>
      </w:r>
    </w:p>
    <w:p w14:paraId="16231FBF" w14:textId="77777777" w:rsidR="00271777" w:rsidRPr="00FA1A1F" w:rsidRDefault="00271777" w:rsidP="00271777">
      <w:pPr>
        <w:pStyle w:val="Heading2"/>
        <w:spacing w:before="120" w:after="240" w:line="360" w:lineRule="auto"/>
        <w:ind w:left="720"/>
        <w:rPr>
          <w:rFonts w:ascii="Times New Roman" w:hAnsi="Times New Roman" w:cs="Times New Roman"/>
          <w:color w:val="auto"/>
        </w:rPr>
      </w:pPr>
      <w:bookmarkStart w:id="6" w:name="_Toc518916488"/>
      <w:bookmarkStart w:id="7" w:name="_Toc11660159"/>
      <w:r w:rsidRPr="00FA1A1F">
        <w:rPr>
          <w:rFonts w:ascii="Times New Roman" w:hAnsi="Times New Roman" w:cs="Times New Roman"/>
          <w:color w:val="auto"/>
        </w:rPr>
        <w:t>Reporting units</w:t>
      </w:r>
      <w:bookmarkEnd w:id="6"/>
      <w:bookmarkEnd w:id="7"/>
    </w:p>
    <w:p w14:paraId="5C859B68" w14:textId="77777777" w:rsidR="00271777" w:rsidRPr="005B35B4" w:rsidRDefault="00271777" w:rsidP="00271777">
      <w:pPr>
        <w:pStyle w:val="ListParagraph"/>
        <w:numPr>
          <w:ilvl w:val="0"/>
          <w:numId w:val="2"/>
        </w:numPr>
        <w:spacing w:before="120" w:line="360" w:lineRule="auto"/>
        <w:ind w:left="426"/>
        <w:jc w:val="both"/>
        <w:rPr>
          <w:rFonts w:ascii="Times New Roman" w:hAnsi="Times New Roman" w:cs="Times New Roman"/>
        </w:rPr>
      </w:pPr>
      <w:r w:rsidRPr="005B35B4">
        <w:rPr>
          <w:rFonts w:ascii="Times New Roman" w:hAnsi="Times New Roman" w:cs="Times New Roman"/>
        </w:rPr>
        <w:t>The required data points may</w:t>
      </w:r>
      <w:r>
        <w:rPr>
          <w:rFonts w:ascii="Times New Roman" w:hAnsi="Times New Roman" w:cs="Times New Roman"/>
        </w:rPr>
        <w:t xml:space="preserve"> </w:t>
      </w:r>
      <w:r w:rsidRPr="005B35B4">
        <w:rPr>
          <w:rFonts w:ascii="Times New Roman" w:hAnsi="Times New Roman" w:cs="Times New Roman"/>
        </w:rPr>
        <w:t>be qualitative or quantitative</w:t>
      </w:r>
      <w:r w:rsidRPr="00430F45">
        <w:rPr>
          <w:rFonts w:ascii="Times New Roman" w:hAnsi="Times New Roman" w:cs="Times New Roman"/>
          <w:sz w:val="16"/>
        </w:rPr>
        <w:t>.</w:t>
      </w:r>
    </w:p>
    <w:p w14:paraId="0CA7C764"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r w:rsidRPr="00154049">
        <w:rPr>
          <w:rFonts w:ascii="Times New Roman" w:hAnsi="Times New Roman" w:cs="Times New Roman"/>
        </w:rPr>
        <w:lastRenderedPageBreak/>
        <w:t>Unless mentioned otherwise, the reporting units for quantitative data are thousands of euros</w:t>
      </w:r>
      <w:r w:rsidRPr="00430F45">
        <w:rPr>
          <w:rFonts w:ascii="Times New Roman" w:hAnsi="Times New Roman" w:cs="Times New Roman"/>
          <w:sz w:val="16"/>
        </w:rPr>
        <w:t>.</w:t>
      </w:r>
      <w:r w:rsidRPr="00154049">
        <w:rPr>
          <w:rFonts w:ascii="Times New Roman" w:hAnsi="Times New Roman" w:cs="Times New Roman"/>
        </w:rPr>
        <w:t xml:space="preserve"> In these cases, a data point with the value 1000 is 1 million euros</w:t>
      </w:r>
      <w:r w:rsidRPr="00430F45">
        <w:rPr>
          <w:rFonts w:ascii="Times New Roman" w:hAnsi="Times New Roman" w:cs="Times New Roman"/>
          <w:sz w:val="16"/>
        </w:rPr>
        <w:t>.</w:t>
      </w:r>
    </w:p>
    <w:p w14:paraId="1B98FC4E" w14:textId="77777777" w:rsidR="00271777" w:rsidRPr="008A7EEF" w:rsidRDefault="00271777" w:rsidP="00271777">
      <w:pPr>
        <w:pStyle w:val="ListParagraph"/>
        <w:numPr>
          <w:ilvl w:val="0"/>
          <w:numId w:val="2"/>
        </w:numPr>
        <w:spacing w:before="120" w:line="360" w:lineRule="auto"/>
        <w:ind w:left="426"/>
        <w:jc w:val="both"/>
        <w:rPr>
          <w:rFonts w:ascii="Times New Roman" w:hAnsi="Times New Roman" w:cs="Times New Roman"/>
        </w:rPr>
      </w:pPr>
      <w:r w:rsidRPr="00154049">
        <w:rPr>
          <w:rFonts w:ascii="Times New Roman" w:hAnsi="Times New Roman" w:cs="Times New Roman"/>
        </w:rPr>
        <w:t xml:space="preserve">Other data points may be reported in </w:t>
      </w:r>
      <w:r>
        <w:rPr>
          <w:rFonts w:ascii="Times New Roman" w:hAnsi="Times New Roman" w:cs="Times New Roman"/>
        </w:rPr>
        <w:t>basis points</w:t>
      </w:r>
      <w:r w:rsidRPr="00154049">
        <w:rPr>
          <w:rFonts w:ascii="Times New Roman" w:hAnsi="Times New Roman" w:cs="Times New Roman"/>
        </w:rPr>
        <w:t xml:space="preserve"> </w:t>
      </w:r>
      <w:r>
        <w:rPr>
          <w:rFonts w:ascii="Times New Roman" w:hAnsi="Times New Roman" w:cs="Times New Roman"/>
        </w:rPr>
        <w:t xml:space="preserve">or in percentage </w:t>
      </w:r>
      <w:r w:rsidRPr="00154049">
        <w:rPr>
          <w:rFonts w:ascii="Times New Roman" w:hAnsi="Times New Roman" w:cs="Times New Roman"/>
        </w:rPr>
        <w:t xml:space="preserve">as an outcome of </w:t>
      </w:r>
      <w:r>
        <w:rPr>
          <w:rFonts w:ascii="Times New Roman" w:hAnsi="Times New Roman" w:cs="Times New Roman"/>
        </w:rPr>
        <w:t xml:space="preserve">a </w:t>
      </w:r>
      <w:r w:rsidRPr="00154049">
        <w:rPr>
          <w:rFonts w:ascii="Times New Roman" w:hAnsi="Times New Roman" w:cs="Times New Roman"/>
        </w:rPr>
        <w:t>formula</w:t>
      </w:r>
      <w:r w:rsidRPr="00430F45">
        <w:rPr>
          <w:rFonts w:ascii="Times New Roman" w:hAnsi="Times New Roman" w:cs="Times New Roman"/>
          <w:sz w:val="16"/>
        </w:rPr>
        <w:t>.</w:t>
      </w:r>
      <w:r>
        <w:rPr>
          <w:rFonts w:ascii="Times New Roman" w:hAnsi="Times New Roman" w:cs="Times New Roman"/>
        </w:rPr>
        <w:t xml:space="preserve"> </w:t>
      </w:r>
    </w:p>
    <w:p w14:paraId="5713FFEC" w14:textId="77777777" w:rsidR="00271777" w:rsidRPr="00FA1A1F" w:rsidRDefault="00271777" w:rsidP="00271777">
      <w:pPr>
        <w:pStyle w:val="Heading2"/>
        <w:spacing w:before="120" w:after="240" w:line="360" w:lineRule="auto"/>
        <w:ind w:left="720"/>
        <w:rPr>
          <w:rFonts w:ascii="Times New Roman" w:hAnsi="Times New Roman" w:cs="Times New Roman"/>
          <w:color w:val="auto"/>
        </w:rPr>
      </w:pPr>
      <w:bookmarkStart w:id="8" w:name="_Toc518916489"/>
      <w:bookmarkStart w:id="9" w:name="_Toc11660160"/>
      <w:r w:rsidRPr="00FA1A1F">
        <w:rPr>
          <w:rFonts w:ascii="Times New Roman" w:hAnsi="Times New Roman" w:cs="Times New Roman"/>
          <w:color w:val="auto"/>
        </w:rPr>
        <w:t>Data</w:t>
      </w:r>
      <w:bookmarkEnd w:id="8"/>
      <w:bookmarkEnd w:id="9"/>
    </w:p>
    <w:p w14:paraId="354DD46E"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r w:rsidRPr="00FA1A1F">
        <w:rPr>
          <w:rFonts w:ascii="Times New Roman" w:hAnsi="Times New Roman" w:cs="Times New Roman"/>
        </w:rPr>
        <w:t>This data request addresses all institutions on a ‘best effort basis’</w:t>
      </w:r>
      <w:r>
        <w:rPr>
          <w:rFonts w:ascii="Times New Roman" w:hAnsi="Times New Roman" w:cs="Times New Roman"/>
        </w:rPr>
        <w:t xml:space="preserve"> but </w:t>
      </w:r>
      <w:proofErr w:type="gramStart"/>
      <w:r>
        <w:rPr>
          <w:rFonts w:ascii="Times New Roman" w:hAnsi="Times New Roman" w:cs="Times New Roman"/>
        </w:rPr>
        <w:t>a</w:t>
      </w:r>
      <w:r w:rsidRPr="000601AE">
        <w:rPr>
          <w:rFonts w:ascii="Times New Roman" w:hAnsi="Times New Roman" w:cs="Times New Roman"/>
        </w:rPr>
        <w:t>s a general rule</w:t>
      </w:r>
      <w:proofErr w:type="gramEnd"/>
      <w:r w:rsidRPr="000601AE">
        <w:rPr>
          <w:rFonts w:ascii="Times New Roman" w:hAnsi="Times New Roman" w:cs="Times New Roman"/>
        </w:rPr>
        <w:t xml:space="preserve">, all cells </w:t>
      </w:r>
      <w:r>
        <w:rPr>
          <w:rFonts w:ascii="Times New Roman" w:hAnsi="Times New Roman" w:cs="Times New Roman"/>
        </w:rPr>
        <w:t>should</w:t>
      </w:r>
      <w:r w:rsidRPr="000601AE">
        <w:rPr>
          <w:rFonts w:ascii="Times New Roman" w:hAnsi="Times New Roman" w:cs="Times New Roman"/>
        </w:rPr>
        <w:t xml:space="preserve"> be filled</w:t>
      </w:r>
      <w:r>
        <w:rPr>
          <w:rFonts w:ascii="Times New Roman" w:hAnsi="Times New Roman" w:cs="Times New Roman"/>
        </w:rPr>
        <w:t xml:space="preserve"> taking into account the rules applicable to each template</w:t>
      </w:r>
      <w:r w:rsidRPr="00430F45">
        <w:rPr>
          <w:rFonts w:ascii="Times New Roman" w:hAnsi="Times New Roman" w:cs="Times New Roman"/>
          <w:sz w:val="16"/>
        </w:rPr>
        <w:t>.</w:t>
      </w:r>
    </w:p>
    <w:p w14:paraId="05DB55AF" w14:textId="77777777" w:rsidR="00271777" w:rsidRPr="0097593A" w:rsidRDefault="00271777" w:rsidP="00271777">
      <w:pPr>
        <w:pStyle w:val="ListParagraph"/>
        <w:numPr>
          <w:ilvl w:val="0"/>
          <w:numId w:val="2"/>
        </w:numPr>
        <w:spacing w:before="120" w:line="360" w:lineRule="auto"/>
        <w:ind w:left="426"/>
        <w:jc w:val="both"/>
        <w:rPr>
          <w:rFonts w:ascii="Times New Roman" w:hAnsi="Times New Roman" w:cs="Times New Roman"/>
          <w:b/>
          <w:color w:val="2038EC"/>
        </w:rPr>
      </w:pPr>
      <w:r w:rsidRPr="00FA1A1F">
        <w:rPr>
          <w:rFonts w:ascii="Times New Roman" w:hAnsi="Times New Roman" w:cs="Times New Roman"/>
        </w:rPr>
        <w:t xml:space="preserve">The data should be reported in the templates </w:t>
      </w:r>
      <w:r>
        <w:rPr>
          <w:rFonts w:ascii="Times New Roman" w:hAnsi="Times New Roman" w:cs="Times New Roman"/>
        </w:rPr>
        <w:t xml:space="preserve">within the </w:t>
      </w:r>
      <w:r w:rsidRPr="0097593A">
        <w:rPr>
          <w:rFonts w:ascii="Times New Roman" w:hAnsi="Times New Roman" w:cs="Times New Roman"/>
        </w:rPr>
        <w:t xml:space="preserve">Excel file </w:t>
      </w:r>
      <w:r w:rsidRPr="0097593A">
        <w:rPr>
          <w:rFonts w:ascii="Times New Roman" w:hAnsi="Times New Roman"/>
          <w:b/>
          <w:color w:val="1F497D" w:themeColor="text2"/>
        </w:rPr>
        <w:t>05 – YYYY QX SREP IRRBB</w:t>
      </w:r>
      <w:r w:rsidRPr="0097593A">
        <w:rPr>
          <w:rFonts w:ascii="Times New Roman" w:hAnsi="Times New Roman"/>
          <w:b/>
          <w:color w:val="1F497D" w:themeColor="text2"/>
          <w:sz w:val="16"/>
        </w:rPr>
        <w:t>.</w:t>
      </w:r>
      <w:r w:rsidRPr="0097593A">
        <w:rPr>
          <w:rFonts w:ascii="Times New Roman" w:hAnsi="Times New Roman"/>
          <w:b/>
          <w:color w:val="1F497D" w:themeColor="text2"/>
        </w:rPr>
        <w:t>xlsx</w:t>
      </w:r>
      <w:r w:rsidRPr="0097593A">
        <w:rPr>
          <w:rFonts w:ascii="Times New Roman" w:hAnsi="Times New Roman" w:cs="Times New Roman"/>
          <w:b/>
          <w:color w:val="2038EC"/>
          <w:sz w:val="16"/>
        </w:rPr>
        <w:t>.</w:t>
      </w:r>
    </w:p>
    <w:p w14:paraId="4A72C642" w14:textId="77777777" w:rsidR="00271777" w:rsidRPr="00777C0F" w:rsidRDefault="00271777" w:rsidP="00271777">
      <w:pPr>
        <w:pStyle w:val="ListParagraph"/>
        <w:numPr>
          <w:ilvl w:val="0"/>
          <w:numId w:val="2"/>
        </w:numPr>
        <w:spacing w:before="120" w:line="360" w:lineRule="auto"/>
        <w:ind w:left="426"/>
        <w:jc w:val="both"/>
        <w:rPr>
          <w:rFonts w:ascii="Times New Roman" w:hAnsi="Times New Roman" w:cs="Times New Roman"/>
        </w:rPr>
      </w:pPr>
      <w:r w:rsidRPr="00777C0F">
        <w:rPr>
          <w:rFonts w:ascii="Times New Roman" w:hAnsi="Times New Roman" w:cs="Times New Roman"/>
        </w:rPr>
        <w:t>Only the cells marked in yellow should be filled</w:t>
      </w:r>
      <w:r w:rsidRPr="00430F45">
        <w:rPr>
          <w:rFonts w:ascii="Times New Roman" w:hAnsi="Times New Roman" w:cs="Times New Roman"/>
          <w:sz w:val="16"/>
        </w:rPr>
        <w:t>.</w:t>
      </w:r>
      <w:r>
        <w:rPr>
          <w:rFonts w:ascii="Times New Roman" w:hAnsi="Times New Roman" w:cs="Times New Roman"/>
        </w:rPr>
        <w:t xml:space="preserve"> </w:t>
      </w:r>
      <w:r w:rsidRPr="00777C0F">
        <w:rPr>
          <w:rFonts w:ascii="Times New Roman" w:hAnsi="Times New Roman" w:cs="Times New Roman"/>
        </w:rPr>
        <w:t>It is highly recommended that:</w:t>
      </w:r>
    </w:p>
    <w:p w14:paraId="302CA7D8" w14:textId="77777777" w:rsidR="00271777" w:rsidRDefault="00271777" w:rsidP="00271777">
      <w:pPr>
        <w:pStyle w:val="ListParagraph"/>
        <w:numPr>
          <w:ilvl w:val="1"/>
          <w:numId w:val="2"/>
        </w:numPr>
        <w:spacing w:before="120" w:line="360" w:lineRule="auto"/>
        <w:jc w:val="both"/>
        <w:rPr>
          <w:rFonts w:ascii="Times New Roman" w:hAnsi="Times New Roman" w:cs="Times New Roman"/>
        </w:rPr>
      </w:pPr>
      <w:r>
        <w:rPr>
          <w:rFonts w:ascii="Times New Roman" w:hAnsi="Times New Roman" w:cs="Times New Roman"/>
        </w:rPr>
        <w:t xml:space="preserve">none of the yellow cells be left </w:t>
      </w:r>
      <w:proofErr w:type="gramStart"/>
      <w:r>
        <w:rPr>
          <w:rFonts w:ascii="Times New Roman" w:hAnsi="Times New Roman" w:cs="Times New Roman"/>
        </w:rPr>
        <w:t>blank;</w:t>
      </w:r>
      <w:proofErr w:type="gramEnd"/>
    </w:p>
    <w:p w14:paraId="3C2FE974" w14:textId="77777777" w:rsidR="00271777" w:rsidRDefault="00271777" w:rsidP="00271777">
      <w:pPr>
        <w:pStyle w:val="ListParagraph"/>
        <w:numPr>
          <w:ilvl w:val="1"/>
          <w:numId w:val="2"/>
        </w:numPr>
        <w:spacing w:before="120" w:line="360" w:lineRule="auto"/>
        <w:jc w:val="both"/>
        <w:rPr>
          <w:rFonts w:ascii="Times New Roman" w:hAnsi="Times New Roman" w:cs="Times New Roman"/>
        </w:rPr>
      </w:pPr>
      <w:r>
        <w:rPr>
          <w:rFonts w:ascii="Times New Roman" w:hAnsi="Times New Roman" w:cs="Times New Roman"/>
        </w:rPr>
        <w:t xml:space="preserve">zeros (“0”) are reported only when the underlying value </w:t>
      </w:r>
      <w:proofErr w:type="gramStart"/>
      <w:r>
        <w:rPr>
          <w:rFonts w:ascii="Times New Roman" w:hAnsi="Times New Roman" w:cs="Times New Roman"/>
        </w:rPr>
        <w:t>actually is</w:t>
      </w:r>
      <w:proofErr w:type="gramEnd"/>
      <w:r>
        <w:rPr>
          <w:rFonts w:ascii="Times New Roman" w:hAnsi="Times New Roman" w:cs="Times New Roman"/>
        </w:rPr>
        <w:t xml:space="preserve"> zero</w:t>
      </w:r>
      <w:r w:rsidRPr="00430F45">
        <w:rPr>
          <w:rFonts w:ascii="Times New Roman" w:hAnsi="Times New Roman" w:cs="Times New Roman"/>
          <w:sz w:val="16"/>
        </w:rPr>
        <w:t>.</w:t>
      </w:r>
    </w:p>
    <w:p w14:paraId="151BD4C5"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r>
        <w:rPr>
          <w:rFonts w:ascii="Times New Roman" w:hAnsi="Times New Roman" w:cs="Times New Roman"/>
        </w:rPr>
        <w:t xml:space="preserve">The cells marked in amber are only applicable according to the number of material currencies present in the institution’s banking </w:t>
      </w:r>
      <w:proofErr w:type="gramStart"/>
      <w:r>
        <w:rPr>
          <w:rFonts w:ascii="Times New Roman" w:hAnsi="Times New Roman" w:cs="Times New Roman"/>
        </w:rPr>
        <w:t>book, and</w:t>
      </w:r>
      <w:proofErr w:type="gramEnd"/>
      <w:r>
        <w:rPr>
          <w:rFonts w:ascii="Times New Roman" w:hAnsi="Times New Roman" w:cs="Times New Roman"/>
        </w:rPr>
        <w:t xml:space="preserve"> are dependent on the data that the institution inputs on the </w:t>
      </w:r>
      <w:r w:rsidRPr="00C85864">
        <w:rPr>
          <w:rFonts w:ascii="Times New Roman" w:eastAsiaTheme="majorEastAsia" w:hAnsi="Times New Roman" w:cs="Times New Roman"/>
          <w:b/>
          <w:color w:val="1F497D" w:themeColor="text2"/>
          <w:szCs w:val="24"/>
        </w:rPr>
        <w:t>Template 0</w:t>
      </w:r>
      <w:r w:rsidRPr="00430F45">
        <w:rPr>
          <w:rFonts w:ascii="Times New Roman" w:eastAsiaTheme="majorEastAsia" w:hAnsi="Times New Roman" w:cs="Times New Roman"/>
          <w:b/>
          <w:color w:val="1F497D" w:themeColor="text2"/>
          <w:sz w:val="16"/>
          <w:szCs w:val="24"/>
        </w:rPr>
        <w:t>.</w:t>
      </w:r>
      <w:r w:rsidRPr="00C85864">
        <w:rPr>
          <w:rFonts w:ascii="Times New Roman" w:eastAsiaTheme="majorEastAsia" w:hAnsi="Times New Roman" w:cs="Times New Roman"/>
          <w:b/>
          <w:color w:val="1F497D" w:themeColor="text2"/>
          <w:szCs w:val="24"/>
        </w:rPr>
        <w:t xml:space="preserve"> Identification</w:t>
      </w:r>
      <w:r w:rsidRPr="00430F45">
        <w:rPr>
          <w:rFonts w:ascii="Times New Roman" w:eastAsiaTheme="majorEastAsia" w:hAnsi="Times New Roman" w:cs="Times New Roman"/>
          <w:b/>
          <w:color w:val="1F497D" w:themeColor="text2"/>
          <w:sz w:val="16"/>
          <w:szCs w:val="24"/>
        </w:rPr>
        <w:t>.</w:t>
      </w:r>
    </w:p>
    <w:p w14:paraId="67BE43EF" w14:textId="77777777" w:rsidR="00271777" w:rsidRPr="00FA1A1F" w:rsidRDefault="00271777" w:rsidP="00271777">
      <w:pPr>
        <w:pStyle w:val="ListParagraph"/>
        <w:numPr>
          <w:ilvl w:val="0"/>
          <w:numId w:val="2"/>
        </w:numPr>
        <w:spacing w:before="120" w:line="360" w:lineRule="auto"/>
        <w:ind w:left="426"/>
        <w:jc w:val="both"/>
        <w:rPr>
          <w:rFonts w:ascii="Times New Roman" w:hAnsi="Times New Roman" w:cs="Times New Roman"/>
        </w:rPr>
      </w:pPr>
      <w:proofErr w:type="gramStart"/>
      <w:r>
        <w:rPr>
          <w:rFonts w:ascii="Times New Roman" w:hAnsi="Times New Roman" w:cs="Times New Roman"/>
        </w:rPr>
        <w:t>Therefore</w:t>
      </w:r>
      <w:proofErr w:type="gramEnd"/>
      <w:r>
        <w:rPr>
          <w:rFonts w:ascii="Times New Roman" w:hAnsi="Times New Roman" w:cs="Times New Roman"/>
        </w:rPr>
        <w:t xml:space="preserve"> w</w:t>
      </w:r>
      <w:r w:rsidRPr="00FA1A1F">
        <w:rPr>
          <w:rFonts w:ascii="Times New Roman" w:hAnsi="Times New Roman" w:cs="Times New Roman"/>
        </w:rPr>
        <w:t>hen</w:t>
      </w:r>
      <w:r>
        <w:rPr>
          <w:rFonts w:ascii="Times New Roman" w:hAnsi="Times New Roman" w:cs="Times New Roman"/>
        </w:rPr>
        <w:t>ever</w:t>
      </w:r>
      <w:r w:rsidRPr="00FA1A1F">
        <w:rPr>
          <w:rFonts w:ascii="Times New Roman" w:hAnsi="Times New Roman" w:cs="Times New Roman"/>
        </w:rPr>
        <w:t xml:space="preserve"> a certain phenomenon</w:t>
      </w:r>
      <w:r>
        <w:rPr>
          <w:rFonts w:ascii="Times New Roman" w:hAnsi="Times New Roman" w:cs="Times New Roman"/>
        </w:rPr>
        <w:t xml:space="preserve"> or data point</w:t>
      </w:r>
      <w:r w:rsidRPr="00FA1A1F">
        <w:rPr>
          <w:rFonts w:ascii="Times New Roman" w:hAnsi="Times New Roman" w:cs="Times New Roman"/>
        </w:rPr>
        <w:t>:</w:t>
      </w:r>
    </w:p>
    <w:p w14:paraId="094114C6" w14:textId="4F74FDF8" w:rsidR="00271777" w:rsidRPr="00FA1A1F" w:rsidRDefault="00271777" w:rsidP="00271777">
      <w:pPr>
        <w:pStyle w:val="ListParagraph"/>
        <w:numPr>
          <w:ilvl w:val="1"/>
          <w:numId w:val="2"/>
        </w:numPr>
        <w:spacing w:before="120" w:line="360" w:lineRule="auto"/>
        <w:ind w:left="993"/>
        <w:jc w:val="both"/>
        <w:rPr>
          <w:rFonts w:ascii="Times New Roman" w:hAnsi="Times New Roman" w:cs="Times New Roman"/>
        </w:rPr>
      </w:pPr>
      <w:r>
        <w:rPr>
          <w:rFonts w:ascii="Times New Roman" w:hAnsi="Times New Roman" w:cs="Times New Roman"/>
          <w:u w:val="single"/>
        </w:rPr>
        <w:t>i</w:t>
      </w:r>
      <w:r w:rsidRPr="00ED05BD">
        <w:rPr>
          <w:rFonts w:ascii="Times New Roman" w:hAnsi="Times New Roman" w:cs="Times New Roman"/>
          <w:u w:val="single"/>
        </w:rPr>
        <w:t xml:space="preserve">s </w:t>
      </w:r>
      <w:r w:rsidRPr="00FA1A1F">
        <w:rPr>
          <w:rFonts w:ascii="Times New Roman" w:hAnsi="Times New Roman" w:cs="Times New Roman"/>
          <w:u w:val="single"/>
        </w:rPr>
        <w:t xml:space="preserve">not applicable to the </w:t>
      </w:r>
      <w:r>
        <w:rPr>
          <w:rFonts w:ascii="Times New Roman" w:hAnsi="Times New Roman" w:cs="Times New Roman"/>
          <w:u w:val="single"/>
        </w:rPr>
        <w:t>institution</w:t>
      </w:r>
      <w:r w:rsidRPr="00FA1A1F">
        <w:rPr>
          <w:rFonts w:ascii="Times New Roman" w:hAnsi="Times New Roman" w:cs="Times New Roman"/>
        </w:rPr>
        <w:t xml:space="preserve">, </w:t>
      </w:r>
      <w:r>
        <w:rPr>
          <w:rFonts w:ascii="Times New Roman" w:hAnsi="Times New Roman" w:cs="Times New Roman"/>
        </w:rPr>
        <w:t>it should</w:t>
      </w:r>
      <w:r w:rsidRPr="00FA1A1F">
        <w:rPr>
          <w:rFonts w:ascii="Times New Roman" w:hAnsi="Times New Roman" w:cs="Times New Roman"/>
        </w:rPr>
        <w:t xml:space="preserve"> </w:t>
      </w:r>
      <w:r w:rsidR="00553F7F">
        <w:rPr>
          <w:rFonts w:ascii="Times New Roman" w:hAnsi="Times New Roman" w:cs="Times New Roman"/>
        </w:rPr>
        <w:t>leave</w:t>
      </w:r>
      <w:r w:rsidRPr="00FA1A1F">
        <w:rPr>
          <w:rFonts w:ascii="Times New Roman" w:hAnsi="Times New Roman" w:cs="Times New Roman"/>
        </w:rPr>
        <w:t xml:space="preserve"> the </w:t>
      </w:r>
      <w:r>
        <w:rPr>
          <w:rFonts w:ascii="Times New Roman" w:hAnsi="Times New Roman" w:cs="Times New Roman"/>
        </w:rPr>
        <w:t xml:space="preserve">respective </w:t>
      </w:r>
      <w:r w:rsidRPr="00FA1A1F">
        <w:rPr>
          <w:rFonts w:ascii="Times New Roman" w:hAnsi="Times New Roman" w:cs="Times New Roman"/>
        </w:rPr>
        <w:t xml:space="preserve">data point </w:t>
      </w:r>
      <w:r w:rsidR="003C026E">
        <w:rPr>
          <w:rFonts w:ascii="Times New Roman" w:hAnsi="Times New Roman" w:cs="Times New Roman"/>
        </w:rPr>
        <w:t>blank</w:t>
      </w:r>
      <w:r w:rsidR="006B5D5E">
        <w:rPr>
          <w:rFonts w:ascii="Times New Roman" w:hAnsi="Times New Roman" w:cs="Times New Roman"/>
        </w:rPr>
        <w:t xml:space="preserve"> and provide a comment in Template “01_Identification” in the box additional </w:t>
      </w:r>
      <w:proofErr w:type="gramStart"/>
      <w:r w:rsidR="006B5D5E">
        <w:rPr>
          <w:rFonts w:ascii="Times New Roman" w:hAnsi="Times New Roman" w:cs="Times New Roman"/>
        </w:rPr>
        <w:t>comments</w:t>
      </w:r>
      <w:r w:rsidRPr="00FA1A1F">
        <w:rPr>
          <w:rFonts w:ascii="Times New Roman" w:hAnsi="Times New Roman" w:cs="Times New Roman"/>
        </w:rPr>
        <w:t>;</w:t>
      </w:r>
      <w:proofErr w:type="gramEnd"/>
    </w:p>
    <w:p w14:paraId="20C6A774" w14:textId="11CF8520" w:rsidR="00271777" w:rsidRPr="00FA1A1F" w:rsidRDefault="00271777" w:rsidP="00271777">
      <w:pPr>
        <w:pStyle w:val="ListParagraph"/>
        <w:numPr>
          <w:ilvl w:val="1"/>
          <w:numId w:val="2"/>
        </w:numPr>
        <w:spacing w:before="120" w:line="360" w:lineRule="auto"/>
        <w:ind w:left="993"/>
        <w:jc w:val="both"/>
        <w:rPr>
          <w:rFonts w:ascii="Times New Roman" w:hAnsi="Times New Roman" w:cs="Times New Roman"/>
        </w:rPr>
      </w:pPr>
      <w:r>
        <w:rPr>
          <w:rFonts w:ascii="Times New Roman" w:hAnsi="Times New Roman" w:cs="Times New Roman"/>
          <w:u w:val="single"/>
        </w:rPr>
        <w:t>i</w:t>
      </w:r>
      <w:r w:rsidRPr="00FA1A1F">
        <w:rPr>
          <w:rFonts w:ascii="Times New Roman" w:hAnsi="Times New Roman" w:cs="Times New Roman"/>
          <w:u w:val="single"/>
        </w:rPr>
        <w:t xml:space="preserve">s applicable to the </w:t>
      </w:r>
      <w:r>
        <w:rPr>
          <w:rFonts w:ascii="Times New Roman" w:hAnsi="Times New Roman" w:cs="Times New Roman"/>
          <w:u w:val="single"/>
        </w:rPr>
        <w:t>institution</w:t>
      </w:r>
      <w:r w:rsidRPr="00FA1A1F">
        <w:rPr>
          <w:rFonts w:ascii="Times New Roman" w:hAnsi="Times New Roman" w:cs="Times New Roman"/>
          <w:u w:val="single"/>
        </w:rPr>
        <w:t xml:space="preserve"> but not reported in the current template</w:t>
      </w:r>
      <w:r w:rsidRPr="00FA1A1F">
        <w:rPr>
          <w:rFonts w:ascii="Times New Roman" w:hAnsi="Times New Roman" w:cs="Times New Roman"/>
        </w:rPr>
        <w:t xml:space="preserve">, </w:t>
      </w:r>
      <w:r>
        <w:rPr>
          <w:rFonts w:ascii="Times New Roman" w:hAnsi="Times New Roman" w:cs="Times New Roman"/>
        </w:rPr>
        <w:t>it should</w:t>
      </w:r>
      <w:r w:rsidRPr="00FA1A1F">
        <w:rPr>
          <w:rFonts w:ascii="Times New Roman" w:hAnsi="Times New Roman" w:cs="Times New Roman"/>
        </w:rPr>
        <w:t xml:space="preserve"> </w:t>
      </w:r>
      <w:r w:rsidR="007E15BD">
        <w:rPr>
          <w:rFonts w:ascii="Times New Roman" w:hAnsi="Times New Roman" w:cs="Times New Roman"/>
        </w:rPr>
        <w:t xml:space="preserve">leave the respective data point </w:t>
      </w:r>
      <w:r w:rsidR="003C026E">
        <w:rPr>
          <w:rFonts w:ascii="Times New Roman" w:hAnsi="Times New Roman" w:cs="Times New Roman"/>
        </w:rPr>
        <w:t>blank</w:t>
      </w:r>
      <w:r w:rsidRPr="00FA1A1F">
        <w:rPr>
          <w:rFonts w:ascii="Times New Roman" w:hAnsi="Times New Roman" w:cs="Times New Roman"/>
        </w:rPr>
        <w:t xml:space="preserve"> and include a justification in Template “</w:t>
      </w:r>
      <w:r>
        <w:rPr>
          <w:rFonts w:ascii="Times New Roman" w:hAnsi="Times New Roman" w:cs="Times New Roman"/>
        </w:rPr>
        <w:t>0_</w:t>
      </w:r>
      <w:r w:rsidRPr="00FA1A1F">
        <w:rPr>
          <w:rFonts w:ascii="Times New Roman" w:hAnsi="Times New Roman" w:cs="Times New Roman"/>
        </w:rPr>
        <w:t>Identification”</w:t>
      </w:r>
      <w:r>
        <w:rPr>
          <w:rFonts w:ascii="Times New Roman" w:hAnsi="Times New Roman" w:cs="Times New Roman"/>
        </w:rPr>
        <w:t xml:space="preserve"> in the box additional comments</w:t>
      </w:r>
      <w:r w:rsidRPr="00430F45">
        <w:rPr>
          <w:rFonts w:ascii="Times New Roman" w:hAnsi="Times New Roman" w:cs="Times New Roman"/>
          <w:sz w:val="16"/>
        </w:rPr>
        <w:t>.</w:t>
      </w:r>
    </w:p>
    <w:p w14:paraId="0012D779" w14:textId="77777777" w:rsidR="00271777" w:rsidRPr="00FA1A1F" w:rsidRDefault="00271777" w:rsidP="00271777">
      <w:pPr>
        <w:pStyle w:val="Heading2"/>
        <w:spacing w:before="120" w:after="240" w:line="360" w:lineRule="auto"/>
        <w:ind w:left="720"/>
        <w:rPr>
          <w:rFonts w:ascii="Times New Roman" w:hAnsi="Times New Roman" w:cs="Times New Roman"/>
          <w:color w:val="auto"/>
        </w:rPr>
      </w:pPr>
      <w:bookmarkStart w:id="10" w:name="_Toc518916490"/>
      <w:bookmarkStart w:id="11" w:name="_Toc11660161"/>
      <w:r w:rsidRPr="00FA1A1F">
        <w:rPr>
          <w:rFonts w:ascii="Times New Roman" w:hAnsi="Times New Roman" w:cs="Times New Roman"/>
          <w:color w:val="auto"/>
        </w:rPr>
        <w:t>Validation rules</w:t>
      </w:r>
      <w:bookmarkEnd w:id="10"/>
      <w:bookmarkEnd w:id="11"/>
    </w:p>
    <w:p w14:paraId="6DE0F7A0" w14:textId="77777777" w:rsidR="00271777" w:rsidRPr="001E43C2" w:rsidRDefault="00271777" w:rsidP="00271777">
      <w:pPr>
        <w:pStyle w:val="ListParagraph"/>
        <w:numPr>
          <w:ilvl w:val="0"/>
          <w:numId w:val="2"/>
        </w:numPr>
        <w:spacing w:before="120" w:line="360" w:lineRule="auto"/>
        <w:ind w:left="426"/>
        <w:jc w:val="both"/>
        <w:rPr>
          <w:rFonts w:ascii="Times New Roman" w:hAnsi="Times New Roman" w:cs="Times New Roman"/>
        </w:rPr>
      </w:pPr>
      <w:r w:rsidRPr="001E43C2">
        <w:rPr>
          <w:rFonts w:ascii="Times New Roman" w:hAnsi="Times New Roman" w:cs="Times New Roman"/>
        </w:rPr>
        <w:t>The templates are embedded with validation rules</w:t>
      </w:r>
      <w:r>
        <w:rPr>
          <w:rFonts w:ascii="Times New Roman" w:hAnsi="Times New Roman" w:cs="Times New Roman"/>
        </w:rPr>
        <w:t xml:space="preserve"> which i</w:t>
      </w:r>
      <w:r w:rsidRPr="001E43C2">
        <w:rPr>
          <w:rFonts w:ascii="Times New Roman" w:hAnsi="Times New Roman" w:cs="Times New Roman"/>
        </w:rPr>
        <w:t xml:space="preserve">nstitutions </w:t>
      </w:r>
      <w:proofErr w:type="gramStart"/>
      <w:r>
        <w:rPr>
          <w:rFonts w:ascii="Times New Roman" w:hAnsi="Times New Roman" w:cs="Times New Roman"/>
        </w:rPr>
        <w:t>have to</w:t>
      </w:r>
      <w:proofErr w:type="gramEnd"/>
      <w:r>
        <w:rPr>
          <w:rFonts w:ascii="Times New Roman" w:hAnsi="Times New Roman" w:cs="Times New Roman"/>
        </w:rPr>
        <w:t xml:space="preserve"> fulfil </w:t>
      </w:r>
      <w:r w:rsidRPr="001E43C2">
        <w:rPr>
          <w:rFonts w:ascii="Times New Roman" w:hAnsi="Times New Roman" w:cs="Times New Roman"/>
        </w:rPr>
        <w:t>when preparing the data</w:t>
      </w:r>
      <w:r w:rsidRPr="00430F45">
        <w:rPr>
          <w:rFonts w:ascii="Times New Roman" w:hAnsi="Times New Roman" w:cs="Times New Roman"/>
          <w:sz w:val="16"/>
        </w:rPr>
        <w:t>.</w:t>
      </w:r>
    </w:p>
    <w:p w14:paraId="6A889794"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r w:rsidRPr="0019404A">
        <w:rPr>
          <w:rFonts w:ascii="Times New Roman" w:hAnsi="Times New Roman" w:cs="Times New Roman"/>
        </w:rPr>
        <w:t>Not fulfilling the validation rules means that institutions will be requested to resubmit the STE for SREP data collection template</w:t>
      </w:r>
      <w:r w:rsidRPr="00430F45">
        <w:rPr>
          <w:rFonts w:ascii="Times New Roman" w:hAnsi="Times New Roman" w:cs="Times New Roman"/>
          <w:sz w:val="16"/>
        </w:rPr>
        <w:t>.</w:t>
      </w:r>
    </w:p>
    <w:p w14:paraId="152C0A2B" w14:textId="77777777" w:rsidR="00271777" w:rsidRDefault="00271777" w:rsidP="00271777">
      <w:pPr>
        <w:pStyle w:val="ListParagraph"/>
        <w:spacing w:before="120" w:line="360" w:lineRule="auto"/>
        <w:ind w:left="426"/>
        <w:jc w:val="both"/>
        <w:rPr>
          <w:rFonts w:ascii="Times New Roman" w:hAnsi="Times New Roman" w:cs="Times New Roman"/>
        </w:rPr>
      </w:pPr>
    </w:p>
    <w:p w14:paraId="558EE1B2" w14:textId="77777777" w:rsidR="00271777" w:rsidRDefault="00271777" w:rsidP="00271777">
      <w:pPr>
        <w:pStyle w:val="ListParagraph"/>
        <w:spacing w:before="120" w:line="360" w:lineRule="auto"/>
        <w:ind w:left="426"/>
        <w:jc w:val="both"/>
        <w:rPr>
          <w:rFonts w:ascii="Times New Roman" w:hAnsi="Times New Roman" w:cs="Times New Roman"/>
        </w:rPr>
      </w:pPr>
    </w:p>
    <w:p w14:paraId="65754DD7" w14:textId="77777777" w:rsidR="00271777" w:rsidRPr="0019404A" w:rsidRDefault="00271777" w:rsidP="00271777">
      <w:pPr>
        <w:pStyle w:val="ListParagraph"/>
        <w:spacing w:before="120" w:line="360" w:lineRule="auto"/>
        <w:ind w:left="426"/>
        <w:jc w:val="both"/>
        <w:rPr>
          <w:rFonts w:ascii="Times New Roman" w:hAnsi="Times New Roman" w:cs="Times New Roman"/>
        </w:rPr>
      </w:pPr>
    </w:p>
    <w:p w14:paraId="60382BB0" w14:textId="77777777" w:rsidR="00271777" w:rsidRDefault="00271777" w:rsidP="00271777">
      <w:pPr>
        <w:rPr>
          <w:rFonts w:ascii="Times New Roman" w:hAnsi="Times New Roman" w:cs="Times New Roman"/>
        </w:rPr>
      </w:pPr>
    </w:p>
    <w:p w14:paraId="65F0DF12" w14:textId="77777777" w:rsidR="00271777" w:rsidRPr="00A37A5B" w:rsidRDefault="00271777" w:rsidP="00271777">
      <w:pPr>
        <w:pStyle w:val="Heading1"/>
        <w:keepLines w:val="0"/>
        <w:numPr>
          <w:ilvl w:val="0"/>
          <w:numId w:val="1"/>
        </w:numPr>
        <w:tabs>
          <w:tab w:val="num" w:pos="567"/>
          <w:tab w:val="left" w:pos="851"/>
          <w:tab w:val="right" w:pos="9356"/>
        </w:tabs>
        <w:spacing w:before="120" w:after="120" w:line="360" w:lineRule="auto"/>
        <w:ind w:left="567" w:hanging="567"/>
        <w:jc w:val="both"/>
        <w:rPr>
          <w:rFonts w:ascii="Times New Roman" w:eastAsia="Times New Roman" w:hAnsi="Times New Roman" w:cs="Times New Roman"/>
          <w:color w:val="auto"/>
          <w:kern w:val="28"/>
          <w:sz w:val="32"/>
          <w:lang w:eastAsia="en-GB"/>
        </w:rPr>
      </w:pPr>
      <w:bookmarkStart w:id="12" w:name="_Toc518916491"/>
      <w:bookmarkStart w:id="13" w:name="_Toc11660162"/>
      <w:r w:rsidRPr="00A37A5B">
        <w:rPr>
          <w:rFonts w:ascii="Times New Roman" w:eastAsia="Times New Roman" w:hAnsi="Times New Roman" w:cs="Times New Roman"/>
          <w:color w:val="auto"/>
          <w:kern w:val="28"/>
          <w:sz w:val="32"/>
          <w:lang w:eastAsia="en-GB"/>
        </w:rPr>
        <w:lastRenderedPageBreak/>
        <w:t>Specific instructions</w:t>
      </w:r>
      <w:bookmarkEnd w:id="12"/>
      <w:bookmarkEnd w:id="13"/>
    </w:p>
    <w:p w14:paraId="64AA9119" w14:textId="77777777" w:rsidR="00271777" w:rsidRDefault="00271777" w:rsidP="00271777">
      <w:pPr>
        <w:pStyle w:val="Heading2"/>
        <w:spacing w:before="120" w:line="360" w:lineRule="auto"/>
        <w:ind w:left="720"/>
        <w:rPr>
          <w:rFonts w:ascii="Times New Roman" w:hAnsi="Times New Roman" w:cs="Times New Roman"/>
          <w:color w:val="auto"/>
        </w:rPr>
      </w:pPr>
      <w:bookmarkStart w:id="14" w:name="_Toc518916492"/>
      <w:bookmarkStart w:id="15" w:name="_Toc11660163"/>
      <w:r w:rsidRPr="00FA1A1F">
        <w:rPr>
          <w:rFonts w:ascii="Times New Roman" w:hAnsi="Times New Roman" w:cs="Times New Roman"/>
          <w:color w:val="auto"/>
        </w:rPr>
        <w:t>Template “</w:t>
      </w:r>
      <w:r>
        <w:rPr>
          <w:rFonts w:ascii="Times New Roman" w:hAnsi="Times New Roman" w:cs="Times New Roman"/>
          <w:color w:val="auto"/>
        </w:rPr>
        <w:t>0_Identification</w:t>
      </w:r>
      <w:r w:rsidRPr="00FA1A1F">
        <w:rPr>
          <w:rFonts w:ascii="Times New Roman" w:hAnsi="Times New Roman" w:cs="Times New Roman"/>
          <w:color w:val="auto"/>
        </w:rPr>
        <w:t>”</w:t>
      </w:r>
      <w:bookmarkEnd w:id="14"/>
      <w:bookmarkEnd w:id="15"/>
    </w:p>
    <w:p w14:paraId="7E8D6AEF" w14:textId="77777777" w:rsidR="00271777" w:rsidRPr="006521B5" w:rsidRDefault="00271777" w:rsidP="00271777">
      <w:pPr>
        <w:pStyle w:val="ListParagraph"/>
        <w:numPr>
          <w:ilvl w:val="0"/>
          <w:numId w:val="2"/>
        </w:numPr>
        <w:spacing w:before="120" w:line="360" w:lineRule="auto"/>
        <w:ind w:left="426"/>
        <w:jc w:val="both"/>
        <w:rPr>
          <w:rFonts w:ascii="Times New Roman" w:hAnsi="Times New Roman" w:cs="Times New Roman"/>
        </w:rPr>
      </w:pPr>
      <w:r w:rsidRPr="006521B5">
        <w:rPr>
          <w:rFonts w:ascii="Times New Roman" w:hAnsi="Times New Roman" w:cs="Times New Roman"/>
        </w:rPr>
        <w:t>This template is used for identification</w:t>
      </w:r>
      <w:r w:rsidRPr="003848D9">
        <w:rPr>
          <w:rFonts w:ascii="Times New Roman" w:hAnsi="Times New Roman" w:cs="Times New Roman"/>
        </w:rPr>
        <w:t xml:space="preserve"> of the institution</w:t>
      </w:r>
      <w:r w:rsidRPr="00430F45">
        <w:rPr>
          <w:rFonts w:ascii="Times New Roman" w:hAnsi="Times New Roman" w:cs="Times New Roman"/>
          <w:sz w:val="16"/>
        </w:rPr>
        <w:t>.</w:t>
      </w:r>
      <w:r w:rsidRPr="006521B5">
        <w:rPr>
          <w:rFonts w:ascii="Times New Roman" w:hAnsi="Times New Roman" w:cs="Times New Roman"/>
        </w:rPr>
        <w:t xml:space="preserve"> All fields should be populated with the relevant data</w:t>
      </w:r>
      <w:r w:rsidRPr="00430F45">
        <w:rPr>
          <w:rFonts w:ascii="Times New Roman" w:hAnsi="Times New Roman" w:cs="Times New Roman"/>
          <w:sz w:val="16"/>
        </w:rPr>
        <w:t>.</w:t>
      </w:r>
    </w:p>
    <w:p w14:paraId="124C4086" w14:textId="77777777" w:rsidR="00271777" w:rsidRPr="006521B5" w:rsidRDefault="00271777" w:rsidP="00271777">
      <w:pPr>
        <w:pStyle w:val="ListParagraph"/>
        <w:numPr>
          <w:ilvl w:val="0"/>
          <w:numId w:val="2"/>
        </w:numPr>
        <w:spacing w:before="120" w:line="360" w:lineRule="auto"/>
        <w:ind w:left="426"/>
        <w:jc w:val="both"/>
        <w:rPr>
          <w:rFonts w:ascii="Times New Roman" w:hAnsi="Times New Roman" w:cs="Times New Roman"/>
        </w:rPr>
      </w:pPr>
      <w:r w:rsidRPr="006521B5">
        <w:rPr>
          <w:rFonts w:ascii="Times New Roman" w:hAnsi="Times New Roman" w:cs="Times New Roman"/>
        </w:rPr>
        <w:t xml:space="preserve">This template also includes a text box “Additional Comments” which institutions should use to include comments </w:t>
      </w:r>
      <w:r>
        <w:rPr>
          <w:rFonts w:ascii="Times New Roman" w:hAnsi="Times New Roman" w:cs="Times New Roman"/>
        </w:rPr>
        <w:t>o</w:t>
      </w:r>
      <w:r w:rsidRPr="006521B5">
        <w:rPr>
          <w:rFonts w:ascii="Times New Roman" w:hAnsi="Times New Roman" w:cs="Times New Roman"/>
        </w:rPr>
        <w:t>n the following:</w:t>
      </w:r>
    </w:p>
    <w:p w14:paraId="12540529" w14:textId="77777777" w:rsidR="00271777" w:rsidRPr="006521B5" w:rsidRDefault="00271777" w:rsidP="00271777">
      <w:pPr>
        <w:pStyle w:val="ListParagraph"/>
        <w:numPr>
          <w:ilvl w:val="1"/>
          <w:numId w:val="2"/>
        </w:numPr>
        <w:spacing w:before="120" w:line="360" w:lineRule="auto"/>
        <w:jc w:val="both"/>
        <w:rPr>
          <w:rFonts w:ascii="Times New Roman" w:hAnsi="Times New Roman" w:cs="Times New Roman"/>
        </w:rPr>
      </w:pPr>
      <w:r w:rsidRPr="006521B5">
        <w:rPr>
          <w:rFonts w:ascii="Times New Roman" w:hAnsi="Times New Roman" w:cs="Times New Roman"/>
        </w:rPr>
        <w:t xml:space="preserve">Scope issues: Templates </w:t>
      </w:r>
      <w:r w:rsidRPr="00C85864">
        <w:rPr>
          <w:rFonts w:ascii="Times New Roman" w:eastAsiaTheme="majorEastAsia" w:hAnsi="Times New Roman" w:cs="Times New Roman"/>
          <w:b/>
          <w:color w:val="1F497D" w:themeColor="text2"/>
          <w:szCs w:val="24"/>
        </w:rPr>
        <w:t>IRRBB Material Currencies 1 to 4</w:t>
      </w:r>
      <w:r>
        <w:rPr>
          <w:rFonts w:ascii="Times New Roman" w:hAnsi="Times New Roman" w:cs="Times New Roman"/>
        </w:rPr>
        <w:t xml:space="preserve"> and </w:t>
      </w:r>
      <w:r w:rsidRPr="00C85864">
        <w:rPr>
          <w:rFonts w:ascii="Times New Roman" w:eastAsiaTheme="majorEastAsia" w:hAnsi="Times New Roman" w:cs="Times New Roman"/>
          <w:b/>
          <w:color w:val="1F497D" w:themeColor="text2"/>
          <w:szCs w:val="24"/>
        </w:rPr>
        <w:t>IRRBB Other Material Currencies IRRBB</w:t>
      </w:r>
      <w:r w:rsidRPr="003E1C2A">
        <w:rPr>
          <w:rFonts w:ascii="Times New Roman" w:hAnsi="Times New Roman"/>
          <w:b/>
          <w:color w:val="1F497D" w:themeColor="text2"/>
        </w:rPr>
        <w:t xml:space="preserve"> </w:t>
      </w:r>
      <w:r w:rsidRPr="006521B5">
        <w:rPr>
          <w:rFonts w:ascii="Times New Roman" w:hAnsi="Times New Roman" w:cs="Times New Roman"/>
        </w:rPr>
        <w:t>should cover all material on- and off- balance sheet interest-rate sensitive posit</w:t>
      </w:r>
      <w:r w:rsidRPr="003848D9">
        <w:rPr>
          <w:rFonts w:ascii="Times New Roman" w:hAnsi="Times New Roman" w:cs="Times New Roman"/>
        </w:rPr>
        <w:t>ions of the ba</w:t>
      </w:r>
      <w:r w:rsidRPr="006521B5">
        <w:rPr>
          <w:rFonts w:ascii="Times New Roman" w:hAnsi="Times New Roman" w:cs="Times New Roman"/>
        </w:rPr>
        <w:t>nking book</w:t>
      </w:r>
      <w:r>
        <w:rPr>
          <w:rFonts w:ascii="Times New Roman" w:hAnsi="Times New Roman" w:cs="Times New Roman"/>
        </w:rPr>
        <w:t xml:space="preserve"> denominated in material currencies</w:t>
      </w:r>
      <w:r w:rsidRPr="00430F45">
        <w:rPr>
          <w:rFonts w:ascii="Times New Roman" w:hAnsi="Times New Roman" w:cs="Times New Roman"/>
          <w:sz w:val="16"/>
        </w:rPr>
        <w:t>.</w:t>
      </w:r>
      <w:r>
        <w:rPr>
          <w:rFonts w:ascii="Times New Roman" w:hAnsi="Times New Roman" w:cs="Times New Roman"/>
        </w:rPr>
        <w:t xml:space="preserve"> I</w:t>
      </w:r>
      <w:r w:rsidRPr="006521B5">
        <w:rPr>
          <w:rFonts w:ascii="Times New Roman" w:hAnsi="Times New Roman" w:cs="Times New Roman"/>
        </w:rPr>
        <w:t xml:space="preserve">f this is not the case, institutions should explain in this box what is missing and </w:t>
      </w:r>
      <w:proofErr w:type="gramStart"/>
      <w:r w:rsidRPr="006521B5">
        <w:rPr>
          <w:rFonts w:ascii="Times New Roman" w:hAnsi="Times New Roman" w:cs="Times New Roman"/>
        </w:rPr>
        <w:t>why;</w:t>
      </w:r>
      <w:proofErr w:type="gramEnd"/>
    </w:p>
    <w:p w14:paraId="3C56BD60" w14:textId="77777777" w:rsidR="00271777" w:rsidRPr="006521B5" w:rsidRDefault="00271777" w:rsidP="00271777">
      <w:pPr>
        <w:pStyle w:val="ListParagraph"/>
        <w:numPr>
          <w:ilvl w:val="1"/>
          <w:numId w:val="2"/>
        </w:numPr>
        <w:spacing w:before="120" w:line="360" w:lineRule="auto"/>
        <w:jc w:val="both"/>
        <w:rPr>
          <w:rFonts w:ascii="Times New Roman" w:hAnsi="Times New Roman" w:cs="Times New Roman"/>
        </w:rPr>
      </w:pPr>
      <w:r w:rsidRPr="006521B5">
        <w:rPr>
          <w:rFonts w:ascii="Times New Roman" w:hAnsi="Times New Roman" w:cs="Times New Roman"/>
        </w:rPr>
        <w:t xml:space="preserve">Clarifications on processes: briefly outlining which kind of quality assurance processes have been performed to prepare the STE for SREP data collection templates, mentioning the responsible organisational unit and including any material findings or shortcoming of the validation </w:t>
      </w:r>
      <w:proofErr w:type="gramStart"/>
      <w:r w:rsidRPr="006521B5">
        <w:rPr>
          <w:rFonts w:ascii="Times New Roman" w:hAnsi="Times New Roman" w:cs="Times New Roman"/>
        </w:rPr>
        <w:t>process;</w:t>
      </w:r>
      <w:proofErr w:type="gramEnd"/>
    </w:p>
    <w:p w14:paraId="66ABF0A7" w14:textId="5D7B167C" w:rsidR="00271777" w:rsidRPr="006521B5" w:rsidRDefault="00271777" w:rsidP="00271777">
      <w:pPr>
        <w:pStyle w:val="ListParagraph"/>
        <w:numPr>
          <w:ilvl w:val="1"/>
          <w:numId w:val="2"/>
        </w:numPr>
        <w:spacing w:before="120" w:line="360" w:lineRule="auto"/>
        <w:jc w:val="both"/>
        <w:rPr>
          <w:rFonts w:ascii="Times New Roman" w:hAnsi="Times New Roman" w:cs="Times New Roman"/>
        </w:rPr>
      </w:pPr>
      <w:r w:rsidRPr="006521B5">
        <w:rPr>
          <w:rFonts w:ascii="Times New Roman" w:hAnsi="Times New Roman" w:cs="Times New Roman"/>
        </w:rPr>
        <w:t xml:space="preserve">Applicable but not reported data: explain why any data point in the IRRBB template has been </w:t>
      </w:r>
      <w:r w:rsidR="007E15BD">
        <w:rPr>
          <w:rFonts w:ascii="Times New Roman" w:hAnsi="Times New Roman" w:cs="Times New Roman"/>
        </w:rPr>
        <w:t xml:space="preserve">left </w:t>
      </w:r>
      <w:proofErr w:type="gramStart"/>
      <w:r w:rsidR="00022C8F">
        <w:rPr>
          <w:rFonts w:ascii="Times New Roman" w:hAnsi="Times New Roman" w:cs="Times New Roman"/>
        </w:rPr>
        <w:t xml:space="preserve">blank </w:t>
      </w:r>
      <w:r w:rsidRPr="006521B5">
        <w:rPr>
          <w:rFonts w:ascii="Times New Roman" w:hAnsi="Times New Roman" w:cs="Times New Roman"/>
        </w:rPr>
        <w:t xml:space="preserve"> (</w:t>
      </w:r>
      <w:proofErr w:type="gramEnd"/>
      <w:r w:rsidRPr="006521B5">
        <w:rPr>
          <w:rFonts w:ascii="Times New Roman" w:hAnsi="Times New Roman" w:cs="Times New Roman"/>
        </w:rPr>
        <w:t>meaning that a phenomenon or data point is applicable but the institution chose not to report it);</w:t>
      </w:r>
    </w:p>
    <w:p w14:paraId="6D3C1C45" w14:textId="77777777" w:rsidR="00271777" w:rsidRPr="006521B5" w:rsidRDefault="00271777" w:rsidP="00271777">
      <w:pPr>
        <w:pStyle w:val="ListParagraph"/>
        <w:numPr>
          <w:ilvl w:val="1"/>
          <w:numId w:val="2"/>
        </w:numPr>
        <w:spacing w:before="120" w:line="360" w:lineRule="auto"/>
        <w:jc w:val="both"/>
        <w:rPr>
          <w:rFonts w:ascii="Times New Roman" w:hAnsi="Times New Roman" w:cs="Times New Roman"/>
        </w:rPr>
      </w:pPr>
      <w:r w:rsidRPr="006521B5">
        <w:rPr>
          <w:rFonts w:ascii="Times New Roman" w:hAnsi="Times New Roman" w:cs="Times New Roman"/>
        </w:rPr>
        <w:t xml:space="preserve">When any section of the instructions requires the institutions to do </w:t>
      </w:r>
      <w:proofErr w:type="gramStart"/>
      <w:r w:rsidRPr="006521B5">
        <w:rPr>
          <w:rFonts w:ascii="Times New Roman" w:hAnsi="Times New Roman" w:cs="Times New Roman"/>
        </w:rPr>
        <w:t>so;</w:t>
      </w:r>
      <w:proofErr w:type="gramEnd"/>
    </w:p>
    <w:p w14:paraId="36156898" w14:textId="77777777" w:rsidR="00271777" w:rsidRPr="006521B5" w:rsidRDefault="00271777" w:rsidP="00271777">
      <w:pPr>
        <w:pStyle w:val="ListParagraph"/>
        <w:numPr>
          <w:ilvl w:val="1"/>
          <w:numId w:val="2"/>
        </w:numPr>
        <w:spacing w:before="120" w:line="360" w:lineRule="auto"/>
        <w:jc w:val="both"/>
        <w:rPr>
          <w:rFonts w:ascii="Times New Roman" w:hAnsi="Times New Roman" w:cs="Times New Roman"/>
        </w:rPr>
      </w:pPr>
      <w:r w:rsidRPr="006521B5">
        <w:rPr>
          <w:rFonts w:ascii="Times New Roman" w:hAnsi="Times New Roman" w:cs="Times New Roman"/>
        </w:rPr>
        <w:t>For institutions to provide any additional material remarks regarding</w:t>
      </w:r>
      <w:r>
        <w:rPr>
          <w:rFonts w:ascii="Times New Roman" w:hAnsi="Times New Roman" w:cs="Times New Roman"/>
        </w:rPr>
        <w:t xml:space="preserve"> interest rate risk in the banking book (</w:t>
      </w:r>
      <w:r w:rsidRPr="006521B5">
        <w:rPr>
          <w:rFonts w:ascii="Times New Roman" w:hAnsi="Times New Roman" w:cs="Times New Roman"/>
        </w:rPr>
        <w:t>IRRBB</w:t>
      </w:r>
      <w:r>
        <w:rPr>
          <w:rFonts w:ascii="Times New Roman" w:hAnsi="Times New Roman" w:cs="Times New Roman"/>
        </w:rPr>
        <w:t>)</w:t>
      </w:r>
      <w:r w:rsidRPr="006521B5">
        <w:rPr>
          <w:rFonts w:ascii="Times New Roman" w:hAnsi="Times New Roman" w:cs="Times New Roman"/>
        </w:rPr>
        <w:t xml:space="preserve"> which have not been captured/included by the current templates</w:t>
      </w:r>
      <w:r w:rsidRPr="00430F45">
        <w:rPr>
          <w:rFonts w:ascii="Times New Roman" w:hAnsi="Times New Roman" w:cs="Times New Roman"/>
          <w:sz w:val="16"/>
        </w:rPr>
        <w:t>.</w:t>
      </w:r>
    </w:p>
    <w:p w14:paraId="6E5A6DDA" w14:textId="77777777" w:rsidR="00271777" w:rsidRPr="00B4033D" w:rsidRDefault="00271777" w:rsidP="00271777">
      <w:pPr>
        <w:pStyle w:val="ListParagraph"/>
        <w:numPr>
          <w:ilvl w:val="0"/>
          <w:numId w:val="2"/>
        </w:numPr>
        <w:spacing w:before="120" w:line="360" w:lineRule="auto"/>
        <w:ind w:left="426"/>
        <w:jc w:val="both"/>
        <w:rPr>
          <w:rFonts w:ascii="Times New Roman" w:hAnsi="Times New Roman" w:cs="Times New Roman"/>
        </w:rPr>
      </w:pPr>
      <w:r w:rsidRPr="00B4033D">
        <w:rPr>
          <w:rFonts w:ascii="Times New Roman" w:hAnsi="Times New Roman" w:cs="Times New Roman"/>
        </w:rPr>
        <w:t>This template also includes an overview on the material currencies for which the institution has interest-rate sensitive banking book items</w:t>
      </w:r>
      <w:r w:rsidRPr="00430F45">
        <w:rPr>
          <w:rFonts w:ascii="Times New Roman" w:hAnsi="Times New Roman" w:cs="Times New Roman"/>
          <w:sz w:val="16"/>
        </w:rPr>
        <w:t>.</w:t>
      </w:r>
      <w:r w:rsidRPr="00B4033D">
        <w:rPr>
          <w:rFonts w:ascii="Times New Roman" w:hAnsi="Times New Roman" w:cs="Times New Roman"/>
        </w:rPr>
        <w:t xml:space="preserve"> EBA/GL/2018/02 refers in paragraph 92 that “</w:t>
      </w:r>
      <w:r w:rsidRPr="00B4033D">
        <w:rPr>
          <w:rFonts w:ascii="Times New Roman" w:hAnsi="Times New Roman" w:cs="Times New Roman"/>
          <w:i/>
        </w:rPr>
        <w:t>Institutions should assess exposures in each currency in which they have positions</w:t>
      </w:r>
      <w:r w:rsidRPr="00B4033D">
        <w:rPr>
          <w:rFonts w:ascii="Times New Roman" w:hAnsi="Times New Roman" w:cs="Times New Roman"/>
        </w:rPr>
        <w:t>”</w:t>
      </w:r>
      <w:r w:rsidRPr="00430F45">
        <w:rPr>
          <w:rFonts w:ascii="Times New Roman" w:hAnsi="Times New Roman" w:cs="Times New Roman"/>
          <w:sz w:val="16"/>
        </w:rPr>
        <w:t>.</w:t>
      </w:r>
      <w:r w:rsidRPr="00B4033D">
        <w:rPr>
          <w:rFonts w:ascii="Times New Roman" w:hAnsi="Times New Roman" w:cs="Times New Roman"/>
        </w:rPr>
        <w:t xml:space="preserve"> Regarding the computation of the supervisory outlier test in paragraph 113 and 114,  in paragraph 115(l), EBA/GL/2018/02 states, that “</w:t>
      </w:r>
      <w:r w:rsidRPr="00B4033D">
        <w:rPr>
          <w:rFonts w:ascii="Times New Roman" w:hAnsi="Times New Roman" w:cs="Times New Roman"/>
          <w:i/>
        </w:rPr>
        <w:t>institutions should calculate the change in EVE at least for each currency where the assets or liabilities denominated in that currency amount to 5% or more of the total non-trading book financial assets (excluding tangible assets) or liabilities, or less than 5% if the sum of assets or liabilities included in the calculation is lower than 90% of total non-trading book financial assets (excluding tangible assets) or liabilities (material positions)</w:t>
      </w:r>
      <w:r w:rsidRPr="00B4033D">
        <w:rPr>
          <w:rFonts w:ascii="Times New Roman" w:hAnsi="Times New Roman" w:cs="Times New Roman"/>
        </w:rPr>
        <w:t>”</w:t>
      </w:r>
      <w:r w:rsidRPr="00430F45">
        <w:rPr>
          <w:rFonts w:ascii="Times New Roman" w:hAnsi="Times New Roman" w:cs="Times New Roman"/>
          <w:sz w:val="16"/>
        </w:rPr>
        <w:t>.</w:t>
      </w:r>
      <w:r w:rsidRPr="00B4033D">
        <w:rPr>
          <w:rFonts w:ascii="Times New Roman" w:hAnsi="Times New Roman" w:cs="Times New Roman"/>
        </w:rPr>
        <w:t xml:space="preserve"> </w:t>
      </w:r>
      <w:proofErr w:type="gramStart"/>
      <w:r>
        <w:rPr>
          <w:rFonts w:ascii="Times New Roman" w:hAnsi="Times New Roman" w:cs="Times New Roman"/>
        </w:rPr>
        <w:t>For the purpose of</w:t>
      </w:r>
      <w:proofErr w:type="gramEnd"/>
      <w:r>
        <w:rPr>
          <w:rFonts w:ascii="Times New Roman" w:hAnsi="Times New Roman" w:cs="Times New Roman"/>
        </w:rPr>
        <w:t xml:space="preserve"> the STE, a</w:t>
      </w:r>
      <w:r w:rsidRPr="00B4033D">
        <w:rPr>
          <w:rFonts w:ascii="Times New Roman" w:hAnsi="Times New Roman" w:cs="Times New Roman"/>
        </w:rPr>
        <w:t xml:space="preserve"> currency is </w:t>
      </w:r>
      <w:r>
        <w:rPr>
          <w:rFonts w:ascii="Times New Roman" w:hAnsi="Times New Roman" w:cs="Times New Roman"/>
        </w:rPr>
        <w:t xml:space="preserve">thus </w:t>
      </w:r>
      <w:r w:rsidRPr="00B4033D">
        <w:rPr>
          <w:rFonts w:ascii="Times New Roman" w:hAnsi="Times New Roman" w:cs="Times New Roman"/>
        </w:rPr>
        <w:t xml:space="preserve">considered material if an institution computes the change in EVE </w:t>
      </w:r>
      <w:r>
        <w:rPr>
          <w:rFonts w:ascii="Times New Roman" w:hAnsi="Times New Roman" w:cs="Times New Roman"/>
        </w:rPr>
        <w:t xml:space="preserve">for the exposures denominated in that currency </w:t>
      </w:r>
      <w:r w:rsidRPr="00B4033D">
        <w:rPr>
          <w:rFonts w:ascii="Times New Roman" w:hAnsi="Times New Roman" w:cs="Times New Roman"/>
        </w:rPr>
        <w:t>according to the paragraph</w:t>
      </w:r>
      <w:r>
        <w:rPr>
          <w:rFonts w:ascii="Times New Roman" w:hAnsi="Times New Roman" w:cs="Times New Roman"/>
        </w:rPr>
        <w:t xml:space="preserve"> 115(l) of the EBA/GL/2018/02</w:t>
      </w:r>
      <w:r w:rsidRPr="00430F45">
        <w:rPr>
          <w:rFonts w:ascii="Times New Roman" w:hAnsi="Times New Roman" w:cs="Times New Roman"/>
          <w:sz w:val="16"/>
        </w:rPr>
        <w:t>.</w:t>
      </w:r>
    </w:p>
    <w:p w14:paraId="1E352DD9" w14:textId="77777777" w:rsidR="00271777" w:rsidRPr="00C85864" w:rsidRDefault="00271777" w:rsidP="00271777">
      <w:pPr>
        <w:pStyle w:val="ListParagraph"/>
        <w:numPr>
          <w:ilvl w:val="0"/>
          <w:numId w:val="2"/>
        </w:numPr>
        <w:spacing w:before="120" w:line="360" w:lineRule="auto"/>
        <w:ind w:left="426"/>
        <w:jc w:val="both"/>
        <w:rPr>
          <w:rFonts w:ascii="Times New Roman" w:hAnsi="Times New Roman" w:cs="Times New Roman"/>
        </w:rPr>
      </w:pPr>
      <w:r>
        <w:rPr>
          <w:rFonts w:ascii="Times New Roman" w:hAnsi="Times New Roman" w:cs="Times New Roman"/>
        </w:rPr>
        <w:lastRenderedPageBreak/>
        <w:t xml:space="preserve">Consequently, </w:t>
      </w:r>
      <w:r w:rsidRPr="00E20BB5">
        <w:rPr>
          <w:rFonts w:ascii="Times New Roman" w:hAnsi="Times New Roman" w:cs="Times New Roman"/>
        </w:rPr>
        <w:t xml:space="preserve">institutions should first identify their respective </w:t>
      </w:r>
      <w:r>
        <w:rPr>
          <w:rFonts w:ascii="Times New Roman" w:hAnsi="Times New Roman" w:cs="Times New Roman"/>
        </w:rPr>
        <w:t xml:space="preserve">four most </w:t>
      </w:r>
      <w:r w:rsidRPr="00E20BB5">
        <w:rPr>
          <w:rFonts w:ascii="Times New Roman" w:hAnsi="Times New Roman" w:cs="Times New Roman"/>
        </w:rPr>
        <w:t xml:space="preserve">material currencies </w:t>
      </w:r>
      <w:r>
        <w:rPr>
          <w:rFonts w:ascii="Times New Roman" w:hAnsi="Times New Roman" w:cs="Times New Roman"/>
        </w:rPr>
        <w:t xml:space="preserve">in </w:t>
      </w:r>
      <w:r w:rsidRPr="00C85864">
        <w:rPr>
          <w:rFonts w:ascii="Times New Roman" w:hAnsi="Times New Roman" w:cs="Times New Roman"/>
        </w:rPr>
        <w:t>cells</w:t>
      </w:r>
      <w:r>
        <w:rPr>
          <w:rFonts w:ascii="Times New Roman" w:hAnsi="Times New Roman" w:cs="Times New Roman"/>
        </w:rPr>
        <w:t xml:space="preserve"> </w:t>
      </w:r>
      <w:r w:rsidRPr="00C85864">
        <w:rPr>
          <w:rFonts w:ascii="Times New Roman" w:hAnsi="Times New Roman" w:cs="Times New Roman"/>
        </w:rPr>
        <w:t xml:space="preserve">C19 to C22 </w:t>
      </w:r>
      <w:r>
        <w:rPr>
          <w:rFonts w:ascii="Times New Roman" w:hAnsi="Times New Roman" w:cs="Times New Roman"/>
        </w:rPr>
        <w:t xml:space="preserve">(using the dropdown </w:t>
      </w:r>
      <w:r w:rsidRPr="00C85864">
        <w:rPr>
          <w:rFonts w:ascii="Times New Roman" w:hAnsi="Times New Roman" w:cs="Times New Roman"/>
        </w:rPr>
        <w:t>list</w:t>
      </w:r>
      <w:r>
        <w:rPr>
          <w:rFonts w:ascii="Times New Roman" w:hAnsi="Times New Roman" w:cs="Times New Roman"/>
        </w:rPr>
        <w:t>),</w:t>
      </w:r>
      <w:r w:rsidRPr="00C85864">
        <w:rPr>
          <w:rFonts w:ascii="Times New Roman" w:hAnsi="Times New Roman" w:cs="Times New Roman"/>
        </w:rPr>
        <w:t xml:space="preserve"> </w:t>
      </w:r>
      <w:r>
        <w:rPr>
          <w:rFonts w:ascii="Times New Roman" w:hAnsi="Times New Roman" w:cs="Times New Roman"/>
        </w:rPr>
        <w:t>ranked</w:t>
      </w:r>
      <w:r w:rsidRPr="00E20BB5">
        <w:rPr>
          <w:rFonts w:ascii="Times New Roman" w:hAnsi="Times New Roman" w:cs="Times New Roman"/>
        </w:rPr>
        <w:t xml:space="preserve"> </w:t>
      </w:r>
      <w:r>
        <w:rPr>
          <w:rFonts w:ascii="Times New Roman" w:hAnsi="Times New Roman" w:cs="Times New Roman"/>
        </w:rPr>
        <w:t>in</w:t>
      </w:r>
      <w:r w:rsidRPr="00E20BB5">
        <w:rPr>
          <w:rFonts w:ascii="Times New Roman" w:hAnsi="Times New Roman" w:cs="Times New Roman"/>
        </w:rPr>
        <w:t xml:space="preserve"> accord</w:t>
      </w:r>
      <w:r>
        <w:rPr>
          <w:rFonts w:ascii="Times New Roman" w:hAnsi="Times New Roman" w:cs="Times New Roman"/>
        </w:rPr>
        <w:t>ance</w:t>
      </w:r>
      <w:r w:rsidRPr="00E20BB5">
        <w:rPr>
          <w:rFonts w:ascii="Times New Roman" w:hAnsi="Times New Roman" w:cs="Times New Roman"/>
        </w:rPr>
        <w:t xml:space="preserve"> </w:t>
      </w:r>
      <w:r>
        <w:rPr>
          <w:rFonts w:ascii="Times New Roman" w:hAnsi="Times New Roman" w:cs="Times New Roman"/>
        </w:rPr>
        <w:t>with</w:t>
      </w:r>
      <w:r w:rsidRPr="00E20BB5">
        <w:rPr>
          <w:rFonts w:ascii="Times New Roman" w:hAnsi="Times New Roman" w:cs="Times New Roman"/>
        </w:rPr>
        <w:t xml:space="preserve"> the formula </w:t>
      </w:r>
      <w:r>
        <w:rPr>
          <w:rFonts w:ascii="Times New Roman" w:hAnsi="Times New Roman" w:cs="Times New Roman"/>
        </w:rPr>
        <w:t xml:space="preserve">set out </w:t>
      </w:r>
      <w:r w:rsidRPr="00E20BB5">
        <w:rPr>
          <w:rFonts w:ascii="Times New Roman" w:hAnsi="Times New Roman" w:cs="Times New Roman"/>
        </w:rPr>
        <w:t>in the next paragraph</w:t>
      </w:r>
      <w:r>
        <w:rPr>
          <w:rFonts w:ascii="Times New Roman" w:hAnsi="Times New Roman" w:cs="Times New Roman"/>
        </w:rPr>
        <w:t>;</w:t>
      </w:r>
      <w:r w:rsidRPr="00C85864">
        <w:rPr>
          <w:rFonts w:ascii="Times New Roman" w:hAnsi="Times New Roman" w:cs="Times New Roman"/>
        </w:rPr>
        <w:t xml:space="preserve"> the respective share</w:t>
      </w:r>
      <w:r>
        <w:rPr>
          <w:rFonts w:ascii="Times New Roman" w:hAnsi="Times New Roman" w:cs="Times New Roman"/>
        </w:rPr>
        <w:t>s</w:t>
      </w:r>
      <w:r w:rsidRPr="00C85864">
        <w:rPr>
          <w:rFonts w:ascii="Times New Roman" w:hAnsi="Times New Roman" w:cs="Times New Roman"/>
        </w:rPr>
        <w:t xml:space="preserve"> of th</w:t>
      </w:r>
      <w:r>
        <w:rPr>
          <w:rFonts w:ascii="Times New Roman" w:hAnsi="Times New Roman" w:cs="Times New Roman"/>
        </w:rPr>
        <w:t>ose currencies in the</w:t>
      </w:r>
      <w:r w:rsidRPr="00C85864">
        <w:rPr>
          <w:rFonts w:ascii="Times New Roman" w:hAnsi="Times New Roman" w:cs="Times New Roman"/>
        </w:rPr>
        <w:t xml:space="preserve"> banking book </w:t>
      </w:r>
      <w:r>
        <w:rPr>
          <w:rFonts w:ascii="Times New Roman" w:hAnsi="Times New Roman" w:cs="Times New Roman"/>
        </w:rPr>
        <w:t xml:space="preserve">should be reported </w:t>
      </w:r>
      <w:r w:rsidRPr="00C85864">
        <w:rPr>
          <w:rFonts w:ascii="Times New Roman" w:hAnsi="Times New Roman" w:cs="Times New Roman"/>
        </w:rPr>
        <w:t>in cells D19 to D22</w:t>
      </w:r>
      <w:r w:rsidRPr="00430F45">
        <w:rPr>
          <w:rFonts w:ascii="Times New Roman" w:hAnsi="Times New Roman" w:cs="Times New Roman"/>
          <w:sz w:val="16"/>
        </w:rPr>
        <w:t>.</w:t>
      </w:r>
      <w:r w:rsidRPr="00C85864">
        <w:rPr>
          <w:rFonts w:ascii="Times New Roman" w:hAnsi="Times New Roman" w:cs="Times New Roman"/>
        </w:rPr>
        <w:t xml:space="preserve"> If an institution has more than </w:t>
      </w:r>
      <w:r>
        <w:rPr>
          <w:rFonts w:ascii="Times New Roman" w:hAnsi="Times New Roman" w:cs="Times New Roman"/>
        </w:rPr>
        <w:t>four</w:t>
      </w:r>
      <w:r w:rsidRPr="00C85864">
        <w:rPr>
          <w:rFonts w:ascii="Times New Roman" w:hAnsi="Times New Roman" w:cs="Times New Roman"/>
        </w:rPr>
        <w:t xml:space="preserve"> material currencies, it should </w:t>
      </w:r>
      <w:r>
        <w:rPr>
          <w:rFonts w:ascii="Times New Roman" w:hAnsi="Times New Roman" w:cs="Times New Roman"/>
        </w:rPr>
        <w:t>report the</w:t>
      </w:r>
      <w:r w:rsidRPr="00C85864">
        <w:rPr>
          <w:rFonts w:ascii="Times New Roman" w:hAnsi="Times New Roman" w:cs="Times New Roman"/>
        </w:rPr>
        <w:t xml:space="preserve"> aggregate share of the banking book </w:t>
      </w:r>
      <w:r>
        <w:rPr>
          <w:rFonts w:ascii="Times New Roman" w:hAnsi="Times New Roman" w:cs="Times New Roman"/>
        </w:rPr>
        <w:t xml:space="preserve">in cell D23 </w:t>
      </w:r>
      <w:r w:rsidRPr="00C85864">
        <w:rPr>
          <w:rFonts w:ascii="Times New Roman" w:hAnsi="Times New Roman" w:cs="Times New Roman"/>
        </w:rPr>
        <w:t xml:space="preserve">by summing the outcome of the formula </w:t>
      </w:r>
      <w:r>
        <w:rPr>
          <w:rFonts w:ascii="Times New Roman" w:hAnsi="Times New Roman" w:cs="Times New Roman"/>
        </w:rPr>
        <w:t xml:space="preserve">set out </w:t>
      </w:r>
      <w:r w:rsidRPr="00C85864">
        <w:rPr>
          <w:rFonts w:ascii="Times New Roman" w:hAnsi="Times New Roman" w:cs="Times New Roman"/>
        </w:rPr>
        <w:t xml:space="preserve">in the next paragraph </w:t>
      </w:r>
      <w:r>
        <w:rPr>
          <w:rFonts w:ascii="Times New Roman" w:hAnsi="Times New Roman" w:cs="Times New Roman"/>
        </w:rPr>
        <w:t xml:space="preserve">for the </w:t>
      </w:r>
      <w:r w:rsidRPr="00C85864">
        <w:rPr>
          <w:rFonts w:ascii="Times New Roman" w:hAnsi="Times New Roman" w:cs="Times New Roman"/>
        </w:rPr>
        <w:t>material currenc</w:t>
      </w:r>
      <w:r>
        <w:rPr>
          <w:rFonts w:ascii="Times New Roman" w:hAnsi="Times New Roman" w:cs="Times New Roman"/>
        </w:rPr>
        <w:t>ies</w:t>
      </w:r>
      <w:r w:rsidRPr="00C85864">
        <w:rPr>
          <w:rFonts w:ascii="Times New Roman" w:hAnsi="Times New Roman" w:cs="Times New Roman"/>
        </w:rPr>
        <w:t xml:space="preserve"> </w:t>
      </w:r>
      <w:r>
        <w:rPr>
          <w:rFonts w:ascii="Times New Roman" w:hAnsi="Times New Roman" w:cs="Times New Roman"/>
        </w:rPr>
        <w:t xml:space="preserve">that were </w:t>
      </w:r>
      <w:r w:rsidRPr="00C85864">
        <w:rPr>
          <w:rFonts w:ascii="Times New Roman" w:hAnsi="Times New Roman" w:cs="Times New Roman"/>
        </w:rPr>
        <w:t>not</w:t>
      </w:r>
      <w:r>
        <w:rPr>
          <w:rFonts w:ascii="Times New Roman" w:hAnsi="Times New Roman" w:cs="Times New Roman"/>
        </w:rPr>
        <w:t xml:space="preserve"> already included in </w:t>
      </w:r>
      <w:r w:rsidRPr="00C85864">
        <w:rPr>
          <w:rFonts w:ascii="Times New Roman" w:hAnsi="Times New Roman" w:cs="Times New Roman"/>
        </w:rPr>
        <w:t>cells C19 to C22</w:t>
      </w:r>
      <w:r w:rsidRPr="00430F45">
        <w:rPr>
          <w:rFonts w:ascii="Times New Roman" w:hAnsi="Times New Roman" w:cs="Times New Roman"/>
          <w:sz w:val="16"/>
        </w:rPr>
        <w:t>.</w:t>
      </w:r>
      <w:r w:rsidRPr="00C85864">
        <w:rPr>
          <w:rFonts w:ascii="Times New Roman" w:hAnsi="Times New Roman" w:cs="Times New Roman"/>
        </w:rPr>
        <w:t xml:space="preserve"> Importantly, the formula in the next paragraph </w:t>
      </w:r>
      <w:r w:rsidRPr="00C85864">
        <w:rPr>
          <w:rFonts w:ascii="Times New Roman" w:hAnsi="Times New Roman" w:cs="Times New Roman"/>
          <w:u w:val="single"/>
        </w:rPr>
        <w:t xml:space="preserve">does not replace </w:t>
      </w:r>
      <w:r w:rsidRPr="00C85864">
        <w:rPr>
          <w:rFonts w:ascii="Times New Roman" w:hAnsi="Times New Roman" w:cs="Times New Roman"/>
        </w:rPr>
        <w:t xml:space="preserve">the need </w:t>
      </w:r>
      <w:r>
        <w:rPr>
          <w:rFonts w:ascii="Times New Roman" w:hAnsi="Times New Roman" w:cs="Times New Roman"/>
        </w:rPr>
        <w:t xml:space="preserve">for institutions </w:t>
      </w:r>
      <w:r w:rsidRPr="00C85864">
        <w:rPr>
          <w:rFonts w:ascii="Times New Roman" w:hAnsi="Times New Roman" w:cs="Times New Roman"/>
        </w:rPr>
        <w:t>to compute the threshold to identify material currencies according to paragraph 115(l) of the EBA/GL/2018/02 (since, for example, the threshold under paragraph 115(l) applies separately to assets and to liabilities)</w:t>
      </w:r>
      <w:r w:rsidRPr="00430F45">
        <w:rPr>
          <w:rFonts w:ascii="Times New Roman" w:hAnsi="Times New Roman" w:cs="Times New Roman"/>
          <w:sz w:val="16"/>
        </w:rPr>
        <w:t>.</w:t>
      </w:r>
      <w:r w:rsidRPr="00C85864">
        <w:rPr>
          <w:rFonts w:ascii="Times New Roman" w:hAnsi="Times New Roman" w:cs="Times New Roman"/>
        </w:rPr>
        <w:t xml:space="preserve"> If institutions have less than </w:t>
      </w:r>
      <w:r>
        <w:rPr>
          <w:rFonts w:ascii="Times New Roman" w:hAnsi="Times New Roman" w:cs="Times New Roman"/>
        </w:rPr>
        <w:t>four</w:t>
      </w:r>
      <w:r w:rsidRPr="00C85864">
        <w:rPr>
          <w:rFonts w:ascii="Times New Roman" w:hAnsi="Times New Roman" w:cs="Times New Roman"/>
        </w:rPr>
        <w:t xml:space="preserve"> material currencies, they should </w:t>
      </w:r>
      <w:r>
        <w:rPr>
          <w:rFonts w:ascii="Times New Roman" w:hAnsi="Times New Roman" w:cs="Times New Roman"/>
        </w:rPr>
        <w:t>apply</w:t>
      </w:r>
      <w:r w:rsidRPr="00C85864">
        <w:rPr>
          <w:rFonts w:ascii="Times New Roman" w:hAnsi="Times New Roman" w:cs="Times New Roman"/>
        </w:rPr>
        <w:t xml:space="preserve"> the “-</w:t>
      </w:r>
      <w:r>
        <w:rPr>
          <w:rFonts w:ascii="Times New Roman" w:hAnsi="Times New Roman" w:cs="Times New Roman"/>
        </w:rPr>
        <w:t>”</w:t>
      </w:r>
      <w:r w:rsidRPr="00C85864">
        <w:rPr>
          <w:rFonts w:ascii="Times New Roman" w:hAnsi="Times New Roman" w:cs="Times New Roman"/>
        </w:rPr>
        <w:t xml:space="preserve"> </w:t>
      </w:r>
      <w:proofErr w:type="gramStart"/>
      <w:r w:rsidRPr="00C85864">
        <w:rPr>
          <w:rFonts w:ascii="Times New Roman" w:hAnsi="Times New Roman" w:cs="Times New Roman"/>
        </w:rPr>
        <w:t>option ,</w:t>
      </w:r>
      <w:proofErr w:type="gramEnd"/>
      <w:r w:rsidRPr="00C85864">
        <w:rPr>
          <w:rFonts w:ascii="Times New Roman" w:hAnsi="Times New Roman" w:cs="Times New Roman"/>
        </w:rPr>
        <w:t xml:space="preserve"> which is the first item in the drop-down list</w:t>
      </w:r>
      <w:r w:rsidRPr="00430F45">
        <w:rPr>
          <w:rFonts w:ascii="Times New Roman" w:hAnsi="Times New Roman" w:cs="Times New Roman"/>
          <w:sz w:val="16"/>
        </w:rPr>
        <w:t>.</w:t>
      </w:r>
      <w:r w:rsidRPr="00C85864">
        <w:rPr>
          <w:rFonts w:ascii="Times New Roman" w:hAnsi="Times New Roman" w:cs="Times New Roman"/>
        </w:rPr>
        <w:t xml:space="preserve"> As an example, if an institution only has </w:t>
      </w:r>
      <w:r>
        <w:rPr>
          <w:rFonts w:ascii="Times New Roman" w:hAnsi="Times New Roman" w:cs="Times New Roman"/>
        </w:rPr>
        <w:t>one</w:t>
      </w:r>
      <w:r w:rsidRPr="00C85864">
        <w:rPr>
          <w:rFonts w:ascii="Times New Roman" w:hAnsi="Times New Roman" w:cs="Times New Roman"/>
        </w:rPr>
        <w:t xml:space="preserve"> material currency (</w:t>
      </w:r>
      <w:proofErr w:type="gramStart"/>
      <w:r w:rsidRPr="00C85864">
        <w:rPr>
          <w:rFonts w:ascii="Times New Roman" w:hAnsi="Times New Roman" w:cs="Times New Roman"/>
        </w:rPr>
        <w:t>e</w:t>
      </w:r>
      <w:r w:rsidRPr="00430F45">
        <w:rPr>
          <w:rFonts w:ascii="Times New Roman" w:hAnsi="Times New Roman" w:cs="Times New Roman"/>
          <w:sz w:val="16"/>
        </w:rPr>
        <w:t>.</w:t>
      </w:r>
      <w:r w:rsidRPr="00C85864">
        <w:rPr>
          <w:rFonts w:ascii="Times New Roman" w:hAnsi="Times New Roman" w:cs="Times New Roman"/>
        </w:rPr>
        <w:t>g</w:t>
      </w:r>
      <w:r w:rsidRPr="00430F45">
        <w:rPr>
          <w:rFonts w:ascii="Times New Roman" w:hAnsi="Times New Roman" w:cs="Times New Roman"/>
          <w:sz w:val="16"/>
        </w:rPr>
        <w:t>.</w:t>
      </w:r>
      <w:proofErr w:type="gramEnd"/>
      <w:r w:rsidRPr="00C85864">
        <w:rPr>
          <w:rFonts w:ascii="Times New Roman" w:hAnsi="Times New Roman" w:cs="Times New Roman"/>
        </w:rPr>
        <w:t xml:space="preserve"> EUR), it should fill EUR in the Material Currency 1 and its respective share of the banking book, and fill in “-</w:t>
      </w:r>
      <w:r>
        <w:rPr>
          <w:rFonts w:ascii="Times New Roman" w:hAnsi="Times New Roman" w:cs="Times New Roman"/>
        </w:rPr>
        <w:t>”</w:t>
      </w:r>
      <w:r w:rsidRPr="00C85864">
        <w:rPr>
          <w:rFonts w:ascii="Times New Roman" w:hAnsi="Times New Roman" w:cs="Times New Roman"/>
        </w:rPr>
        <w:t xml:space="preserve"> in the </w:t>
      </w:r>
      <w:r>
        <w:rPr>
          <w:rFonts w:ascii="Times New Roman" w:hAnsi="Times New Roman" w:cs="Times New Roman"/>
        </w:rPr>
        <w:t>remaining</w:t>
      </w:r>
      <w:r w:rsidRPr="00C85864">
        <w:rPr>
          <w:rFonts w:ascii="Times New Roman" w:hAnsi="Times New Roman" w:cs="Times New Roman"/>
        </w:rPr>
        <w:t xml:space="preserve"> cells</w:t>
      </w:r>
      <w:r w:rsidRPr="00430F45">
        <w:rPr>
          <w:rFonts w:ascii="Times New Roman" w:hAnsi="Times New Roman" w:cs="Times New Roman"/>
          <w:sz w:val="16"/>
        </w:rPr>
        <w:t>.</w:t>
      </w:r>
    </w:p>
    <w:p w14:paraId="792C95A7" w14:textId="77777777" w:rsidR="00271777" w:rsidRPr="00D65859" w:rsidRDefault="00271777" w:rsidP="00271777">
      <w:pPr>
        <w:pStyle w:val="ListParagraph"/>
        <w:numPr>
          <w:ilvl w:val="0"/>
          <w:numId w:val="2"/>
        </w:numPr>
        <w:spacing w:before="120" w:line="360" w:lineRule="auto"/>
        <w:ind w:left="426"/>
        <w:jc w:val="both"/>
        <w:rPr>
          <w:rFonts w:ascii="Times New Roman" w:hAnsi="Times New Roman" w:cs="Times New Roman"/>
        </w:rPr>
      </w:pPr>
      <w:r w:rsidRPr="00D65859">
        <w:rPr>
          <w:rFonts w:ascii="Times New Roman" w:hAnsi="Times New Roman" w:cs="Times New Roman"/>
        </w:rPr>
        <w:t xml:space="preserve">In order to compute the </w:t>
      </w:r>
      <w:r>
        <w:rPr>
          <w:rFonts w:ascii="Times New Roman" w:hAnsi="Times New Roman" w:cs="Times New Roman"/>
        </w:rPr>
        <w:t xml:space="preserve">share of </w:t>
      </w:r>
      <w:r w:rsidRPr="00D65859">
        <w:rPr>
          <w:rFonts w:ascii="Times New Roman" w:hAnsi="Times New Roman" w:cs="Times New Roman"/>
        </w:rPr>
        <w:t xml:space="preserve">banking book covered under the specific currency, the formula </w:t>
      </w:r>
      <w:r>
        <w:rPr>
          <w:rFonts w:ascii="Times New Roman" w:hAnsi="Times New Roman" w:cs="Times New Roman"/>
        </w:rPr>
        <w:t xml:space="preserve">below </w:t>
      </w:r>
      <w:r w:rsidRPr="00D65859">
        <w:rPr>
          <w:rFonts w:ascii="Times New Roman" w:hAnsi="Times New Roman" w:cs="Times New Roman"/>
        </w:rPr>
        <w:t>must be applied (where BB=</w:t>
      </w:r>
      <w:r>
        <w:rPr>
          <w:rFonts w:ascii="Times New Roman" w:hAnsi="Times New Roman" w:cs="Times New Roman"/>
        </w:rPr>
        <w:t xml:space="preserve">interest-rate sensitive </w:t>
      </w:r>
      <w:r w:rsidRPr="00D65859">
        <w:rPr>
          <w:rFonts w:ascii="Times New Roman" w:hAnsi="Times New Roman" w:cs="Times New Roman"/>
        </w:rPr>
        <w:t>banking book</w:t>
      </w:r>
      <w:r>
        <w:rPr>
          <w:rFonts w:ascii="Times New Roman" w:hAnsi="Times New Roman" w:cs="Times New Roman"/>
        </w:rPr>
        <w:t xml:space="preserve"> elements</w:t>
      </w:r>
      <w:r w:rsidRPr="00D65859">
        <w:rPr>
          <w:rFonts w:ascii="Times New Roman" w:hAnsi="Times New Roman" w:cs="Times New Roman"/>
        </w:rPr>
        <w:t xml:space="preserve"> and where the EUR exchange rate to be used is the </w:t>
      </w:r>
      <w:r>
        <w:rPr>
          <w:rFonts w:ascii="Times New Roman" w:hAnsi="Times New Roman" w:cs="Times New Roman"/>
        </w:rPr>
        <w:t>e</w:t>
      </w:r>
      <w:r w:rsidRPr="00D90C12">
        <w:rPr>
          <w:rFonts w:ascii="Times New Roman" w:hAnsi="Times New Roman" w:cs="Times New Roman"/>
        </w:rPr>
        <w:t>uro foreign exchange reference rates</w:t>
      </w:r>
      <w:r>
        <w:rPr>
          <w:rFonts w:ascii="Times New Roman" w:hAnsi="Times New Roman" w:cs="Times New Roman"/>
        </w:rPr>
        <w:t xml:space="preserve"> available in the ECB website as of the reference date if available, or if not available, by using available market information on FX rates as of reference date</w:t>
      </w:r>
      <w:r w:rsidRPr="00D65859">
        <w:rPr>
          <w:rFonts w:ascii="Times New Roman" w:hAnsi="Times New Roman" w:cs="Times New Roman"/>
        </w:rPr>
        <w:t>):</w:t>
      </w:r>
    </w:p>
    <w:p w14:paraId="3E760DDF" w14:textId="77777777" w:rsidR="00271777" w:rsidRPr="006521B5" w:rsidRDefault="005F4857" w:rsidP="00271777">
      <w:pPr>
        <w:spacing w:before="120" w:line="360" w:lineRule="auto"/>
        <w:jc w:val="both"/>
        <w:rPr>
          <w:rFonts w:ascii="Times New Roman" w:hAnsi="Times New Roman" w:cs="Times New Roman"/>
        </w:rPr>
      </w:pPr>
      <m:oMathPara>
        <m:oMath>
          <m:f>
            <m:fPr>
              <m:ctrlPr>
                <w:rPr>
                  <w:rFonts w:ascii="Cambria Math" w:hAnsi="Cambria Math" w:cs="Times New Roman"/>
                  <w:i/>
                </w:rPr>
              </m:ctrlPr>
            </m:fPr>
            <m:num>
              <m:r>
                <w:rPr>
                  <w:rFonts w:ascii="Cambria Math" w:hAnsi="Cambria Math" w:cs="Times New Roman"/>
                </w:rPr>
                <m:t xml:space="preserve">BB  assets and liabilities denominated in material currency converted to EUR </m:t>
              </m:r>
              <m:r>
                <w:rPr>
                  <w:rStyle w:val="FootnoteReference"/>
                  <w:rFonts w:ascii="Cambria Math" w:hAnsi="Cambria Math" w:cs="Times New Roman"/>
                  <w:i/>
                </w:rPr>
                <w:footnoteReference w:id="2"/>
              </m:r>
              <m:r>
                <w:rPr>
                  <w:rFonts w:ascii="Cambria Math" w:hAnsi="Cambria Math" w:cs="Times New Roman"/>
                </w:rPr>
                <m:t xml:space="preserve"> </m:t>
              </m:r>
            </m:num>
            <m:den>
              <m:r>
                <w:rPr>
                  <w:rFonts w:ascii="Cambria Math" w:hAnsi="Cambria Math" w:cs="Times New Roman"/>
                </w:rPr>
                <m:t xml:space="preserve">Total BB assets and liabilites converted to EUR </m:t>
              </m:r>
            </m:den>
          </m:f>
        </m:oMath>
      </m:oMathPara>
    </w:p>
    <w:p w14:paraId="51FEF48F" w14:textId="77777777" w:rsidR="00271777" w:rsidRPr="006521B5" w:rsidRDefault="00271777" w:rsidP="00271777">
      <w:pPr>
        <w:pStyle w:val="ListParagraph"/>
        <w:spacing w:before="120" w:line="360" w:lineRule="auto"/>
        <w:ind w:left="426"/>
        <w:jc w:val="both"/>
        <w:rPr>
          <w:rFonts w:ascii="Times New Roman" w:hAnsi="Times New Roman" w:cs="Times New Roman"/>
        </w:rPr>
      </w:pPr>
    </w:p>
    <w:p w14:paraId="3CF8F5E7" w14:textId="77777777" w:rsidR="00271777" w:rsidRPr="00DB1635" w:rsidRDefault="00271777" w:rsidP="00271777">
      <w:pPr>
        <w:pStyle w:val="Heading2"/>
        <w:spacing w:before="120" w:line="360" w:lineRule="auto"/>
        <w:ind w:left="720"/>
        <w:rPr>
          <w:rFonts w:ascii="Times New Roman" w:hAnsi="Times New Roman" w:cs="Times New Roman"/>
          <w:color w:val="auto"/>
        </w:rPr>
      </w:pPr>
      <w:bookmarkStart w:id="16" w:name="_Ref459879553"/>
      <w:bookmarkStart w:id="17" w:name="_Toc11660164"/>
      <w:r w:rsidRPr="00DB1635">
        <w:rPr>
          <w:rFonts w:ascii="Times New Roman" w:hAnsi="Times New Roman" w:cs="Times New Roman"/>
          <w:color w:val="auto"/>
        </w:rPr>
        <w:t>Template</w:t>
      </w:r>
      <w:r>
        <w:rPr>
          <w:rFonts w:ascii="Times New Roman" w:hAnsi="Times New Roman" w:cs="Times New Roman"/>
          <w:color w:val="auto"/>
        </w:rPr>
        <w:t>s</w:t>
      </w:r>
      <w:r w:rsidRPr="00DB1635">
        <w:rPr>
          <w:rFonts w:ascii="Times New Roman" w:hAnsi="Times New Roman" w:cs="Times New Roman"/>
          <w:color w:val="auto"/>
        </w:rPr>
        <w:t xml:space="preserve"> </w:t>
      </w:r>
      <w:r>
        <w:rPr>
          <w:rFonts w:ascii="Times New Roman" w:hAnsi="Times New Roman" w:cs="Times New Roman"/>
          <w:color w:val="auto"/>
        </w:rPr>
        <w:t xml:space="preserve">1 – 5 </w:t>
      </w:r>
      <w:r w:rsidRPr="00DB1635">
        <w:rPr>
          <w:rFonts w:ascii="Times New Roman" w:hAnsi="Times New Roman" w:cs="Times New Roman"/>
          <w:color w:val="auto"/>
        </w:rPr>
        <w:t>“</w:t>
      </w:r>
      <w:r>
        <w:rPr>
          <w:rFonts w:ascii="Times New Roman" w:hAnsi="Times New Roman" w:cs="Times New Roman"/>
          <w:color w:val="auto"/>
        </w:rPr>
        <w:t>IRRBB Material Currencies” and “Other material currencies</w:t>
      </w:r>
      <w:r w:rsidRPr="00DB1635">
        <w:rPr>
          <w:rFonts w:ascii="Times New Roman" w:hAnsi="Times New Roman" w:cs="Times New Roman"/>
          <w:color w:val="auto"/>
        </w:rPr>
        <w:t>”</w:t>
      </w:r>
      <w:bookmarkEnd w:id="16"/>
      <w:bookmarkEnd w:id="17"/>
    </w:p>
    <w:p w14:paraId="35FE8499"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r w:rsidRPr="006521B5">
        <w:rPr>
          <w:rFonts w:ascii="Times New Roman" w:hAnsi="Times New Roman" w:cs="Times New Roman"/>
        </w:rPr>
        <w:t xml:space="preserve">Templates </w:t>
      </w:r>
      <w:r w:rsidRPr="00D65859">
        <w:rPr>
          <w:rFonts w:ascii="Times New Roman" w:eastAsiaTheme="majorEastAsia" w:hAnsi="Times New Roman" w:cs="Times New Roman"/>
          <w:b/>
          <w:color w:val="1F497D" w:themeColor="text2"/>
          <w:szCs w:val="24"/>
        </w:rPr>
        <w:t>IRRBB Material Currencies 1 to 4</w:t>
      </w:r>
      <w:r>
        <w:rPr>
          <w:rFonts w:ascii="Times New Roman" w:hAnsi="Times New Roman" w:cs="Times New Roman"/>
        </w:rPr>
        <w:t xml:space="preserve"> and </w:t>
      </w:r>
      <w:r w:rsidRPr="00D65859">
        <w:rPr>
          <w:rFonts w:ascii="Times New Roman" w:eastAsiaTheme="majorEastAsia" w:hAnsi="Times New Roman" w:cs="Times New Roman"/>
          <w:b/>
          <w:color w:val="1F497D" w:themeColor="text2"/>
          <w:szCs w:val="24"/>
        </w:rPr>
        <w:t xml:space="preserve">IRRBB Other Material Currencies </w:t>
      </w:r>
      <w:proofErr w:type="gramStart"/>
      <w:r w:rsidRPr="00D65859">
        <w:rPr>
          <w:rFonts w:ascii="Times New Roman" w:eastAsiaTheme="majorEastAsia" w:hAnsi="Times New Roman" w:cs="Times New Roman"/>
          <w:b/>
          <w:color w:val="1F497D" w:themeColor="text2"/>
          <w:szCs w:val="24"/>
        </w:rPr>
        <w:t xml:space="preserve">IRRBB </w:t>
      </w:r>
      <w:r>
        <w:rPr>
          <w:rFonts w:ascii="Times New Roman" w:eastAsiaTheme="majorEastAsia" w:hAnsi="Times New Roman" w:cs="Times New Roman"/>
          <w:b/>
          <w:color w:val="1F497D" w:themeColor="text2"/>
          <w:szCs w:val="24"/>
        </w:rPr>
        <w:t xml:space="preserve"> </w:t>
      </w:r>
      <w:r>
        <w:rPr>
          <w:rFonts w:ascii="Times New Roman" w:hAnsi="Times New Roman" w:cs="Times New Roman"/>
        </w:rPr>
        <w:t>allow</w:t>
      </w:r>
      <w:proofErr w:type="gramEnd"/>
      <w:r w:rsidRPr="006521B5">
        <w:rPr>
          <w:rFonts w:ascii="Times New Roman" w:hAnsi="Times New Roman" w:cs="Times New Roman"/>
        </w:rPr>
        <w:t xml:space="preserve"> institutions to slot</w:t>
      </w:r>
      <w:r>
        <w:rPr>
          <w:rFonts w:ascii="Times New Roman" w:hAnsi="Times New Roman" w:cs="Times New Roman"/>
        </w:rPr>
        <w:t xml:space="preserve"> per time bands and per material currency</w:t>
      </w:r>
      <w:r w:rsidRPr="006521B5">
        <w:rPr>
          <w:rFonts w:ascii="Times New Roman" w:hAnsi="Times New Roman" w:cs="Times New Roman"/>
        </w:rPr>
        <w:t xml:space="preserve"> all notional repricing cash</w:t>
      </w:r>
      <w:r>
        <w:rPr>
          <w:rFonts w:ascii="Times New Roman" w:hAnsi="Times New Roman" w:cs="Times New Roman"/>
        </w:rPr>
        <w:t xml:space="preserve"> </w:t>
      </w:r>
      <w:r w:rsidRPr="006521B5">
        <w:rPr>
          <w:rFonts w:ascii="Times New Roman" w:hAnsi="Times New Roman" w:cs="Times New Roman"/>
        </w:rPr>
        <w:t xml:space="preserve">flows arising from </w:t>
      </w:r>
      <w:r>
        <w:rPr>
          <w:rFonts w:ascii="Times New Roman" w:hAnsi="Times New Roman" w:cs="Times New Roman"/>
        </w:rPr>
        <w:t xml:space="preserve">material </w:t>
      </w:r>
      <w:r w:rsidRPr="006521B5">
        <w:rPr>
          <w:rFonts w:ascii="Times New Roman" w:hAnsi="Times New Roman" w:cs="Times New Roman"/>
        </w:rPr>
        <w:t>interest-rate sensitive</w:t>
      </w:r>
      <w:r>
        <w:rPr>
          <w:rFonts w:ascii="Times New Roman" w:hAnsi="Times New Roman" w:cs="Times New Roman"/>
        </w:rPr>
        <w:t xml:space="preserve"> on- and o</w:t>
      </w:r>
      <w:r w:rsidRPr="006521B5">
        <w:rPr>
          <w:rFonts w:ascii="Times New Roman" w:hAnsi="Times New Roman" w:cs="Times New Roman"/>
        </w:rPr>
        <w:t>ff-balance sheet</w:t>
      </w:r>
      <w:r>
        <w:rPr>
          <w:rFonts w:ascii="Times New Roman" w:hAnsi="Times New Roman" w:cs="Times New Roman"/>
        </w:rPr>
        <w:t xml:space="preserve"> items, i</w:t>
      </w:r>
      <w:r w:rsidRPr="00430F45">
        <w:rPr>
          <w:rFonts w:ascii="Times New Roman" w:hAnsi="Times New Roman" w:cs="Times New Roman"/>
          <w:sz w:val="16"/>
        </w:rPr>
        <w:t>.</w:t>
      </w:r>
      <w:r>
        <w:rPr>
          <w:rFonts w:ascii="Times New Roman" w:hAnsi="Times New Roman" w:cs="Times New Roman"/>
        </w:rPr>
        <w:t>e</w:t>
      </w:r>
      <w:r w:rsidRPr="00430F45">
        <w:rPr>
          <w:rFonts w:ascii="Times New Roman" w:hAnsi="Times New Roman" w:cs="Times New Roman"/>
          <w:sz w:val="16"/>
        </w:rPr>
        <w:t>.</w:t>
      </w:r>
      <w:r>
        <w:rPr>
          <w:rFonts w:ascii="Times New Roman" w:hAnsi="Times New Roman" w:cs="Times New Roman"/>
        </w:rPr>
        <w:t>:</w:t>
      </w:r>
    </w:p>
    <w:p w14:paraId="0031A7B8" w14:textId="77777777" w:rsidR="00271777" w:rsidRPr="00D65859" w:rsidRDefault="00271777" w:rsidP="00271777">
      <w:pPr>
        <w:pStyle w:val="ListParagraph"/>
        <w:numPr>
          <w:ilvl w:val="1"/>
          <w:numId w:val="2"/>
        </w:numPr>
        <w:spacing w:before="120" w:line="360" w:lineRule="auto"/>
        <w:jc w:val="both"/>
        <w:rPr>
          <w:rFonts w:ascii="Times New Roman" w:hAnsi="Times New Roman" w:cs="Times New Roman"/>
        </w:rPr>
      </w:pPr>
      <w:r>
        <w:rPr>
          <w:rFonts w:ascii="Times New Roman" w:hAnsi="Times New Roman" w:cs="Times New Roman"/>
        </w:rPr>
        <w:t>a</w:t>
      </w:r>
      <w:r w:rsidRPr="00D65859">
        <w:rPr>
          <w:rFonts w:ascii="Times New Roman" w:hAnsi="Times New Roman" w:cs="Times New Roman"/>
        </w:rPr>
        <w:t xml:space="preserve">ssets, which are not deducted from Common Equity Tier 1 (CET1) </w:t>
      </w:r>
      <w:proofErr w:type="gramStart"/>
      <w:r w:rsidRPr="00D65859">
        <w:rPr>
          <w:rFonts w:ascii="Times New Roman" w:hAnsi="Times New Roman" w:cs="Times New Roman"/>
        </w:rPr>
        <w:t>capital</w:t>
      </w:r>
      <w:proofErr w:type="gramEnd"/>
      <w:r w:rsidRPr="00D65859">
        <w:rPr>
          <w:rFonts w:ascii="Times New Roman" w:hAnsi="Times New Roman" w:cs="Times New Roman"/>
        </w:rPr>
        <w:t xml:space="preserve"> and which exclude (i) fixed assets such as real estate or intangible assets and (ii) equity exposures in the banking book; </w:t>
      </w:r>
    </w:p>
    <w:p w14:paraId="0BFBF1EC" w14:textId="77777777" w:rsidR="00271777" w:rsidRDefault="00271777" w:rsidP="00271777">
      <w:pPr>
        <w:pStyle w:val="ListParagraph"/>
        <w:numPr>
          <w:ilvl w:val="1"/>
          <w:numId w:val="2"/>
        </w:numPr>
        <w:spacing w:before="120" w:line="360" w:lineRule="auto"/>
        <w:jc w:val="both"/>
        <w:rPr>
          <w:rFonts w:ascii="Times New Roman" w:hAnsi="Times New Roman" w:cs="Times New Roman"/>
        </w:rPr>
      </w:pPr>
      <w:r>
        <w:rPr>
          <w:rFonts w:ascii="Times New Roman" w:hAnsi="Times New Roman" w:cs="Times New Roman"/>
        </w:rPr>
        <w:t>liabilities</w:t>
      </w:r>
      <w:r w:rsidRPr="00D65859">
        <w:rPr>
          <w:rFonts w:ascii="Times New Roman" w:hAnsi="Times New Roman" w:cs="Times New Roman"/>
        </w:rPr>
        <w:t xml:space="preserve"> (including all non-remunerated deposits), other than </w:t>
      </w:r>
      <w:r w:rsidRPr="00A96F03">
        <w:rPr>
          <w:rFonts w:ascii="Times New Roman" w:hAnsi="Times New Roman" w:cs="Times New Roman"/>
        </w:rPr>
        <w:t xml:space="preserve">CET1 instruments and other </w:t>
      </w:r>
      <w:r>
        <w:rPr>
          <w:rFonts w:ascii="Times New Roman" w:hAnsi="Times New Roman" w:cs="Times New Roman"/>
        </w:rPr>
        <w:t xml:space="preserve">than </w:t>
      </w:r>
      <w:r w:rsidRPr="00A96F03">
        <w:rPr>
          <w:rFonts w:ascii="Times New Roman" w:hAnsi="Times New Roman" w:cs="Times New Roman"/>
        </w:rPr>
        <w:t xml:space="preserve">perpetual own funds without any call </w:t>
      </w:r>
      <w:proofErr w:type="gramStart"/>
      <w:r w:rsidRPr="00A96F03">
        <w:rPr>
          <w:rFonts w:ascii="Times New Roman" w:hAnsi="Times New Roman" w:cs="Times New Roman"/>
        </w:rPr>
        <w:t>dates</w:t>
      </w:r>
      <w:r>
        <w:rPr>
          <w:rFonts w:ascii="Times New Roman" w:hAnsi="Times New Roman" w:cs="Times New Roman"/>
        </w:rPr>
        <w:t>;</w:t>
      </w:r>
      <w:proofErr w:type="gramEnd"/>
    </w:p>
    <w:p w14:paraId="5B7CA76D" w14:textId="77777777" w:rsidR="00271777" w:rsidRDefault="00271777" w:rsidP="00271777">
      <w:pPr>
        <w:pStyle w:val="ListParagraph"/>
        <w:numPr>
          <w:ilvl w:val="1"/>
          <w:numId w:val="2"/>
        </w:numPr>
        <w:spacing w:before="120" w:line="360" w:lineRule="auto"/>
        <w:jc w:val="both"/>
        <w:rPr>
          <w:rFonts w:ascii="Times New Roman" w:hAnsi="Times New Roman" w:cs="Times New Roman"/>
        </w:rPr>
      </w:pPr>
      <w:r>
        <w:rPr>
          <w:rFonts w:ascii="Times New Roman" w:hAnsi="Times New Roman" w:cs="Times New Roman"/>
        </w:rPr>
        <w:t>off-balance sheet items</w:t>
      </w:r>
      <w:r w:rsidRPr="00430F45">
        <w:rPr>
          <w:rFonts w:ascii="Times New Roman" w:hAnsi="Times New Roman" w:cs="Times New Roman"/>
          <w:sz w:val="16"/>
        </w:rPr>
        <w:t>.</w:t>
      </w:r>
    </w:p>
    <w:p w14:paraId="582FEDC2"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r w:rsidRPr="00D65859">
        <w:rPr>
          <w:rFonts w:ascii="Times New Roman" w:hAnsi="Times New Roman" w:cs="Times New Roman"/>
        </w:rPr>
        <w:t xml:space="preserve">A notional repricing cash flow </w:t>
      </w:r>
      <w:r>
        <w:rPr>
          <w:rFonts w:ascii="Times New Roman" w:hAnsi="Times New Roman" w:cs="Times New Roman"/>
        </w:rPr>
        <w:t xml:space="preserve">is </w:t>
      </w:r>
      <w:r w:rsidRPr="00D65859">
        <w:rPr>
          <w:rFonts w:ascii="Times New Roman" w:hAnsi="Times New Roman" w:cs="Times New Roman"/>
        </w:rPr>
        <w:t xml:space="preserve">defined as: </w:t>
      </w:r>
    </w:p>
    <w:p w14:paraId="41C10EFB" w14:textId="77777777" w:rsidR="00271777" w:rsidRDefault="00271777" w:rsidP="00271777">
      <w:pPr>
        <w:pStyle w:val="ListParagraph"/>
        <w:numPr>
          <w:ilvl w:val="1"/>
          <w:numId w:val="2"/>
        </w:numPr>
        <w:spacing w:before="120" w:line="360" w:lineRule="auto"/>
        <w:jc w:val="both"/>
        <w:rPr>
          <w:rFonts w:ascii="Times New Roman" w:hAnsi="Times New Roman" w:cs="Times New Roman"/>
        </w:rPr>
      </w:pPr>
      <w:r w:rsidRPr="00D65859">
        <w:rPr>
          <w:rFonts w:ascii="Times New Roman" w:hAnsi="Times New Roman" w:cs="Times New Roman"/>
        </w:rPr>
        <w:lastRenderedPageBreak/>
        <w:t>any repayment of principal (</w:t>
      </w:r>
      <w:proofErr w:type="gramStart"/>
      <w:r w:rsidRPr="00D65859">
        <w:rPr>
          <w:rFonts w:ascii="Times New Roman" w:hAnsi="Times New Roman" w:cs="Times New Roman"/>
        </w:rPr>
        <w:t>e</w:t>
      </w:r>
      <w:r w:rsidRPr="00430F45">
        <w:rPr>
          <w:rFonts w:ascii="Times New Roman" w:hAnsi="Times New Roman" w:cs="Times New Roman"/>
          <w:sz w:val="16"/>
        </w:rPr>
        <w:t>.</w:t>
      </w:r>
      <w:r w:rsidRPr="00D65859">
        <w:rPr>
          <w:rFonts w:ascii="Times New Roman" w:hAnsi="Times New Roman" w:cs="Times New Roman"/>
        </w:rPr>
        <w:t>g</w:t>
      </w:r>
      <w:r w:rsidRPr="00430F45">
        <w:rPr>
          <w:rFonts w:ascii="Times New Roman" w:hAnsi="Times New Roman" w:cs="Times New Roman"/>
          <w:sz w:val="16"/>
        </w:rPr>
        <w:t>.</w:t>
      </w:r>
      <w:proofErr w:type="gramEnd"/>
      <w:r w:rsidRPr="00D65859">
        <w:rPr>
          <w:rFonts w:ascii="Times New Roman" w:hAnsi="Times New Roman" w:cs="Times New Roman"/>
        </w:rPr>
        <w:t xml:space="preserve"> at contractual maturity)</w:t>
      </w:r>
      <w:r>
        <w:rPr>
          <w:rFonts w:ascii="Times New Roman" w:hAnsi="Times New Roman" w:cs="Times New Roman"/>
        </w:rPr>
        <w:t xml:space="preserve">; </w:t>
      </w:r>
    </w:p>
    <w:p w14:paraId="2668956B" w14:textId="77777777" w:rsidR="00271777" w:rsidRDefault="00271777" w:rsidP="00271777">
      <w:pPr>
        <w:pStyle w:val="ListParagraph"/>
        <w:numPr>
          <w:ilvl w:val="1"/>
          <w:numId w:val="2"/>
        </w:numPr>
        <w:spacing w:before="120" w:line="360" w:lineRule="auto"/>
        <w:jc w:val="both"/>
        <w:rPr>
          <w:rFonts w:ascii="Times New Roman" w:hAnsi="Times New Roman" w:cs="Times New Roman"/>
        </w:rPr>
      </w:pPr>
      <w:r w:rsidRPr="00D65859">
        <w:rPr>
          <w:rFonts w:ascii="Times New Roman" w:hAnsi="Times New Roman" w:cs="Times New Roman"/>
        </w:rPr>
        <w:t>any repricing of principal</w:t>
      </w:r>
      <w:r>
        <w:rPr>
          <w:rFonts w:ascii="Times New Roman" w:hAnsi="Times New Roman" w:cs="Times New Roman"/>
        </w:rPr>
        <w:t>, where</w:t>
      </w:r>
      <w:r w:rsidRPr="00D65859">
        <w:rPr>
          <w:rFonts w:ascii="Times New Roman" w:hAnsi="Times New Roman" w:cs="Times New Roman"/>
        </w:rPr>
        <w:t xml:space="preserve"> repricing is said to occur at the earliest date at which either the </w:t>
      </w:r>
      <w:r>
        <w:rPr>
          <w:rFonts w:ascii="Times New Roman" w:hAnsi="Times New Roman" w:cs="Times New Roman"/>
        </w:rPr>
        <w:t>institution</w:t>
      </w:r>
      <w:r w:rsidRPr="00D65859">
        <w:rPr>
          <w:rFonts w:ascii="Times New Roman" w:hAnsi="Times New Roman" w:cs="Times New Roman"/>
        </w:rPr>
        <w:t xml:space="preserve"> or its counterparty is entitled to unilaterally change the interest rate, or at which the rate on a floating rate instrument changes automatically in response to a change in an external benchmark; </w:t>
      </w:r>
      <w:r>
        <w:rPr>
          <w:rFonts w:ascii="Times New Roman" w:hAnsi="Times New Roman" w:cs="Times New Roman"/>
        </w:rPr>
        <w:t>and</w:t>
      </w:r>
    </w:p>
    <w:p w14:paraId="1538E25F" w14:textId="77777777" w:rsidR="00271777" w:rsidRDefault="00271777" w:rsidP="00271777">
      <w:pPr>
        <w:pStyle w:val="ListParagraph"/>
        <w:numPr>
          <w:ilvl w:val="1"/>
          <w:numId w:val="2"/>
        </w:numPr>
        <w:spacing w:before="120" w:line="360" w:lineRule="auto"/>
        <w:jc w:val="both"/>
        <w:rPr>
          <w:rFonts w:ascii="Times New Roman" w:hAnsi="Times New Roman" w:cs="Times New Roman"/>
        </w:rPr>
      </w:pPr>
      <w:r w:rsidRPr="00D65859">
        <w:rPr>
          <w:rFonts w:ascii="Times New Roman" w:hAnsi="Times New Roman" w:cs="Times New Roman"/>
        </w:rPr>
        <w:t>any interest payment on a tranche of principal that has not yet been repaid or repriced; spread components of interest payments on a tranche of principal that has not yet been repaid and which do not reprice must be slotted until their contractual maturity irrespective of whether the non-amortised principal has been repriced or not</w:t>
      </w:r>
      <w:r w:rsidRPr="00430F45">
        <w:rPr>
          <w:rFonts w:ascii="Times New Roman" w:hAnsi="Times New Roman" w:cs="Times New Roman"/>
          <w:sz w:val="16"/>
        </w:rPr>
        <w:t>.</w:t>
      </w:r>
      <w:r w:rsidRPr="00D65859">
        <w:rPr>
          <w:rFonts w:ascii="Times New Roman" w:hAnsi="Times New Roman" w:cs="Times New Roman"/>
        </w:rPr>
        <w:t xml:space="preserve"> </w:t>
      </w:r>
    </w:p>
    <w:p w14:paraId="42510857" w14:textId="77777777" w:rsidR="00271777" w:rsidRPr="00D65859" w:rsidRDefault="00271777" w:rsidP="00271777">
      <w:pPr>
        <w:pStyle w:val="ListParagraph"/>
        <w:numPr>
          <w:ilvl w:val="0"/>
          <w:numId w:val="2"/>
        </w:numPr>
        <w:spacing w:before="120" w:line="360" w:lineRule="auto"/>
        <w:ind w:left="426"/>
        <w:jc w:val="both"/>
        <w:rPr>
          <w:rFonts w:ascii="Times New Roman" w:hAnsi="Times New Roman" w:cs="Times New Roman"/>
        </w:rPr>
      </w:pPr>
      <w:r w:rsidRPr="00D65859">
        <w:rPr>
          <w:rFonts w:ascii="Times New Roman" w:hAnsi="Times New Roman" w:cs="Times New Roman"/>
        </w:rPr>
        <w:t>The date of each repayment, repricing or interest payment is referred to as its repricing date</w:t>
      </w:r>
      <w:r w:rsidRPr="00430F45">
        <w:rPr>
          <w:rFonts w:ascii="Times New Roman" w:hAnsi="Times New Roman" w:cs="Times New Roman"/>
          <w:sz w:val="16"/>
        </w:rPr>
        <w:t>.</w:t>
      </w:r>
    </w:p>
    <w:p w14:paraId="39B9C36E"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r w:rsidRPr="006521B5">
        <w:rPr>
          <w:rFonts w:ascii="Times New Roman" w:hAnsi="Times New Roman" w:cs="Times New Roman"/>
        </w:rPr>
        <w:t xml:space="preserve">The current </w:t>
      </w:r>
      <w:r w:rsidRPr="00D65859">
        <w:rPr>
          <w:rFonts w:ascii="Times New Roman" w:eastAsiaTheme="majorEastAsia" w:hAnsi="Times New Roman" w:cs="Times New Roman"/>
          <w:b/>
          <w:color w:val="1F497D" w:themeColor="text2"/>
          <w:szCs w:val="24"/>
        </w:rPr>
        <w:t>IRRBB Material Currencies 1 to 4</w:t>
      </w:r>
      <w:r>
        <w:rPr>
          <w:rFonts w:ascii="Times New Roman" w:hAnsi="Times New Roman" w:cs="Times New Roman"/>
        </w:rPr>
        <w:t xml:space="preserve"> </w:t>
      </w:r>
      <w:r w:rsidRPr="006521B5">
        <w:rPr>
          <w:rFonts w:ascii="Times New Roman" w:hAnsi="Times New Roman" w:cs="Times New Roman"/>
        </w:rPr>
        <w:t>invite institutions to report the maturity schedule for notiona</w:t>
      </w:r>
      <w:r>
        <w:rPr>
          <w:rFonts w:ascii="Times New Roman" w:hAnsi="Times New Roman" w:cs="Times New Roman"/>
        </w:rPr>
        <w:t>l repricing cash flows for the four</w:t>
      </w:r>
      <w:r w:rsidRPr="006521B5">
        <w:rPr>
          <w:rFonts w:ascii="Times New Roman" w:hAnsi="Times New Roman" w:cs="Times New Roman"/>
        </w:rPr>
        <w:t xml:space="preserve"> most material currencies</w:t>
      </w:r>
      <w:r w:rsidRPr="00430F45">
        <w:rPr>
          <w:rFonts w:ascii="Times New Roman" w:hAnsi="Times New Roman" w:cs="Times New Roman"/>
          <w:sz w:val="16"/>
        </w:rPr>
        <w:t>.</w:t>
      </w:r>
      <w:r w:rsidRPr="006521B5">
        <w:rPr>
          <w:rFonts w:ascii="Times New Roman" w:hAnsi="Times New Roman" w:cs="Times New Roman"/>
        </w:rPr>
        <w:t xml:space="preserve"> Templates </w:t>
      </w:r>
      <w:r>
        <w:rPr>
          <w:rFonts w:ascii="Times New Roman" w:hAnsi="Times New Roman" w:cs="Times New Roman"/>
        </w:rPr>
        <w:t xml:space="preserve">1 to 4 </w:t>
      </w:r>
      <w:r w:rsidRPr="006521B5">
        <w:rPr>
          <w:rFonts w:ascii="Times New Roman" w:hAnsi="Times New Roman" w:cs="Times New Roman"/>
        </w:rPr>
        <w:t xml:space="preserve">“IRRBB Material currency n” should be filled in descending order of materiality where n=1 should be filled for the currency where the ratio </w:t>
      </w:r>
      <w:r>
        <w:rPr>
          <w:rFonts w:ascii="Times New Roman" w:hAnsi="Times New Roman" w:cs="Times New Roman"/>
        </w:rPr>
        <w:t xml:space="preserve">referred in paragraph 20 is </w:t>
      </w:r>
      <w:r w:rsidRPr="006521B5">
        <w:rPr>
          <w:rFonts w:ascii="Times New Roman" w:hAnsi="Times New Roman" w:cs="Times New Roman"/>
        </w:rPr>
        <w:t xml:space="preserve">highest, the Template IRRBB Material currency 2 for the currency where the ratio is the second highest and so forth until the </w:t>
      </w:r>
      <w:r>
        <w:rPr>
          <w:rFonts w:ascii="Times New Roman" w:hAnsi="Times New Roman" w:cs="Times New Roman"/>
        </w:rPr>
        <w:t>fourth</w:t>
      </w:r>
      <w:r w:rsidRPr="006521B5">
        <w:rPr>
          <w:rFonts w:ascii="Times New Roman" w:hAnsi="Times New Roman" w:cs="Times New Roman"/>
        </w:rPr>
        <w:t xml:space="preserve"> </w:t>
      </w:r>
      <w:r w:rsidRPr="003848D9">
        <w:rPr>
          <w:rFonts w:ascii="Times New Roman" w:hAnsi="Times New Roman" w:cs="Times New Roman"/>
        </w:rPr>
        <w:t xml:space="preserve">largest </w:t>
      </w:r>
      <w:r w:rsidRPr="006521B5">
        <w:rPr>
          <w:rFonts w:ascii="Times New Roman" w:hAnsi="Times New Roman" w:cs="Times New Roman"/>
        </w:rPr>
        <w:t>currenc</w:t>
      </w:r>
      <w:r>
        <w:rPr>
          <w:rFonts w:ascii="Times New Roman" w:hAnsi="Times New Roman" w:cs="Times New Roman"/>
        </w:rPr>
        <w:t xml:space="preserve">y, according to the ranking order defined in the </w:t>
      </w:r>
      <w:r w:rsidRPr="00C85864">
        <w:rPr>
          <w:rFonts w:ascii="Times New Roman" w:eastAsiaTheme="majorEastAsia" w:hAnsi="Times New Roman" w:cs="Times New Roman"/>
          <w:b/>
          <w:color w:val="1F497D" w:themeColor="text2"/>
          <w:szCs w:val="24"/>
        </w:rPr>
        <w:t xml:space="preserve">Template </w:t>
      </w:r>
      <w:r w:rsidRPr="003E1C2A">
        <w:rPr>
          <w:rFonts w:ascii="Times New Roman" w:hAnsi="Times New Roman"/>
          <w:b/>
          <w:color w:val="1F497D" w:themeColor="text2"/>
        </w:rPr>
        <w:t>0</w:t>
      </w:r>
      <w:r w:rsidRPr="00430F45">
        <w:rPr>
          <w:rFonts w:ascii="Times New Roman" w:eastAsiaTheme="majorEastAsia" w:hAnsi="Times New Roman" w:cs="Times New Roman"/>
          <w:b/>
          <w:color w:val="1F497D" w:themeColor="text2"/>
          <w:sz w:val="16"/>
          <w:szCs w:val="24"/>
        </w:rPr>
        <w:t>.</w:t>
      </w:r>
      <w:r w:rsidRPr="00C85864">
        <w:rPr>
          <w:rFonts w:ascii="Times New Roman" w:eastAsiaTheme="majorEastAsia" w:hAnsi="Times New Roman" w:cs="Times New Roman"/>
          <w:b/>
          <w:color w:val="1F497D" w:themeColor="text2"/>
          <w:szCs w:val="24"/>
        </w:rPr>
        <w:t xml:space="preserve"> </w:t>
      </w:r>
      <w:r w:rsidRPr="003E1C2A">
        <w:rPr>
          <w:rFonts w:ascii="Times New Roman" w:hAnsi="Times New Roman"/>
          <w:b/>
          <w:color w:val="1F497D" w:themeColor="text2"/>
        </w:rPr>
        <w:t>Identification</w:t>
      </w:r>
      <w:r w:rsidRPr="00430F45">
        <w:rPr>
          <w:rFonts w:ascii="Times New Roman" w:hAnsi="Times New Roman" w:cs="Times New Roman"/>
          <w:sz w:val="16"/>
        </w:rPr>
        <w:t>.</w:t>
      </w:r>
      <w:r>
        <w:rPr>
          <w:rFonts w:ascii="Times New Roman" w:hAnsi="Times New Roman" w:cs="Times New Roman"/>
        </w:rPr>
        <w:t xml:space="preserve"> </w:t>
      </w:r>
      <w:r w:rsidRPr="006521B5">
        <w:rPr>
          <w:rFonts w:ascii="Times New Roman" w:hAnsi="Times New Roman" w:cs="Times New Roman"/>
        </w:rPr>
        <w:t xml:space="preserve">The </w:t>
      </w:r>
      <w:r>
        <w:rPr>
          <w:rFonts w:ascii="Times New Roman" w:hAnsi="Times New Roman" w:cs="Times New Roman"/>
        </w:rPr>
        <w:t>template</w:t>
      </w:r>
      <w:r w:rsidRPr="006521B5">
        <w:rPr>
          <w:rFonts w:ascii="Times New Roman" w:hAnsi="Times New Roman" w:cs="Times New Roman"/>
        </w:rPr>
        <w:t xml:space="preserve"> </w:t>
      </w:r>
      <w:r w:rsidRPr="00D65859">
        <w:rPr>
          <w:rFonts w:ascii="Times New Roman" w:eastAsiaTheme="majorEastAsia" w:hAnsi="Times New Roman" w:cs="Times New Roman"/>
          <w:b/>
          <w:color w:val="1F497D" w:themeColor="text2"/>
          <w:szCs w:val="24"/>
        </w:rPr>
        <w:t xml:space="preserve">IRRBB </w:t>
      </w:r>
      <w:r>
        <w:rPr>
          <w:rFonts w:ascii="Times New Roman" w:eastAsiaTheme="majorEastAsia" w:hAnsi="Times New Roman" w:cs="Times New Roman"/>
          <w:b/>
          <w:color w:val="1F497D" w:themeColor="text2"/>
          <w:szCs w:val="24"/>
        </w:rPr>
        <w:t xml:space="preserve">Other Material Currencies </w:t>
      </w:r>
      <w:r w:rsidRPr="00C85864">
        <w:rPr>
          <w:rFonts w:ascii="Times New Roman" w:eastAsiaTheme="majorEastAsia" w:hAnsi="Times New Roman" w:cs="Times New Roman"/>
          <w:szCs w:val="24"/>
        </w:rPr>
        <w:t xml:space="preserve">aggregates the </w:t>
      </w:r>
      <w:r w:rsidRPr="00686999">
        <w:rPr>
          <w:rFonts w:ascii="Times New Roman" w:hAnsi="Times New Roman" w:cs="Times New Roman"/>
        </w:rPr>
        <w:t xml:space="preserve">maturity schedule for notional repricing cash flows for the material currencies that </w:t>
      </w:r>
      <w:r>
        <w:rPr>
          <w:rFonts w:ascii="Times New Roman" w:hAnsi="Times New Roman" w:cs="Times New Roman"/>
        </w:rPr>
        <w:t xml:space="preserve">were not reflected individually in the templates </w:t>
      </w:r>
      <w:r w:rsidRPr="00D65859">
        <w:rPr>
          <w:rFonts w:ascii="Times New Roman" w:eastAsiaTheme="majorEastAsia" w:hAnsi="Times New Roman" w:cs="Times New Roman"/>
          <w:b/>
          <w:color w:val="1F497D" w:themeColor="text2"/>
          <w:szCs w:val="24"/>
        </w:rPr>
        <w:t>IRRBB Material Currencies 1 to 4</w:t>
      </w:r>
      <w:r w:rsidRPr="00430F45">
        <w:rPr>
          <w:rFonts w:ascii="Times New Roman" w:hAnsi="Times New Roman"/>
          <w:b/>
          <w:color w:val="1F497D" w:themeColor="text2"/>
          <w:sz w:val="16"/>
        </w:rPr>
        <w:t>.</w:t>
      </w:r>
    </w:p>
    <w:p w14:paraId="268B13ED" w14:textId="77777777" w:rsidR="00271777" w:rsidRPr="00EC5251" w:rsidRDefault="00271777" w:rsidP="00271777">
      <w:pPr>
        <w:pStyle w:val="ListParagraph"/>
        <w:numPr>
          <w:ilvl w:val="0"/>
          <w:numId w:val="2"/>
        </w:numPr>
        <w:spacing w:before="120" w:line="360" w:lineRule="auto"/>
        <w:ind w:left="426"/>
        <w:jc w:val="both"/>
        <w:rPr>
          <w:rFonts w:ascii="Times New Roman" w:hAnsi="Times New Roman" w:cs="Times New Roman"/>
        </w:rPr>
      </w:pPr>
      <w:r w:rsidRPr="00EC5251">
        <w:rPr>
          <w:rFonts w:ascii="Times New Roman" w:hAnsi="Times New Roman" w:cs="Times New Roman"/>
        </w:rPr>
        <w:t>Institutions should fill</w:t>
      </w:r>
      <w:r>
        <w:rPr>
          <w:rFonts w:ascii="Times New Roman" w:hAnsi="Times New Roman" w:cs="Times New Roman"/>
        </w:rPr>
        <w:t xml:space="preserve"> </w:t>
      </w:r>
      <w:r w:rsidRPr="00EC5251">
        <w:rPr>
          <w:rFonts w:ascii="Times New Roman" w:hAnsi="Times New Roman" w:cs="Times New Roman"/>
        </w:rPr>
        <w:t xml:space="preserve">in the templates using a run-off balance-sheet </w:t>
      </w:r>
      <w:r>
        <w:rPr>
          <w:rFonts w:ascii="Times New Roman" w:hAnsi="Times New Roman" w:cs="Times New Roman"/>
        </w:rPr>
        <w:t>assumption</w:t>
      </w:r>
      <w:r w:rsidRPr="00EC5251">
        <w:rPr>
          <w:rFonts w:ascii="Times New Roman" w:hAnsi="Times New Roman" w:cs="Times New Roman"/>
        </w:rPr>
        <w:t>, i</w:t>
      </w:r>
      <w:r w:rsidRPr="00430F45">
        <w:rPr>
          <w:rFonts w:ascii="Times New Roman" w:hAnsi="Times New Roman" w:cs="Times New Roman"/>
          <w:sz w:val="16"/>
        </w:rPr>
        <w:t>.</w:t>
      </w:r>
      <w:r w:rsidRPr="00EC5251">
        <w:rPr>
          <w:rFonts w:ascii="Times New Roman" w:hAnsi="Times New Roman" w:cs="Times New Roman"/>
        </w:rPr>
        <w:t>e</w:t>
      </w:r>
      <w:r w:rsidRPr="00430F45">
        <w:rPr>
          <w:rFonts w:ascii="Times New Roman" w:hAnsi="Times New Roman" w:cs="Times New Roman"/>
          <w:sz w:val="16"/>
        </w:rPr>
        <w:t>.</w:t>
      </w:r>
      <w:r w:rsidRPr="00EC5251">
        <w:rPr>
          <w:rFonts w:ascii="Times New Roman" w:hAnsi="Times New Roman" w:cs="Times New Roman"/>
        </w:rPr>
        <w:t>, a balance sheet where existing interest rate sensitive non-trading book positions amortise and are not replaced by any new business</w:t>
      </w:r>
      <w:r w:rsidRPr="00430F45">
        <w:rPr>
          <w:rFonts w:ascii="Times New Roman" w:hAnsi="Times New Roman" w:cs="Times New Roman"/>
          <w:sz w:val="16"/>
        </w:rPr>
        <w:t>.</w:t>
      </w:r>
      <w:r w:rsidRPr="00EC5251">
        <w:rPr>
          <w:rFonts w:ascii="Times New Roman" w:hAnsi="Times New Roman" w:cs="Times New Roman"/>
        </w:rPr>
        <w:t xml:space="preserve"> In all cases, the notional repricing cash flows reported in the </w:t>
      </w:r>
      <w:r w:rsidRPr="006521B5">
        <w:rPr>
          <w:rFonts w:ascii="Times New Roman" w:hAnsi="Times New Roman" w:cs="Times New Roman"/>
        </w:rPr>
        <w:t xml:space="preserve">Templates </w:t>
      </w:r>
      <w:r w:rsidRPr="00D65859">
        <w:rPr>
          <w:rFonts w:ascii="Times New Roman" w:eastAsiaTheme="majorEastAsia" w:hAnsi="Times New Roman" w:cs="Times New Roman"/>
          <w:b/>
          <w:color w:val="1F497D" w:themeColor="text2"/>
          <w:szCs w:val="24"/>
        </w:rPr>
        <w:t>IRRBB Material Currencies 1 to 4</w:t>
      </w:r>
      <w:r>
        <w:rPr>
          <w:rFonts w:ascii="Times New Roman" w:hAnsi="Times New Roman" w:cs="Times New Roman"/>
        </w:rPr>
        <w:t xml:space="preserve"> and </w:t>
      </w:r>
      <w:r w:rsidRPr="00D65859">
        <w:rPr>
          <w:rFonts w:ascii="Times New Roman" w:eastAsiaTheme="majorEastAsia" w:hAnsi="Times New Roman" w:cs="Times New Roman"/>
          <w:b/>
          <w:color w:val="1F497D" w:themeColor="text2"/>
          <w:szCs w:val="24"/>
        </w:rPr>
        <w:t xml:space="preserve">IRRBB Other Material Currencies IRRBB </w:t>
      </w:r>
      <w:r w:rsidRPr="00BD2510">
        <w:rPr>
          <w:rFonts w:ascii="Times New Roman" w:hAnsi="Times New Roman" w:cs="Times New Roman"/>
        </w:rPr>
        <w:t>need</w:t>
      </w:r>
      <w:r w:rsidRPr="00EC5251">
        <w:rPr>
          <w:rFonts w:ascii="Times New Roman" w:hAnsi="Times New Roman" w:cs="Times New Roman"/>
        </w:rPr>
        <w:t xml:space="preserve"> to be allocated to the respective time buckets according to institutions’ current practices and </w:t>
      </w:r>
      <w:proofErr w:type="gramStart"/>
      <w:r w:rsidRPr="00EC5251">
        <w:rPr>
          <w:rFonts w:ascii="Times New Roman" w:hAnsi="Times New Roman" w:cs="Times New Roman"/>
        </w:rPr>
        <w:t>taking into account</w:t>
      </w:r>
      <w:proofErr w:type="gramEnd"/>
      <w:r w:rsidRPr="00EC5251">
        <w:rPr>
          <w:rFonts w:ascii="Times New Roman" w:hAnsi="Times New Roman" w:cs="Times New Roman"/>
        </w:rPr>
        <w:t xml:space="preserve"> the current interest rate scenario</w:t>
      </w:r>
      <w:r w:rsidRPr="00430F45">
        <w:rPr>
          <w:rFonts w:ascii="Times New Roman" w:hAnsi="Times New Roman" w:cs="Times New Roman"/>
          <w:sz w:val="16"/>
        </w:rPr>
        <w:t>.</w:t>
      </w:r>
      <w:r>
        <w:rPr>
          <w:rFonts w:ascii="Times New Roman" w:hAnsi="Times New Roman" w:cs="Times New Roman"/>
        </w:rPr>
        <w:t xml:space="preserve"> </w:t>
      </w:r>
    </w:p>
    <w:p w14:paraId="40883115"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r w:rsidRPr="003C2CEA">
        <w:rPr>
          <w:rFonts w:ascii="Times New Roman" w:hAnsi="Times New Roman" w:cs="Times New Roman"/>
        </w:rPr>
        <w:t xml:space="preserve">Institutions </w:t>
      </w:r>
      <w:r>
        <w:rPr>
          <w:rFonts w:ascii="Times New Roman" w:hAnsi="Times New Roman" w:cs="Times New Roman"/>
        </w:rPr>
        <w:t>may</w:t>
      </w:r>
      <w:r w:rsidRPr="00C85864">
        <w:rPr>
          <w:rFonts w:ascii="Times New Roman" w:hAnsi="Times New Roman" w:cs="Times New Roman"/>
        </w:rPr>
        <w:t xml:space="preserve"> deduct commercial margins and other spread components from the notional repricing cash flows, using a prudent and transparent methodology</w:t>
      </w:r>
      <w:r w:rsidRPr="003C2CEA">
        <w:rPr>
          <w:rFonts w:ascii="Times New Roman" w:hAnsi="Times New Roman" w:cs="Times New Roman"/>
        </w:rPr>
        <w:t>, in accordance with the internal management and measurement approach</w:t>
      </w:r>
      <w:r w:rsidRPr="00430F45">
        <w:rPr>
          <w:rFonts w:ascii="Times New Roman" w:hAnsi="Times New Roman" w:cs="Times New Roman"/>
          <w:sz w:val="16"/>
        </w:rPr>
        <w:t>.</w:t>
      </w:r>
      <w:r w:rsidRPr="003C2CEA">
        <w:rPr>
          <w:rFonts w:ascii="Times New Roman" w:hAnsi="Times New Roman" w:cs="Times New Roman"/>
        </w:rPr>
        <w:t xml:space="preserve"> However, this practice should be done consistently across business lines and across the group (for consolidated information)</w:t>
      </w:r>
      <w:r>
        <w:rPr>
          <w:rFonts w:ascii="Times New Roman" w:hAnsi="Times New Roman" w:cs="Times New Roman"/>
        </w:rPr>
        <w:t xml:space="preserve"> and using a transparent methodology for identifying the </w:t>
      </w:r>
      <w:proofErr w:type="gramStart"/>
      <w:r>
        <w:rPr>
          <w:rFonts w:ascii="Times New Roman" w:hAnsi="Times New Roman" w:cs="Times New Roman"/>
        </w:rPr>
        <w:t>risk free</w:t>
      </w:r>
      <w:proofErr w:type="gramEnd"/>
      <w:r>
        <w:rPr>
          <w:rFonts w:ascii="Times New Roman" w:hAnsi="Times New Roman" w:cs="Times New Roman"/>
        </w:rPr>
        <w:t xml:space="preserve"> rate at inception of each instrument, according to paragraph 115(i) of the EBA/GL/2018/02</w:t>
      </w:r>
      <w:r w:rsidRPr="00430F45">
        <w:rPr>
          <w:rFonts w:ascii="Times New Roman" w:hAnsi="Times New Roman" w:cs="Times New Roman"/>
          <w:sz w:val="16"/>
        </w:rPr>
        <w:t>.</w:t>
      </w:r>
    </w:p>
    <w:p w14:paraId="43CFBF21" w14:textId="77777777" w:rsidR="00271777" w:rsidRPr="00705605" w:rsidRDefault="00271777" w:rsidP="00271777">
      <w:pPr>
        <w:pStyle w:val="ListParagraph"/>
        <w:numPr>
          <w:ilvl w:val="0"/>
          <w:numId w:val="2"/>
        </w:numPr>
        <w:spacing w:before="120" w:line="360" w:lineRule="auto"/>
        <w:ind w:left="426"/>
        <w:jc w:val="both"/>
        <w:rPr>
          <w:rFonts w:ascii="Times New Roman" w:hAnsi="Times New Roman" w:cs="Times New Roman"/>
        </w:rPr>
      </w:pPr>
      <w:r>
        <w:rPr>
          <w:rFonts w:ascii="Times New Roman" w:hAnsi="Times New Roman" w:cs="Times New Roman"/>
        </w:rPr>
        <w:t>All the t</w:t>
      </w:r>
      <w:r w:rsidRPr="00705605">
        <w:rPr>
          <w:rFonts w:ascii="Times New Roman" w:hAnsi="Times New Roman" w:cs="Times New Roman"/>
        </w:rPr>
        <w:t>emplate</w:t>
      </w:r>
      <w:r>
        <w:rPr>
          <w:rFonts w:ascii="Times New Roman" w:hAnsi="Times New Roman" w:cs="Times New Roman"/>
        </w:rPr>
        <w:t>s</w:t>
      </w:r>
      <w:r w:rsidRPr="00705605">
        <w:rPr>
          <w:rFonts w:ascii="Times New Roman" w:hAnsi="Times New Roman" w:cs="Times New Roman"/>
        </w:rPr>
        <w:t xml:space="preserve"> </w:t>
      </w:r>
      <w:r>
        <w:rPr>
          <w:rFonts w:ascii="Times New Roman" w:hAnsi="Times New Roman" w:cs="Times New Roman"/>
        </w:rPr>
        <w:t>are</w:t>
      </w:r>
      <w:r w:rsidRPr="00705605">
        <w:rPr>
          <w:rFonts w:ascii="Times New Roman" w:hAnsi="Times New Roman" w:cs="Times New Roman"/>
        </w:rPr>
        <w:t xml:space="preserve"> divided in</w:t>
      </w:r>
      <w:r>
        <w:rPr>
          <w:rFonts w:ascii="Times New Roman" w:hAnsi="Times New Roman" w:cs="Times New Roman"/>
        </w:rPr>
        <w:t>to s</w:t>
      </w:r>
      <w:r w:rsidRPr="00F975F6">
        <w:rPr>
          <w:rFonts w:ascii="Times New Roman" w:hAnsi="Times New Roman" w:cs="Times New Roman"/>
        </w:rPr>
        <w:t>ection A</w:t>
      </w:r>
      <w:r>
        <w:rPr>
          <w:rFonts w:ascii="Times New Roman" w:hAnsi="Times New Roman" w:cs="Times New Roman"/>
        </w:rPr>
        <w:t xml:space="preserve"> and s</w:t>
      </w:r>
      <w:r w:rsidRPr="00F975F6">
        <w:rPr>
          <w:rFonts w:ascii="Times New Roman" w:hAnsi="Times New Roman" w:cs="Times New Roman"/>
        </w:rPr>
        <w:t>ection B</w:t>
      </w:r>
      <w:r w:rsidRPr="00430F45">
        <w:rPr>
          <w:rFonts w:ascii="Times New Roman" w:hAnsi="Times New Roman" w:cs="Times New Roman"/>
          <w:sz w:val="16"/>
        </w:rPr>
        <w:t>.</w:t>
      </w:r>
      <w:r w:rsidRPr="00705605">
        <w:rPr>
          <w:rFonts w:ascii="Times New Roman" w:hAnsi="Times New Roman" w:cs="Times New Roman"/>
        </w:rPr>
        <w:t xml:space="preserve"> </w:t>
      </w:r>
      <w:r>
        <w:rPr>
          <w:rFonts w:ascii="Times New Roman" w:hAnsi="Times New Roman" w:cs="Times New Roman"/>
        </w:rPr>
        <w:t>I</w:t>
      </w:r>
      <w:r w:rsidRPr="00705605">
        <w:rPr>
          <w:rFonts w:ascii="Times New Roman" w:hAnsi="Times New Roman" w:cs="Times New Roman"/>
        </w:rPr>
        <w:t xml:space="preserve">nstitutions </w:t>
      </w:r>
      <w:r>
        <w:rPr>
          <w:rFonts w:ascii="Times New Roman" w:hAnsi="Times New Roman" w:cs="Times New Roman"/>
        </w:rPr>
        <w:t xml:space="preserve">should fill-in section A according to the contractual conditions of all interest-rate sensitive instruments and before applying any modelling </w:t>
      </w:r>
      <w:proofErr w:type="gramStart"/>
      <w:r>
        <w:rPr>
          <w:rFonts w:ascii="Times New Roman" w:hAnsi="Times New Roman" w:cs="Times New Roman"/>
        </w:rPr>
        <w:t>assumptions, and</w:t>
      </w:r>
      <w:proofErr w:type="gramEnd"/>
      <w:r>
        <w:rPr>
          <w:rFonts w:ascii="Times New Roman" w:hAnsi="Times New Roman" w:cs="Times New Roman"/>
        </w:rPr>
        <w:t xml:space="preserve"> should fill in section B after considering their modelling assumptions</w:t>
      </w:r>
      <w:r w:rsidRPr="00430F45">
        <w:rPr>
          <w:rFonts w:ascii="Times New Roman" w:hAnsi="Times New Roman" w:cs="Times New Roman"/>
          <w:sz w:val="16"/>
        </w:rPr>
        <w:t>.</w:t>
      </w:r>
      <w:r>
        <w:rPr>
          <w:rFonts w:ascii="Times New Roman" w:hAnsi="Times New Roman" w:cs="Times New Roman"/>
        </w:rPr>
        <w:t xml:space="preserve"> When covering </w:t>
      </w:r>
      <w:proofErr w:type="gramStart"/>
      <w:r>
        <w:rPr>
          <w:rFonts w:ascii="Times New Roman" w:hAnsi="Times New Roman" w:cs="Times New Roman"/>
        </w:rPr>
        <w:t>section</w:t>
      </w:r>
      <w:proofErr w:type="gramEnd"/>
      <w:r>
        <w:rPr>
          <w:rFonts w:ascii="Times New Roman" w:hAnsi="Times New Roman" w:cs="Times New Roman"/>
        </w:rPr>
        <w:t xml:space="preserve"> A and section B of t</w:t>
      </w:r>
      <w:r w:rsidRPr="006521B5">
        <w:rPr>
          <w:rFonts w:ascii="Times New Roman" w:hAnsi="Times New Roman" w:cs="Times New Roman"/>
        </w:rPr>
        <w:t xml:space="preserve">emplates </w:t>
      </w:r>
      <w:r w:rsidRPr="00D65859">
        <w:rPr>
          <w:rFonts w:ascii="Times New Roman" w:eastAsiaTheme="majorEastAsia" w:hAnsi="Times New Roman" w:cs="Times New Roman"/>
          <w:b/>
          <w:color w:val="1F497D" w:themeColor="text2"/>
          <w:szCs w:val="24"/>
        </w:rPr>
        <w:t>IRRBB Material Currencies 1 to 4</w:t>
      </w:r>
      <w:r>
        <w:rPr>
          <w:rFonts w:ascii="Times New Roman" w:hAnsi="Times New Roman" w:cs="Times New Roman"/>
        </w:rPr>
        <w:t xml:space="preserve"> and </w:t>
      </w:r>
      <w:r w:rsidRPr="00D65859">
        <w:rPr>
          <w:rFonts w:ascii="Times New Roman" w:eastAsiaTheme="majorEastAsia" w:hAnsi="Times New Roman" w:cs="Times New Roman"/>
          <w:b/>
          <w:color w:val="1F497D" w:themeColor="text2"/>
          <w:szCs w:val="24"/>
        </w:rPr>
        <w:t>IRRBB Other Material Currencies IRRBB</w:t>
      </w:r>
      <w:r>
        <w:rPr>
          <w:rFonts w:ascii="Times New Roman" w:hAnsi="Times New Roman" w:cs="Times New Roman"/>
        </w:rPr>
        <w:t xml:space="preserve">, institutions should not take into account </w:t>
      </w:r>
      <w:r>
        <w:rPr>
          <w:rFonts w:ascii="Times New Roman" w:hAnsi="Times New Roman" w:cs="Times New Roman"/>
        </w:rPr>
        <w:lastRenderedPageBreak/>
        <w:t>embedded automatic optionality when slotting notional repricing cash flows among the time bands</w:t>
      </w:r>
      <w:r w:rsidRPr="00430F45">
        <w:rPr>
          <w:rFonts w:ascii="Times New Roman" w:hAnsi="Times New Roman" w:cs="Times New Roman"/>
          <w:sz w:val="16"/>
        </w:rPr>
        <w:t>.</w:t>
      </w:r>
      <w:r>
        <w:rPr>
          <w:rFonts w:ascii="Times New Roman" w:hAnsi="Times New Roman" w:cs="Times New Roman"/>
        </w:rPr>
        <w:t xml:space="preserve"> Precisely:</w:t>
      </w:r>
    </w:p>
    <w:p w14:paraId="13E4404A" w14:textId="77777777" w:rsidR="00271777" w:rsidRDefault="00271777" w:rsidP="00271777">
      <w:pPr>
        <w:pStyle w:val="ListParagraph"/>
        <w:numPr>
          <w:ilvl w:val="1"/>
          <w:numId w:val="2"/>
        </w:numPr>
        <w:spacing w:before="120" w:line="360" w:lineRule="auto"/>
        <w:jc w:val="both"/>
        <w:rPr>
          <w:rFonts w:ascii="Times New Roman" w:hAnsi="Times New Roman" w:cs="Times New Roman"/>
        </w:rPr>
      </w:pPr>
      <w:r w:rsidRPr="00A31567">
        <w:rPr>
          <w:rFonts w:ascii="Times New Roman" w:hAnsi="Times New Roman" w:cs="Times New Roman"/>
        </w:rPr>
        <w:t xml:space="preserve">Section A – Maturity schedule for </w:t>
      </w:r>
      <w:r w:rsidRPr="00C85864">
        <w:rPr>
          <w:rFonts w:ascii="Times New Roman" w:hAnsi="Times New Roman" w:cs="Times New Roman"/>
          <w:u w:val="single"/>
        </w:rPr>
        <w:t>all notional repricing</w:t>
      </w:r>
      <w:r w:rsidRPr="003E1C2A">
        <w:rPr>
          <w:rFonts w:ascii="Times New Roman" w:hAnsi="Times New Roman"/>
          <w:u w:val="single"/>
        </w:rPr>
        <w:t xml:space="preserve"> cash</w:t>
      </w:r>
      <w:r w:rsidRPr="00C85864">
        <w:rPr>
          <w:rFonts w:ascii="Times New Roman" w:hAnsi="Times New Roman" w:cs="Times New Roman"/>
          <w:u w:val="single"/>
        </w:rPr>
        <w:t xml:space="preserve"> </w:t>
      </w:r>
      <w:r w:rsidRPr="003E1C2A">
        <w:rPr>
          <w:rFonts w:ascii="Times New Roman" w:hAnsi="Times New Roman"/>
          <w:u w:val="single"/>
        </w:rPr>
        <w:t>flows</w:t>
      </w:r>
      <w:r w:rsidRPr="00A31567">
        <w:rPr>
          <w:rFonts w:ascii="Times New Roman" w:hAnsi="Times New Roman" w:cs="Times New Roman"/>
        </w:rPr>
        <w:t xml:space="preserve"> according to contractual conditions</w:t>
      </w:r>
      <w:r>
        <w:rPr>
          <w:rFonts w:ascii="Times New Roman" w:hAnsi="Times New Roman" w:cs="Times New Roman"/>
        </w:rPr>
        <w:t>, i</w:t>
      </w:r>
      <w:r w:rsidRPr="00430F45">
        <w:rPr>
          <w:rFonts w:ascii="Times New Roman" w:hAnsi="Times New Roman" w:cs="Times New Roman"/>
          <w:sz w:val="16"/>
        </w:rPr>
        <w:t>.</w:t>
      </w:r>
      <w:r>
        <w:rPr>
          <w:rFonts w:ascii="Times New Roman" w:hAnsi="Times New Roman" w:cs="Times New Roman"/>
        </w:rPr>
        <w:t>e</w:t>
      </w:r>
      <w:r w:rsidRPr="00430F45">
        <w:rPr>
          <w:rFonts w:ascii="Times New Roman" w:hAnsi="Times New Roman" w:cs="Times New Roman"/>
          <w:sz w:val="16"/>
        </w:rPr>
        <w:t>.</w:t>
      </w:r>
      <w:r>
        <w:rPr>
          <w:rFonts w:ascii="Times New Roman" w:hAnsi="Times New Roman" w:cs="Times New Roman"/>
        </w:rPr>
        <w:t>, without any effect of modelling assumptions:</w:t>
      </w:r>
    </w:p>
    <w:p w14:paraId="36830E8E" w14:textId="77777777" w:rsidR="00271777" w:rsidRDefault="00271777" w:rsidP="00271777">
      <w:pPr>
        <w:pStyle w:val="ListParagraph"/>
        <w:numPr>
          <w:ilvl w:val="2"/>
          <w:numId w:val="2"/>
        </w:numPr>
        <w:spacing w:before="120" w:line="360" w:lineRule="auto"/>
        <w:jc w:val="both"/>
        <w:rPr>
          <w:rFonts w:ascii="Times New Roman" w:hAnsi="Times New Roman" w:cs="Times New Roman"/>
        </w:rPr>
      </w:pPr>
      <w:r w:rsidRPr="00A31567">
        <w:rPr>
          <w:rFonts w:ascii="Times New Roman" w:hAnsi="Times New Roman" w:cs="Times New Roman"/>
        </w:rPr>
        <w:t xml:space="preserve">Sub-section </w:t>
      </w:r>
      <w:r>
        <w:rPr>
          <w:rFonts w:ascii="Times New Roman" w:hAnsi="Times New Roman" w:cs="Times New Roman"/>
        </w:rPr>
        <w:t>A</w:t>
      </w:r>
      <w:r w:rsidRPr="00A31567">
        <w:rPr>
          <w:rFonts w:ascii="Times New Roman" w:hAnsi="Times New Roman" w:cs="Times New Roman"/>
        </w:rPr>
        <w:t xml:space="preserve">1 – to report </w:t>
      </w:r>
      <w:r>
        <w:rPr>
          <w:rFonts w:ascii="Times New Roman" w:hAnsi="Times New Roman" w:cs="Times New Roman"/>
        </w:rPr>
        <w:t xml:space="preserve">notional repricing </w:t>
      </w:r>
      <w:r w:rsidRPr="00A31567">
        <w:rPr>
          <w:rFonts w:ascii="Times New Roman" w:hAnsi="Times New Roman" w:cs="Times New Roman"/>
        </w:rPr>
        <w:t>cash</w:t>
      </w:r>
      <w:r>
        <w:rPr>
          <w:rFonts w:ascii="Times New Roman" w:hAnsi="Times New Roman" w:cs="Times New Roman"/>
        </w:rPr>
        <w:t xml:space="preserve"> </w:t>
      </w:r>
      <w:r w:rsidRPr="00A31567">
        <w:rPr>
          <w:rFonts w:ascii="Times New Roman" w:hAnsi="Times New Roman" w:cs="Times New Roman"/>
        </w:rPr>
        <w:t xml:space="preserve">flows related to </w:t>
      </w:r>
      <w:r w:rsidRPr="00A31567">
        <w:rPr>
          <w:rFonts w:ascii="Times New Roman" w:hAnsi="Times New Roman" w:cs="Times New Roman"/>
          <w:u w:val="single"/>
        </w:rPr>
        <w:t xml:space="preserve">items without specified maturity or </w:t>
      </w:r>
      <w:proofErr w:type="gramStart"/>
      <w:r w:rsidRPr="00A31567">
        <w:rPr>
          <w:rFonts w:ascii="Times New Roman" w:hAnsi="Times New Roman" w:cs="Times New Roman"/>
          <w:u w:val="single"/>
        </w:rPr>
        <w:t>repricing</w:t>
      </w:r>
      <w:r>
        <w:rPr>
          <w:rFonts w:ascii="Times New Roman" w:hAnsi="Times New Roman" w:cs="Times New Roman"/>
          <w:u w:val="single"/>
        </w:rPr>
        <w:t>;</w:t>
      </w:r>
      <w:proofErr w:type="gramEnd"/>
      <w:r w:rsidRPr="00A31567">
        <w:rPr>
          <w:rFonts w:ascii="Times New Roman" w:hAnsi="Times New Roman" w:cs="Times New Roman"/>
        </w:rPr>
        <w:t xml:space="preserve"> </w:t>
      </w:r>
    </w:p>
    <w:p w14:paraId="5CD235DA" w14:textId="77777777" w:rsidR="00271777" w:rsidRDefault="00271777" w:rsidP="00271777">
      <w:pPr>
        <w:pStyle w:val="ListParagraph"/>
        <w:numPr>
          <w:ilvl w:val="2"/>
          <w:numId w:val="2"/>
        </w:numPr>
        <w:spacing w:before="120" w:line="360" w:lineRule="auto"/>
        <w:jc w:val="both"/>
        <w:rPr>
          <w:rFonts w:ascii="Times New Roman" w:hAnsi="Times New Roman" w:cs="Times New Roman"/>
        </w:rPr>
      </w:pPr>
      <w:r w:rsidRPr="00A31567">
        <w:rPr>
          <w:rFonts w:ascii="Times New Roman" w:hAnsi="Times New Roman" w:cs="Times New Roman"/>
        </w:rPr>
        <w:t xml:space="preserve">Sub-section </w:t>
      </w:r>
      <w:r>
        <w:rPr>
          <w:rFonts w:ascii="Times New Roman" w:hAnsi="Times New Roman" w:cs="Times New Roman"/>
        </w:rPr>
        <w:t>A</w:t>
      </w:r>
      <w:r w:rsidRPr="00A31567">
        <w:rPr>
          <w:rFonts w:ascii="Times New Roman" w:hAnsi="Times New Roman" w:cs="Times New Roman"/>
        </w:rPr>
        <w:t xml:space="preserve">2 – to report </w:t>
      </w:r>
      <w:r>
        <w:rPr>
          <w:rFonts w:ascii="Times New Roman" w:hAnsi="Times New Roman" w:cs="Times New Roman"/>
        </w:rPr>
        <w:t xml:space="preserve">notional repricing </w:t>
      </w:r>
      <w:r w:rsidRPr="00A31567">
        <w:rPr>
          <w:rFonts w:ascii="Times New Roman" w:hAnsi="Times New Roman" w:cs="Times New Roman"/>
        </w:rPr>
        <w:t>cash</w:t>
      </w:r>
      <w:r>
        <w:rPr>
          <w:rFonts w:ascii="Times New Roman" w:hAnsi="Times New Roman" w:cs="Times New Roman"/>
        </w:rPr>
        <w:t xml:space="preserve"> </w:t>
      </w:r>
      <w:r w:rsidRPr="00A31567">
        <w:rPr>
          <w:rFonts w:ascii="Times New Roman" w:hAnsi="Times New Roman" w:cs="Times New Roman"/>
        </w:rPr>
        <w:t xml:space="preserve">flows related to </w:t>
      </w:r>
      <w:r w:rsidRPr="00A31567">
        <w:rPr>
          <w:rFonts w:ascii="Times New Roman" w:hAnsi="Times New Roman" w:cs="Times New Roman"/>
          <w:u w:val="single"/>
        </w:rPr>
        <w:t xml:space="preserve">fixed rate </w:t>
      </w:r>
      <w:proofErr w:type="gramStart"/>
      <w:r w:rsidRPr="00A31567">
        <w:rPr>
          <w:rFonts w:ascii="Times New Roman" w:hAnsi="Times New Roman" w:cs="Times New Roman"/>
          <w:u w:val="single"/>
        </w:rPr>
        <w:t>instruments</w:t>
      </w:r>
      <w:r w:rsidRPr="003E1C2A">
        <w:rPr>
          <w:rFonts w:ascii="Times New Roman" w:hAnsi="Times New Roman"/>
          <w:u w:val="single"/>
        </w:rPr>
        <w:t>;</w:t>
      </w:r>
      <w:proofErr w:type="gramEnd"/>
    </w:p>
    <w:p w14:paraId="0768C4FD" w14:textId="77777777" w:rsidR="00271777" w:rsidRPr="00A31567" w:rsidRDefault="00271777" w:rsidP="00271777">
      <w:pPr>
        <w:pStyle w:val="ListParagraph"/>
        <w:numPr>
          <w:ilvl w:val="2"/>
          <w:numId w:val="2"/>
        </w:numPr>
        <w:spacing w:before="120" w:line="360" w:lineRule="auto"/>
        <w:jc w:val="both"/>
        <w:rPr>
          <w:rFonts w:ascii="Times New Roman" w:hAnsi="Times New Roman" w:cs="Times New Roman"/>
        </w:rPr>
      </w:pPr>
      <w:r w:rsidRPr="00A31567">
        <w:rPr>
          <w:rFonts w:ascii="Times New Roman" w:hAnsi="Times New Roman" w:cs="Times New Roman"/>
        </w:rPr>
        <w:t xml:space="preserve">Sub-section </w:t>
      </w:r>
      <w:r>
        <w:rPr>
          <w:rFonts w:ascii="Times New Roman" w:hAnsi="Times New Roman" w:cs="Times New Roman"/>
        </w:rPr>
        <w:t>A</w:t>
      </w:r>
      <w:r w:rsidRPr="00A31567">
        <w:rPr>
          <w:rFonts w:ascii="Times New Roman" w:hAnsi="Times New Roman" w:cs="Times New Roman"/>
        </w:rPr>
        <w:t xml:space="preserve">3 – to report </w:t>
      </w:r>
      <w:r>
        <w:rPr>
          <w:rFonts w:ascii="Times New Roman" w:hAnsi="Times New Roman" w:cs="Times New Roman"/>
        </w:rPr>
        <w:t xml:space="preserve">notional repricing </w:t>
      </w:r>
      <w:r w:rsidRPr="00A31567">
        <w:rPr>
          <w:rFonts w:ascii="Times New Roman" w:hAnsi="Times New Roman" w:cs="Times New Roman"/>
        </w:rPr>
        <w:t>cash</w:t>
      </w:r>
      <w:r>
        <w:rPr>
          <w:rFonts w:ascii="Times New Roman" w:hAnsi="Times New Roman" w:cs="Times New Roman"/>
        </w:rPr>
        <w:t xml:space="preserve"> </w:t>
      </w:r>
      <w:r w:rsidRPr="00A31567">
        <w:rPr>
          <w:rFonts w:ascii="Times New Roman" w:hAnsi="Times New Roman" w:cs="Times New Roman"/>
        </w:rPr>
        <w:t xml:space="preserve">flows related to </w:t>
      </w:r>
      <w:r w:rsidRPr="00554EB1">
        <w:rPr>
          <w:rFonts w:ascii="Times New Roman" w:hAnsi="Times New Roman" w:cs="Times New Roman"/>
          <w:u w:val="single"/>
        </w:rPr>
        <w:t>floating rate instruments</w:t>
      </w:r>
      <w:r w:rsidRPr="00430F45">
        <w:rPr>
          <w:rFonts w:ascii="Times New Roman" w:hAnsi="Times New Roman" w:cs="Times New Roman"/>
          <w:sz w:val="16"/>
        </w:rPr>
        <w:t>.</w:t>
      </w:r>
    </w:p>
    <w:p w14:paraId="5959DAC0" w14:textId="77777777" w:rsidR="00271777" w:rsidRDefault="00271777" w:rsidP="00271777">
      <w:pPr>
        <w:pStyle w:val="ListParagraph"/>
        <w:numPr>
          <w:ilvl w:val="1"/>
          <w:numId w:val="2"/>
        </w:numPr>
        <w:spacing w:before="120" w:line="360" w:lineRule="auto"/>
        <w:jc w:val="both"/>
        <w:rPr>
          <w:rFonts w:ascii="Times New Roman" w:hAnsi="Times New Roman" w:cs="Times New Roman"/>
        </w:rPr>
      </w:pPr>
      <w:r>
        <w:rPr>
          <w:rFonts w:ascii="Times New Roman" w:hAnsi="Times New Roman" w:cs="Times New Roman"/>
        </w:rPr>
        <w:t xml:space="preserve">Section B - </w:t>
      </w:r>
      <w:r w:rsidRPr="00A31567">
        <w:rPr>
          <w:rFonts w:ascii="Times New Roman" w:hAnsi="Times New Roman" w:cs="Times New Roman"/>
        </w:rPr>
        <w:t xml:space="preserve">Maturity schedule for </w:t>
      </w:r>
      <w:r w:rsidRPr="00C85864">
        <w:rPr>
          <w:rFonts w:ascii="Times New Roman" w:hAnsi="Times New Roman" w:cs="Times New Roman"/>
          <w:u w:val="single"/>
        </w:rPr>
        <w:t>all notional repricing</w:t>
      </w:r>
      <w:r w:rsidRPr="003E1C2A">
        <w:rPr>
          <w:rFonts w:ascii="Times New Roman" w:hAnsi="Times New Roman"/>
          <w:u w:val="single"/>
        </w:rPr>
        <w:t xml:space="preserve"> cash</w:t>
      </w:r>
      <w:r w:rsidRPr="00C85864">
        <w:rPr>
          <w:rFonts w:ascii="Times New Roman" w:hAnsi="Times New Roman" w:cs="Times New Roman"/>
          <w:u w:val="single"/>
        </w:rPr>
        <w:t xml:space="preserve"> flows</w:t>
      </w:r>
      <w:r w:rsidRPr="00A31567">
        <w:rPr>
          <w:rFonts w:ascii="Times New Roman" w:hAnsi="Times New Roman" w:cs="Times New Roman"/>
        </w:rPr>
        <w:t xml:space="preserve"> </w:t>
      </w:r>
      <w:r>
        <w:rPr>
          <w:rFonts w:ascii="Times New Roman" w:hAnsi="Times New Roman" w:cs="Times New Roman"/>
        </w:rPr>
        <w:t>after considering</w:t>
      </w:r>
      <w:r w:rsidRPr="00A31567">
        <w:rPr>
          <w:rFonts w:ascii="Times New Roman" w:hAnsi="Times New Roman" w:cs="Times New Roman"/>
        </w:rPr>
        <w:t xml:space="preserve"> </w:t>
      </w:r>
      <w:r>
        <w:rPr>
          <w:rFonts w:ascii="Times New Roman" w:hAnsi="Times New Roman" w:cs="Times New Roman"/>
        </w:rPr>
        <w:t>modelling assumptions according to the current interest rate environment:</w:t>
      </w:r>
    </w:p>
    <w:p w14:paraId="6729E478" w14:textId="77777777" w:rsidR="00271777" w:rsidRDefault="00271777" w:rsidP="00271777">
      <w:pPr>
        <w:pStyle w:val="ListParagraph"/>
        <w:numPr>
          <w:ilvl w:val="2"/>
          <w:numId w:val="2"/>
        </w:numPr>
        <w:spacing w:before="120" w:line="360" w:lineRule="auto"/>
        <w:jc w:val="both"/>
        <w:rPr>
          <w:rFonts w:ascii="Times New Roman" w:hAnsi="Times New Roman" w:cs="Times New Roman"/>
        </w:rPr>
      </w:pPr>
      <w:r w:rsidRPr="00A31567">
        <w:rPr>
          <w:rFonts w:ascii="Times New Roman" w:hAnsi="Times New Roman" w:cs="Times New Roman"/>
        </w:rPr>
        <w:t xml:space="preserve">Sub-section </w:t>
      </w:r>
      <w:r>
        <w:rPr>
          <w:rFonts w:ascii="Times New Roman" w:hAnsi="Times New Roman" w:cs="Times New Roman"/>
        </w:rPr>
        <w:t>B</w:t>
      </w:r>
      <w:r w:rsidRPr="00A31567">
        <w:rPr>
          <w:rFonts w:ascii="Times New Roman" w:hAnsi="Times New Roman" w:cs="Times New Roman"/>
        </w:rPr>
        <w:t xml:space="preserve">1 – to report </w:t>
      </w:r>
      <w:r>
        <w:rPr>
          <w:rFonts w:ascii="Times New Roman" w:hAnsi="Times New Roman" w:cs="Times New Roman"/>
        </w:rPr>
        <w:t xml:space="preserve">notional repricing </w:t>
      </w:r>
      <w:r w:rsidRPr="00A31567">
        <w:rPr>
          <w:rFonts w:ascii="Times New Roman" w:hAnsi="Times New Roman" w:cs="Times New Roman"/>
        </w:rPr>
        <w:t>cash</w:t>
      </w:r>
      <w:r>
        <w:rPr>
          <w:rFonts w:ascii="Times New Roman" w:hAnsi="Times New Roman" w:cs="Times New Roman"/>
        </w:rPr>
        <w:t xml:space="preserve"> </w:t>
      </w:r>
      <w:r w:rsidRPr="00A31567">
        <w:rPr>
          <w:rFonts w:ascii="Times New Roman" w:hAnsi="Times New Roman" w:cs="Times New Roman"/>
        </w:rPr>
        <w:t xml:space="preserve">flows related to </w:t>
      </w:r>
      <w:r w:rsidRPr="00A31567">
        <w:rPr>
          <w:rFonts w:ascii="Times New Roman" w:hAnsi="Times New Roman" w:cs="Times New Roman"/>
          <w:u w:val="single"/>
        </w:rPr>
        <w:t xml:space="preserve">items without specified maturity or </w:t>
      </w:r>
      <w:proofErr w:type="gramStart"/>
      <w:r w:rsidRPr="00A31567">
        <w:rPr>
          <w:rFonts w:ascii="Times New Roman" w:hAnsi="Times New Roman" w:cs="Times New Roman"/>
          <w:u w:val="single"/>
        </w:rPr>
        <w:t>repricing</w:t>
      </w:r>
      <w:r>
        <w:rPr>
          <w:rFonts w:ascii="Times New Roman" w:hAnsi="Times New Roman" w:cs="Times New Roman"/>
          <w:u w:val="single"/>
        </w:rPr>
        <w:t>;</w:t>
      </w:r>
      <w:proofErr w:type="gramEnd"/>
      <w:r w:rsidRPr="00A31567">
        <w:rPr>
          <w:rFonts w:ascii="Times New Roman" w:hAnsi="Times New Roman" w:cs="Times New Roman"/>
        </w:rPr>
        <w:t xml:space="preserve"> </w:t>
      </w:r>
    </w:p>
    <w:p w14:paraId="4D2EBEF0" w14:textId="77777777" w:rsidR="00271777" w:rsidRDefault="00271777" w:rsidP="00271777">
      <w:pPr>
        <w:pStyle w:val="ListParagraph"/>
        <w:numPr>
          <w:ilvl w:val="2"/>
          <w:numId w:val="2"/>
        </w:numPr>
        <w:spacing w:before="120" w:line="360" w:lineRule="auto"/>
        <w:jc w:val="both"/>
        <w:rPr>
          <w:rFonts w:ascii="Times New Roman" w:hAnsi="Times New Roman" w:cs="Times New Roman"/>
        </w:rPr>
      </w:pPr>
      <w:r w:rsidRPr="00A31567">
        <w:rPr>
          <w:rFonts w:ascii="Times New Roman" w:hAnsi="Times New Roman" w:cs="Times New Roman"/>
        </w:rPr>
        <w:t xml:space="preserve">Sub-section </w:t>
      </w:r>
      <w:r>
        <w:rPr>
          <w:rFonts w:ascii="Times New Roman" w:hAnsi="Times New Roman" w:cs="Times New Roman"/>
        </w:rPr>
        <w:t>B</w:t>
      </w:r>
      <w:r w:rsidRPr="00A31567">
        <w:rPr>
          <w:rFonts w:ascii="Times New Roman" w:hAnsi="Times New Roman" w:cs="Times New Roman"/>
        </w:rPr>
        <w:t xml:space="preserve">2 – to report </w:t>
      </w:r>
      <w:r>
        <w:rPr>
          <w:rFonts w:ascii="Times New Roman" w:hAnsi="Times New Roman" w:cs="Times New Roman"/>
        </w:rPr>
        <w:t xml:space="preserve">notional repricing </w:t>
      </w:r>
      <w:r w:rsidRPr="00A31567">
        <w:rPr>
          <w:rFonts w:ascii="Times New Roman" w:hAnsi="Times New Roman" w:cs="Times New Roman"/>
        </w:rPr>
        <w:t>cash</w:t>
      </w:r>
      <w:r>
        <w:rPr>
          <w:rFonts w:ascii="Times New Roman" w:hAnsi="Times New Roman" w:cs="Times New Roman"/>
        </w:rPr>
        <w:t xml:space="preserve"> </w:t>
      </w:r>
      <w:r w:rsidRPr="00A31567">
        <w:rPr>
          <w:rFonts w:ascii="Times New Roman" w:hAnsi="Times New Roman" w:cs="Times New Roman"/>
        </w:rPr>
        <w:t xml:space="preserve">flows related to </w:t>
      </w:r>
      <w:r w:rsidRPr="00A31567">
        <w:rPr>
          <w:rFonts w:ascii="Times New Roman" w:hAnsi="Times New Roman" w:cs="Times New Roman"/>
          <w:u w:val="single"/>
        </w:rPr>
        <w:t xml:space="preserve">fixed rate </w:t>
      </w:r>
      <w:proofErr w:type="gramStart"/>
      <w:r w:rsidRPr="00A31567">
        <w:rPr>
          <w:rFonts w:ascii="Times New Roman" w:hAnsi="Times New Roman" w:cs="Times New Roman"/>
          <w:u w:val="single"/>
        </w:rPr>
        <w:t>instruments</w:t>
      </w:r>
      <w:r w:rsidRPr="003E1C2A">
        <w:rPr>
          <w:rFonts w:ascii="Times New Roman" w:hAnsi="Times New Roman"/>
          <w:u w:val="single"/>
        </w:rPr>
        <w:t>;</w:t>
      </w:r>
      <w:proofErr w:type="gramEnd"/>
    </w:p>
    <w:p w14:paraId="155FD3E2" w14:textId="77777777" w:rsidR="00271777" w:rsidRPr="00A31567" w:rsidRDefault="00271777" w:rsidP="00271777">
      <w:pPr>
        <w:pStyle w:val="ListParagraph"/>
        <w:numPr>
          <w:ilvl w:val="2"/>
          <w:numId w:val="2"/>
        </w:numPr>
        <w:spacing w:before="120" w:line="360" w:lineRule="auto"/>
        <w:jc w:val="both"/>
        <w:rPr>
          <w:rFonts w:ascii="Times New Roman" w:hAnsi="Times New Roman" w:cs="Times New Roman"/>
        </w:rPr>
      </w:pPr>
      <w:r w:rsidRPr="00A31567">
        <w:rPr>
          <w:rFonts w:ascii="Times New Roman" w:hAnsi="Times New Roman" w:cs="Times New Roman"/>
        </w:rPr>
        <w:t xml:space="preserve">Sub-section </w:t>
      </w:r>
      <w:r>
        <w:rPr>
          <w:rFonts w:ascii="Times New Roman" w:hAnsi="Times New Roman" w:cs="Times New Roman"/>
        </w:rPr>
        <w:t>B</w:t>
      </w:r>
      <w:r w:rsidRPr="00A31567">
        <w:rPr>
          <w:rFonts w:ascii="Times New Roman" w:hAnsi="Times New Roman" w:cs="Times New Roman"/>
        </w:rPr>
        <w:t xml:space="preserve">3 – to report </w:t>
      </w:r>
      <w:r>
        <w:rPr>
          <w:rFonts w:ascii="Times New Roman" w:hAnsi="Times New Roman" w:cs="Times New Roman"/>
        </w:rPr>
        <w:t xml:space="preserve">notional repricing </w:t>
      </w:r>
      <w:r w:rsidRPr="00A31567">
        <w:rPr>
          <w:rFonts w:ascii="Times New Roman" w:hAnsi="Times New Roman" w:cs="Times New Roman"/>
        </w:rPr>
        <w:t>cash</w:t>
      </w:r>
      <w:r>
        <w:rPr>
          <w:rFonts w:ascii="Times New Roman" w:hAnsi="Times New Roman" w:cs="Times New Roman"/>
        </w:rPr>
        <w:t xml:space="preserve"> </w:t>
      </w:r>
      <w:r w:rsidRPr="00A31567">
        <w:rPr>
          <w:rFonts w:ascii="Times New Roman" w:hAnsi="Times New Roman" w:cs="Times New Roman"/>
        </w:rPr>
        <w:t xml:space="preserve">flows related to </w:t>
      </w:r>
      <w:r w:rsidRPr="00554EB1">
        <w:rPr>
          <w:rFonts w:ascii="Times New Roman" w:hAnsi="Times New Roman" w:cs="Times New Roman"/>
          <w:u w:val="single"/>
        </w:rPr>
        <w:t>floating rate instruments</w:t>
      </w:r>
      <w:r w:rsidRPr="00430F45">
        <w:rPr>
          <w:rFonts w:ascii="Times New Roman" w:hAnsi="Times New Roman" w:cs="Times New Roman"/>
          <w:sz w:val="16"/>
        </w:rPr>
        <w:t>.</w:t>
      </w:r>
    </w:p>
    <w:p w14:paraId="18503EA6"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r w:rsidRPr="00225339">
        <w:rPr>
          <w:rFonts w:ascii="Times New Roman" w:hAnsi="Times New Roman" w:cs="Times New Roman"/>
        </w:rPr>
        <w:t>This means that, for any specific item, the notional cash</w:t>
      </w:r>
      <w:r>
        <w:rPr>
          <w:rFonts w:ascii="Times New Roman" w:hAnsi="Times New Roman" w:cs="Times New Roman"/>
        </w:rPr>
        <w:t xml:space="preserve"> </w:t>
      </w:r>
      <w:r w:rsidRPr="00225339">
        <w:rPr>
          <w:rFonts w:ascii="Times New Roman" w:hAnsi="Times New Roman" w:cs="Times New Roman"/>
        </w:rPr>
        <w:t xml:space="preserve">flows should be reflected in </w:t>
      </w:r>
      <w:r w:rsidRPr="00C85864">
        <w:rPr>
          <w:rFonts w:ascii="Times New Roman" w:hAnsi="Times New Roman" w:cs="Times New Roman"/>
          <w:u w:val="single"/>
        </w:rPr>
        <w:t xml:space="preserve">both </w:t>
      </w:r>
      <w:r>
        <w:rPr>
          <w:rFonts w:ascii="Times New Roman" w:hAnsi="Times New Roman" w:cs="Times New Roman"/>
        </w:rPr>
        <w:t>S</w:t>
      </w:r>
      <w:r w:rsidRPr="00225339">
        <w:rPr>
          <w:rFonts w:ascii="Times New Roman" w:hAnsi="Times New Roman" w:cs="Times New Roman"/>
        </w:rPr>
        <w:t xml:space="preserve">ection A and </w:t>
      </w:r>
      <w:r>
        <w:rPr>
          <w:rFonts w:ascii="Times New Roman" w:hAnsi="Times New Roman" w:cs="Times New Roman"/>
        </w:rPr>
        <w:t>S</w:t>
      </w:r>
      <w:r w:rsidRPr="00225339">
        <w:rPr>
          <w:rFonts w:ascii="Times New Roman" w:hAnsi="Times New Roman" w:cs="Times New Roman"/>
        </w:rPr>
        <w:t>ection B</w:t>
      </w:r>
      <w:r w:rsidRPr="00430F45">
        <w:rPr>
          <w:rFonts w:ascii="Times New Roman" w:hAnsi="Times New Roman" w:cs="Times New Roman"/>
          <w:sz w:val="16"/>
        </w:rPr>
        <w:t>.</w:t>
      </w:r>
      <w:r w:rsidRPr="00225339">
        <w:rPr>
          <w:rFonts w:ascii="Times New Roman" w:hAnsi="Times New Roman" w:cs="Times New Roman"/>
        </w:rPr>
        <w:t xml:space="preserve"> Section A must include all </w:t>
      </w:r>
      <w:r>
        <w:rPr>
          <w:rFonts w:ascii="Times New Roman" w:hAnsi="Times New Roman" w:cs="Times New Roman"/>
        </w:rPr>
        <w:t xml:space="preserve">notional repricing </w:t>
      </w:r>
      <w:r w:rsidRPr="00225339">
        <w:rPr>
          <w:rFonts w:ascii="Times New Roman" w:hAnsi="Times New Roman" w:cs="Times New Roman"/>
        </w:rPr>
        <w:t>cash</w:t>
      </w:r>
      <w:r>
        <w:rPr>
          <w:rFonts w:ascii="Times New Roman" w:hAnsi="Times New Roman" w:cs="Times New Roman"/>
        </w:rPr>
        <w:t xml:space="preserve"> </w:t>
      </w:r>
      <w:r w:rsidRPr="00225339">
        <w:rPr>
          <w:rFonts w:ascii="Times New Roman" w:hAnsi="Times New Roman" w:cs="Times New Roman"/>
        </w:rPr>
        <w:t>flows according to their contractual conditions</w:t>
      </w:r>
      <w:r w:rsidRPr="00430F45">
        <w:rPr>
          <w:rFonts w:ascii="Times New Roman" w:hAnsi="Times New Roman" w:cs="Times New Roman"/>
          <w:sz w:val="16"/>
        </w:rPr>
        <w:t>.</w:t>
      </w:r>
      <w:r w:rsidRPr="00225339">
        <w:rPr>
          <w:rFonts w:ascii="Times New Roman" w:hAnsi="Times New Roman" w:cs="Times New Roman"/>
        </w:rPr>
        <w:t xml:space="preserve"> Section B should reflect the same </w:t>
      </w:r>
      <w:r>
        <w:rPr>
          <w:rFonts w:ascii="Times New Roman" w:hAnsi="Times New Roman" w:cs="Times New Roman"/>
        </w:rPr>
        <w:t xml:space="preserve">notional repricing </w:t>
      </w:r>
      <w:r w:rsidRPr="00225339">
        <w:rPr>
          <w:rFonts w:ascii="Times New Roman" w:hAnsi="Times New Roman" w:cs="Times New Roman"/>
        </w:rPr>
        <w:t xml:space="preserve">cash flows but – this time – </w:t>
      </w:r>
      <w:r>
        <w:rPr>
          <w:rFonts w:ascii="Times New Roman" w:hAnsi="Times New Roman" w:cs="Times New Roman"/>
        </w:rPr>
        <w:t xml:space="preserve">as </w:t>
      </w:r>
      <w:r w:rsidRPr="00225339">
        <w:rPr>
          <w:rFonts w:ascii="Times New Roman" w:hAnsi="Times New Roman" w:cs="Times New Roman"/>
        </w:rPr>
        <w:t>used by the instit</w:t>
      </w:r>
      <w:r>
        <w:rPr>
          <w:rFonts w:ascii="Times New Roman" w:hAnsi="Times New Roman" w:cs="Times New Roman"/>
        </w:rPr>
        <w:t xml:space="preserve">ution in their IRRBB management (taking into account modelling behavioural assumptions </w:t>
      </w:r>
      <w:proofErr w:type="gramStart"/>
      <w:r>
        <w:rPr>
          <w:rFonts w:ascii="Times New Roman" w:hAnsi="Times New Roman" w:cs="Times New Roman"/>
        </w:rPr>
        <w:t>where</w:t>
      </w:r>
      <w:proofErr w:type="gramEnd"/>
      <w:r>
        <w:rPr>
          <w:rFonts w:ascii="Times New Roman" w:hAnsi="Times New Roman" w:cs="Times New Roman"/>
        </w:rPr>
        <w:t xml:space="preserve"> applied by the institutions)</w:t>
      </w:r>
      <w:r w:rsidRPr="00430F45">
        <w:rPr>
          <w:rFonts w:ascii="Times New Roman" w:hAnsi="Times New Roman" w:cs="Times New Roman"/>
          <w:sz w:val="16"/>
        </w:rPr>
        <w:t>.</w:t>
      </w:r>
      <w:r w:rsidRPr="00225339">
        <w:rPr>
          <w:rFonts w:ascii="Times New Roman" w:hAnsi="Times New Roman" w:cs="Times New Roman"/>
        </w:rPr>
        <w:t xml:space="preserve"> For a single line, it is expected that the institution reports the cash</w:t>
      </w:r>
      <w:r>
        <w:rPr>
          <w:rFonts w:ascii="Times New Roman" w:hAnsi="Times New Roman" w:cs="Times New Roman"/>
        </w:rPr>
        <w:t xml:space="preserve"> </w:t>
      </w:r>
      <w:r w:rsidRPr="00225339">
        <w:rPr>
          <w:rFonts w:ascii="Times New Roman" w:hAnsi="Times New Roman" w:cs="Times New Roman"/>
        </w:rPr>
        <w:t xml:space="preserve">flows both in </w:t>
      </w:r>
      <w:r>
        <w:rPr>
          <w:rFonts w:ascii="Times New Roman" w:hAnsi="Times New Roman" w:cs="Times New Roman"/>
        </w:rPr>
        <w:t>s</w:t>
      </w:r>
      <w:r w:rsidRPr="00225339">
        <w:rPr>
          <w:rFonts w:ascii="Times New Roman" w:hAnsi="Times New Roman" w:cs="Times New Roman"/>
        </w:rPr>
        <w:t xml:space="preserve">ection A, before modelling </w:t>
      </w:r>
      <w:r>
        <w:rPr>
          <w:rFonts w:ascii="Times New Roman" w:hAnsi="Times New Roman" w:cs="Times New Roman"/>
        </w:rPr>
        <w:t xml:space="preserve">behavioural </w:t>
      </w:r>
      <w:r w:rsidRPr="00225339">
        <w:rPr>
          <w:rFonts w:ascii="Times New Roman" w:hAnsi="Times New Roman" w:cs="Times New Roman"/>
        </w:rPr>
        <w:t xml:space="preserve">assumptions, and in Section B, after modelling </w:t>
      </w:r>
      <w:r>
        <w:rPr>
          <w:rFonts w:ascii="Times New Roman" w:hAnsi="Times New Roman" w:cs="Times New Roman"/>
        </w:rPr>
        <w:t xml:space="preserve">behavioural </w:t>
      </w:r>
      <w:r w:rsidRPr="00225339">
        <w:rPr>
          <w:rFonts w:ascii="Times New Roman" w:hAnsi="Times New Roman" w:cs="Times New Roman"/>
        </w:rPr>
        <w:t>assumptions</w:t>
      </w:r>
      <w:r w:rsidRPr="00430F45">
        <w:rPr>
          <w:rFonts w:ascii="Times New Roman" w:hAnsi="Times New Roman" w:cs="Times New Roman"/>
          <w:sz w:val="16"/>
        </w:rPr>
        <w:t>.</w:t>
      </w:r>
      <w:r w:rsidRPr="00225339">
        <w:rPr>
          <w:rFonts w:ascii="Times New Roman" w:hAnsi="Times New Roman" w:cs="Times New Roman"/>
        </w:rPr>
        <w:t xml:space="preserve"> </w:t>
      </w:r>
      <w:r>
        <w:rPr>
          <w:rFonts w:ascii="Times New Roman" w:hAnsi="Times New Roman" w:cs="Times New Roman"/>
        </w:rPr>
        <w:t xml:space="preserve">In this way, the only difference between cash flows reported in Section A </w:t>
      </w:r>
      <w:r w:rsidRPr="00BD2510">
        <w:rPr>
          <w:rFonts w:ascii="Times New Roman" w:hAnsi="Times New Roman" w:cs="Times New Roman"/>
        </w:rPr>
        <w:t xml:space="preserve">and section B should be the consideration of behavioural </w:t>
      </w:r>
      <w:r>
        <w:rPr>
          <w:rFonts w:ascii="Times New Roman" w:hAnsi="Times New Roman" w:cs="Times New Roman"/>
        </w:rPr>
        <w:t xml:space="preserve">modelling </w:t>
      </w:r>
      <w:r w:rsidRPr="00BD2510">
        <w:rPr>
          <w:rFonts w:ascii="Times New Roman" w:hAnsi="Times New Roman" w:cs="Times New Roman"/>
        </w:rPr>
        <w:t>assumptions in section B</w:t>
      </w:r>
      <w:r w:rsidRPr="00430F45">
        <w:rPr>
          <w:rFonts w:ascii="Times New Roman" w:hAnsi="Times New Roman" w:cs="Times New Roman"/>
          <w:sz w:val="16"/>
        </w:rPr>
        <w:t>.</w:t>
      </w:r>
      <w:r w:rsidRPr="00225339">
        <w:rPr>
          <w:rFonts w:ascii="Times New Roman" w:hAnsi="Times New Roman" w:cs="Times New Roman"/>
        </w:rPr>
        <w:t xml:space="preserve"> If the notional repricing cash flows of an item are not affected by </w:t>
      </w:r>
      <w:r>
        <w:rPr>
          <w:rFonts w:ascii="Times New Roman" w:hAnsi="Times New Roman" w:cs="Times New Roman"/>
        </w:rPr>
        <w:t xml:space="preserve">behavioural </w:t>
      </w:r>
      <w:r w:rsidRPr="00225339">
        <w:rPr>
          <w:rFonts w:ascii="Times New Roman" w:hAnsi="Times New Roman" w:cs="Times New Roman"/>
        </w:rPr>
        <w:t xml:space="preserve">modelling assumptions, the time buckets to which it was populated in </w:t>
      </w:r>
      <w:r>
        <w:rPr>
          <w:rFonts w:ascii="Times New Roman" w:hAnsi="Times New Roman" w:cs="Times New Roman"/>
        </w:rPr>
        <w:t>S</w:t>
      </w:r>
      <w:r w:rsidRPr="00225339">
        <w:rPr>
          <w:rFonts w:ascii="Times New Roman" w:hAnsi="Times New Roman" w:cs="Times New Roman"/>
        </w:rPr>
        <w:t xml:space="preserve">ection A should be the same </w:t>
      </w:r>
      <w:r>
        <w:rPr>
          <w:rFonts w:ascii="Times New Roman" w:hAnsi="Times New Roman" w:cs="Times New Roman"/>
        </w:rPr>
        <w:t xml:space="preserve">as </w:t>
      </w:r>
      <w:r w:rsidRPr="00225339">
        <w:rPr>
          <w:rFonts w:ascii="Times New Roman" w:hAnsi="Times New Roman" w:cs="Times New Roman"/>
        </w:rPr>
        <w:t>in Section B</w:t>
      </w:r>
      <w:r w:rsidRPr="00430F45">
        <w:rPr>
          <w:rFonts w:ascii="Times New Roman" w:hAnsi="Times New Roman" w:cs="Times New Roman"/>
          <w:sz w:val="16"/>
        </w:rPr>
        <w:t>.</w:t>
      </w:r>
      <w:r>
        <w:rPr>
          <w:rFonts w:ascii="Times New Roman" w:hAnsi="Times New Roman" w:cs="Times New Roman"/>
        </w:rPr>
        <w:t xml:space="preserve"> Consider</w:t>
      </w:r>
      <w:r w:rsidRPr="00397007">
        <w:rPr>
          <w:rFonts w:ascii="Times New Roman" w:hAnsi="Times New Roman" w:cs="Times New Roman"/>
        </w:rPr>
        <w:t xml:space="preserve"> the following examples</w:t>
      </w:r>
      <w:r>
        <w:rPr>
          <w:rFonts w:ascii="Times New Roman" w:hAnsi="Times New Roman" w:cs="Times New Roman"/>
        </w:rPr>
        <w:t>:</w:t>
      </w:r>
    </w:p>
    <w:p w14:paraId="59802CF6" w14:textId="77777777" w:rsidR="00271777" w:rsidRDefault="00271777" w:rsidP="00271777">
      <w:pPr>
        <w:pStyle w:val="ListParagraph"/>
        <w:numPr>
          <w:ilvl w:val="1"/>
          <w:numId w:val="2"/>
        </w:numPr>
        <w:spacing w:before="120" w:line="360" w:lineRule="auto"/>
        <w:jc w:val="both"/>
        <w:rPr>
          <w:rFonts w:ascii="Times New Roman" w:hAnsi="Times New Roman" w:cs="Times New Roman"/>
        </w:rPr>
      </w:pPr>
      <w:r w:rsidRPr="00666576">
        <w:rPr>
          <w:rFonts w:ascii="Times New Roman" w:hAnsi="Times New Roman" w:cs="Times New Roman"/>
        </w:rPr>
        <w:t>Non-maturity deposits</w:t>
      </w:r>
      <w:r>
        <w:rPr>
          <w:rFonts w:ascii="Times New Roman" w:hAnsi="Times New Roman" w:cs="Times New Roman"/>
        </w:rPr>
        <w:t xml:space="preserve"> (NMDs)</w:t>
      </w:r>
      <w:r w:rsidRPr="00666576">
        <w:rPr>
          <w:rFonts w:ascii="Times New Roman" w:hAnsi="Times New Roman" w:cs="Times New Roman"/>
        </w:rPr>
        <w:t>: non-maturity deposits</w:t>
      </w:r>
      <w:r>
        <w:rPr>
          <w:rFonts w:ascii="Times New Roman" w:hAnsi="Times New Roman" w:cs="Times New Roman"/>
        </w:rPr>
        <w:t xml:space="preserve"> should be allocated in Section A1 and in Section B1</w:t>
      </w:r>
      <w:r w:rsidRPr="00430F45">
        <w:rPr>
          <w:rFonts w:ascii="Times New Roman" w:hAnsi="Times New Roman" w:cs="Times New Roman"/>
          <w:sz w:val="16"/>
        </w:rPr>
        <w:t>.</w:t>
      </w:r>
      <w:r>
        <w:rPr>
          <w:rFonts w:ascii="Times New Roman" w:hAnsi="Times New Roman" w:cs="Times New Roman"/>
        </w:rPr>
        <w:t xml:space="preserve"> Since they represent an item</w:t>
      </w:r>
      <w:r w:rsidRPr="00507BF1">
        <w:rPr>
          <w:rFonts w:ascii="Times New Roman" w:hAnsi="Times New Roman" w:cs="Times New Roman"/>
        </w:rPr>
        <w:t xml:space="preserve"> without specified maturity or repricing</w:t>
      </w:r>
      <w:r>
        <w:rPr>
          <w:rFonts w:ascii="Times New Roman" w:hAnsi="Times New Roman" w:cs="Times New Roman"/>
        </w:rPr>
        <w:t xml:space="preserve"> date the amount by type of account characteristic should be allocated in Section A1</w:t>
      </w:r>
      <w:r w:rsidRPr="00430F45">
        <w:rPr>
          <w:rFonts w:ascii="Times New Roman" w:hAnsi="Times New Roman" w:cs="Times New Roman"/>
          <w:sz w:val="16"/>
        </w:rPr>
        <w:t>.</w:t>
      </w:r>
      <w:r>
        <w:rPr>
          <w:rFonts w:ascii="Times New Roman" w:hAnsi="Times New Roman" w:cs="Times New Roman"/>
        </w:rPr>
        <w:t xml:space="preserve"> In Section B1 the amount by type of account characteristic should be allocated in the relevant time buckets according to </w:t>
      </w:r>
      <w:r w:rsidRPr="00BD2510">
        <w:rPr>
          <w:rFonts w:ascii="Times New Roman" w:hAnsi="Times New Roman" w:cs="Times New Roman"/>
        </w:rPr>
        <w:t>an</w:t>
      </w:r>
      <w:r>
        <w:rPr>
          <w:rFonts w:ascii="Times New Roman" w:hAnsi="Times New Roman" w:cs="Times New Roman"/>
        </w:rPr>
        <w:t xml:space="preserve"> </w:t>
      </w:r>
      <w:r w:rsidRPr="00507BF1">
        <w:rPr>
          <w:rFonts w:ascii="Times New Roman" w:hAnsi="Times New Roman" w:cs="Times New Roman"/>
        </w:rPr>
        <w:t>appropriate cash flow slotting procedure</w:t>
      </w:r>
      <w:r>
        <w:rPr>
          <w:rFonts w:ascii="Times New Roman" w:hAnsi="Times New Roman" w:cs="Times New Roman"/>
        </w:rPr>
        <w:t xml:space="preserve"> modelled by the institution, but subject to the constraint established in paragraph 115(o) of the EBA/GL/2018/02</w:t>
      </w:r>
      <w:r w:rsidRPr="00430F45">
        <w:rPr>
          <w:rFonts w:ascii="Times New Roman" w:hAnsi="Times New Roman" w:cs="Times New Roman"/>
          <w:sz w:val="16"/>
        </w:rPr>
        <w:t>.</w:t>
      </w:r>
      <w:r>
        <w:rPr>
          <w:rFonts w:ascii="Times New Roman" w:hAnsi="Times New Roman" w:cs="Times New Roman"/>
        </w:rPr>
        <w:t xml:space="preserve"> </w:t>
      </w:r>
    </w:p>
    <w:p w14:paraId="2549BE39" w14:textId="77777777" w:rsidR="00271777" w:rsidRDefault="00271777" w:rsidP="00271777">
      <w:pPr>
        <w:pStyle w:val="ListParagraph"/>
        <w:numPr>
          <w:ilvl w:val="1"/>
          <w:numId w:val="2"/>
        </w:numPr>
        <w:spacing w:before="120" w:line="360" w:lineRule="auto"/>
        <w:jc w:val="both"/>
        <w:rPr>
          <w:rFonts w:ascii="Times New Roman" w:hAnsi="Times New Roman" w:cs="Times New Roman"/>
        </w:rPr>
      </w:pPr>
      <w:r>
        <w:rPr>
          <w:rFonts w:ascii="Times New Roman" w:hAnsi="Times New Roman" w:cs="Times New Roman"/>
        </w:rPr>
        <w:lastRenderedPageBreak/>
        <w:t>Fixed Rate Loans: all fixed rate loans should be allocated in Section A2 to the respective time buckets according to their contractual conditions, i</w:t>
      </w:r>
      <w:r w:rsidRPr="00430F45">
        <w:rPr>
          <w:rFonts w:ascii="Times New Roman" w:hAnsi="Times New Roman" w:cs="Times New Roman"/>
          <w:sz w:val="16"/>
        </w:rPr>
        <w:t>.</w:t>
      </w:r>
      <w:r>
        <w:rPr>
          <w:rFonts w:ascii="Times New Roman" w:hAnsi="Times New Roman" w:cs="Times New Roman"/>
        </w:rPr>
        <w:t>e</w:t>
      </w:r>
      <w:r w:rsidRPr="00430F45">
        <w:rPr>
          <w:rFonts w:ascii="Times New Roman" w:hAnsi="Times New Roman" w:cs="Times New Roman"/>
          <w:sz w:val="16"/>
        </w:rPr>
        <w:t>.</w:t>
      </w:r>
      <w:r>
        <w:rPr>
          <w:rFonts w:ascii="Times New Roman" w:hAnsi="Times New Roman" w:cs="Times New Roman"/>
        </w:rPr>
        <w:t xml:space="preserve">, without </w:t>
      </w:r>
      <w:proofErr w:type="gramStart"/>
      <w:r w:rsidRPr="00BE0637">
        <w:rPr>
          <w:rFonts w:ascii="Times New Roman" w:hAnsi="Times New Roman" w:cs="Times New Roman"/>
        </w:rPr>
        <w:t>taking into account</w:t>
      </w:r>
      <w:proofErr w:type="gramEnd"/>
      <w:r w:rsidRPr="00BE0637">
        <w:rPr>
          <w:rFonts w:ascii="Times New Roman" w:hAnsi="Times New Roman" w:cs="Times New Roman"/>
        </w:rPr>
        <w:t xml:space="preserve"> </w:t>
      </w:r>
      <w:r>
        <w:rPr>
          <w:rFonts w:ascii="Times New Roman" w:hAnsi="Times New Roman" w:cs="Times New Roman"/>
        </w:rPr>
        <w:t xml:space="preserve">contractual automatic </w:t>
      </w:r>
      <w:r w:rsidRPr="00BE0637">
        <w:rPr>
          <w:rFonts w:ascii="Times New Roman" w:hAnsi="Times New Roman" w:cs="Times New Roman"/>
        </w:rPr>
        <w:t>optionality or behavioural assumptions the institution has made</w:t>
      </w:r>
      <w:r>
        <w:rPr>
          <w:rFonts w:ascii="Times New Roman" w:hAnsi="Times New Roman" w:cs="Times New Roman"/>
        </w:rPr>
        <w:t xml:space="preserve"> </w:t>
      </w:r>
      <w:r w:rsidRPr="00BE0637">
        <w:rPr>
          <w:rFonts w:ascii="Times New Roman" w:hAnsi="Times New Roman" w:cs="Times New Roman"/>
        </w:rPr>
        <w:t>(such as prepayments)</w:t>
      </w:r>
      <w:r>
        <w:rPr>
          <w:rFonts w:ascii="Times New Roman" w:hAnsi="Times New Roman" w:cs="Times New Roman"/>
        </w:rPr>
        <w:t xml:space="preserve"> and in Section B2, in the relevant time buckets after reflecting any behavioural modelling assumptions taken by the institution</w:t>
      </w:r>
      <w:r w:rsidRPr="00430F45">
        <w:rPr>
          <w:rFonts w:ascii="Times New Roman" w:hAnsi="Times New Roman" w:cs="Times New Roman"/>
          <w:sz w:val="16"/>
        </w:rPr>
        <w:t>.</w:t>
      </w:r>
    </w:p>
    <w:p w14:paraId="191356EB" w14:textId="77777777" w:rsidR="00271777" w:rsidRPr="00F95738" w:rsidRDefault="00271777" w:rsidP="00271777">
      <w:pPr>
        <w:pStyle w:val="ListParagraph"/>
        <w:numPr>
          <w:ilvl w:val="1"/>
          <w:numId w:val="2"/>
        </w:numPr>
        <w:spacing w:before="120" w:line="360" w:lineRule="auto"/>
        <w:jc w:val="both"/>
        <w:rPr>
          <w:rFonts w:ascii="Times New Roman" w:hAnsi="Times New Roman" w:cs="Times New Roman"/>
        </w:rPr>
      </w:pPr>
      <w:r w:rsidRPr="00F95738">
        <w:rPr>
          <w:rFonts w:ascii="Times New Roman" w:hAnsi="Times New Roman" w:cs="Times New Roman"/>
        </w:rPr>
        <w:t xml:space="preserve">Interest rate swaps: </w:t>
      </w:r>
      <w:r>
        <w:rPr>
          <w:rFonts w:ascii="Times New Roman" w:hAnsi="Times New Roman" w:cs="Times New Roman"/>
        </w:rPr>
        <w:t xml:space="preserve">institutions should </w:t>
      </w:r>
      <w:r w:rsidRPr="00F95738">
        <w:rPr>
          <w:rFonts w:ascii="Times New Roman" w:hAnsi="Times New Roman" w:cs="Times New Roman"/>
        </w:rPr>
        <w:t xml:space="preserve">report </w:t>
      </w:r>
      <w:r>
        <w:rPr>
          <w:rFonts w:ascii="Times New Roman" w:hAnsi="Times New Roman" w:cs="Times New Roman"/>
        </w:rPr>
        <w:t>the contractual notional repricing cash flows in s</w:t>
      </w:r>
      <w:r w:rsidRPr="00F975F6">
        <w:rPr>
          <w:rFonts w:ascii="Times New Roman" w:hAnsi="Times New Roman" w:cs="Times New Roman"/>
        </w:rPr>
        <w:t>ection A</w:t>
      </w:r>
      <w:r w:rsidRPr="00F95738">
        <w:rPr>
          <w:rFonts w:ascii="Times New Roman" w:hAnsi="Times New Roman" w:cs="Times New Roman"/>
        </w:rPr>
        <w:t xml:space="preserve">, </w:t>
      </w:r>
      <w:r>
        <w:rPr>
          <w:rFonts w:ascii="Times New Roman" w:hAnsi="Times New Roman" w:cs="Times New Roman"/>
        </w:rPr>
        <w:t xml:space="preserve">using section A2 for </w:t>
      </w:r>
      <w:r w:rsidRPr="00F95738">
        <w:rPr>
          <w:rFonts w:ascii="Times New Roman" w:hAnsi="Times New Roman" w:cs="Times New Roman"/>
        </w:rPr>
        <w:t>the fixed leg</w:t>
      </w:r>
      <w:r>
        <w:rPr>
          <w:rFonts w:ascii="Times New Roman" w:hAnsi="Times New Roman" w:cs="Times New Roman"/>
        </w:rPr>
        <w:t>s</w:t>
      </w:r>
      <w:r w:rsidRPr="00F95738">
        <w:rPr>
          <w:rFonts w:ascii="Times New Roman" w:hAnsi="Times New Roman" w:cs="Times New Roman"/>
        </w:rPr>
        <w:t xml:space="preserve"> </w:t>
      </w:r>
      <w:r>
        <w:rPr>
          <w:rFonts w:ascii="Times New Roman" w:hAnsi="Times New Roman" w:cs="Times New Roman"/>
        </w:rPr>
        <w:t xml:space="preserve">and section A3 for the floating </w:t>
      </w:r>
      <w:r w:rsidRPr="00F95738">
        <w:rPr>
          <w:rFonts w:ascii="Times New Roman" w:hAnsi="Times New Roman" w:cs="Times New Roman"/>
        </w:rPr>
        <w:t>leg</w:t>
      </w:r>
      <w:r>
        <w:rPr>
          <w:rFonts w:ascii="Times New Roman" w:hAnsi="Times New Roman" w:cs="Times New Roman"/>
        </w:rPr>
        <w:t>s</w:t>
      </w:r>
      <w:r w:rsidRPr="00430F45">
        <w:rPr>
          <w:rFonts w:ascii="Times New Roman" w:hAnsi="Times New Roman" w:cs="Times New Roman"/>
          <w:sz w:val="16"/>
        </w:rPr>
        <w:t>.</w:t>
      </w:r>
      <w:r w:rsidRPr="00F95738">
        <w:rPr>
          <w:rFonts w:ascii="Times New Roman" w:hAnsi="Times New Roman" w:cs="Times New Roman"/>
        </w:rPr>
        <w:t xml:space="preserve"> </w:t>
      </w:r>
      <w:r>
        <w:rPr>
          <w:rFonts w:ascii="Times New Roman" w:hAnsi="Times New Roman" w:cs="Times New Roman"/>
        </w:rPr>
        <w:t xml:space="preserve">They should </w:t>
      </w:r>
      <w:r w:rsidRPr="00F95738">
        <w:rPr>
          <w:rFonts w:ascii="Times New Roman" w:hAnsi="Times New Roman" w:cs="Times New Roman"/>
        </w:rPr>
        <w:t xml:space="preserve">report </w:t>
      </w:r>
      <w:r>
        <w:rPr>
          <w:rFonts w:ascii="Times New Roman" w:hAnsi="Times New Roman" w:cs="Times New Roman"/>
        </w:rPr>
        <w:t>the same cash flows in section B2 and B3 using the same approach, but now reflecting any modelling assumptions</w:t>
      </w:r>
      <w:r w:rsidRPr="00430F45">
        <w:rPr>
          <w:rFonts w:ascii="Times New Roman" w:hAnsi="Times New Roman" w:cs="Times New Roman"/>
          <w:sz w:val="16"/>
        </w:rPr>
        <w:t>.</w:t>
      </w:r>
    </w:p>
    <w:p w14:paraId="15FA306B" w14:textId="77777777" w:rsidR="00271777" w:rsidRPr="00C85864" w:rsidRDefault="00271777" w:rsidP="00271777">
      <w:pPr>
        <w:pStyle w:val="ListParagraph"/>
        <w:numPr>
          <w:ilvl w:val="1"/>
          <w:numId w:val="2"/>
        </w:numPr>
        <w:spacing w:before="120" w:line="360" w:lineRule="auto"/>
        <w:jc w:val="both"/>
        <w:rPr>
          <w:rFonts w:ascii="Times New Roman" w:hAnsi="Times New Roman" w:cs="Times New Roman"/>
        </w:rPr>
      </w:pPr>
      <w:r w:rsidRPr="00BE0637">
        <w:rPr>
          <w:rFonts w:ascii="Times New Roman" w:hAnsi="Times New Roman" w:cs="Times New Roman"/>
        </w:rPr>
        <w:t>In case of cross currency swap</w:t>
      </w:r>
      <w:r>
        <w:rPr>
          <w:rFonts w:ascii="Times New Roman" w:hAnsi="Times New Roman" w:cs="Times New Roman"/>
        </w:rPr>
        <w:t>s, institutions should allocate each currency notional repricing cash flows in the respective IRRBB Material Currencies template</w:t>
      </w:r>
      <w:r w:rsidRPr="00430F45">
        <w:rPr>
          <w:rFonts w:ascii="Times New Roman" w:hAnsi="Times New Roman" w:cs="Times New Roman"/>
          <w:sz w:val="16"/>
        </w:rPr>
        <w:t>.</w:t>
      </w:r>
    </w:p>
    <w:p w14:paraId="3A203171" w14:textId="77777777" w:rsidR="00271777" w:rsidRPr="003B37E2" w:rsidRDefault="00271777" w:rsidP="00271777">
      <w:pPr>
        <w:pStyle w:val="ListParagraph"/>
        <w:numPr>
          <w:ilvl w:val="0"/>
          <w:numId w:val="2"/>
        </w:numPr>
        <w:spacing w:before="120" w:line="360" w:lineRule="auto"/>
        <w:ind w:left="426"/>
        <w:jc w:val="both"/>
        <w:rPr>
          <w:rFonts w:ascii="Times New Roman" w:hAnsi="Times New Roman" w:cs="Times New Roman"/>
        </w:rPr>
      </w:pPr>
      <w:r>
        <w:rPr>
          <w:rFonts w:ascii="Times New Roman" w:hAnsi="Times New Roman" w:cs="Times New Roman"/>
        </w:rPr>
        <w:t>The breakdown of NMD according to the depositor/account characteristics should be performed by following the EBA/GL/2018/02, paragraph 108(b)</w:t>
      </w:r>
      <w:r w:rsidRPr="00430F45">
        <w:rPr>
          <w:rFonts w:ascii="Times New Roman" w:hAnsi="Times New Roman" w:cs="Times New Roman"/>
          <w:sz w:val="16"/>
        </w:rPr>
        <w:t>.</w:t>
      </w:r>
      <w:r>
        <w:rPr>
          <w:rFonts w:ascii="Times New Roman" w:hAnsi="Times New Roman" w:cs="Times New Roman"/>
        </w:rPr>
        <w:t xml:space="preserve"> In the </w:t>
      </w:r>
      <w:r w:rsidRPr="006521B5">
        <w:rPr>
          <w:rFonts w:ascii="Times New Roman" w:hAnsi="Times New Roman" w:cs="Times New Roman"/>
        </w:rPr>
        <w:t xml:space="preserve">Templates </w:t>
      </w:r>
      <w:r w:rsidRPr="00D65859">
        <w:rPr>
          <w:rFonts w:ascii="Times New Roman" w:eastAsiaTheme="majorEastAsia" w:hAnsi="Times New Roman" w:cs="Times New Roman"/>
          <w:b/>
          <w:color w:val="1F497D" w:themeColor="text2"/>
          <w:szCs w:val="24"/>
        </w:rPr>
        <w:t>IRRBB Material Currencies 1 to 4</w:t>
      </w:r>
      <w:r>
        <w:rPr>
          <w:rFonts w:ascii="Times New Roman" w:hAnsi="Times New Roman" w:cs="Times New Roman"/>
        </w:rPr>
        <w:t xml:space="preserve"> and </w:t>
      </w:r>
      <w:r w:rsidRPr="00D65859">
        <w:rPr>
          <w:rFonts w:ascii="Times New Roman" w:eastAsiaTheme="majorEastAsia" w:hAnsi="Times New Roman" w:cs="Times New Roman"/>
          <w:b/>
          <w:color w:val="1F497D" w:themeColor="text2"/>
          <w:szCs w:val="24"/>
        </w:rPr>
        <w:t>IRRBB Other Material Currencies IRRBB</w:t>
      </w:r>
      <w:r>
        <w:rPr>
          <w:rFonts w:ascii="Times New Roman" w:eastAsiaTheme="majorEastAsia" w:hAnsi="Times New Roman" w:cs="Times New Roman"/>
          <w:b/>
          <w:color w:val="1F497D" w:themeColor="text2"/>
          <w:szCs w:val="24"/>
        </w:rPr>
        <w:t xml:space="preserve">, </w:t>
      </w:r>
      <w:r>
        <w:rPr>
          <w:rFonts w:ascii="Times New Roman" w:eastAsiaTheme="majorEastAsia" w:hAnsi="Times New Roman" w:cs="Times New Roman"/>
          <w:szCs w:val="24"/>
        </w:rPr>
        <w:t>retail transactional follows paragraph 108(b)(i), retail non-transactional paragraph 108(b)(ii), wholesale non-financial paragraph 108(b)(iii) and wholesale financial should contain the wholesale deposits that are excluded from the definition of wholesale non-financial</w:t>
      </w:r>
      <w:r w:rsidRPr="00430F45">
        <w:rPr>
          <w:rFonts w:ascii="Times New Roman" w:eastAsiaTheme="majorEastAsia" w:hAnsi="Times New Roman" w:cs="Times New Roman"/>
          <w:sz w:val="16"/>
          <w:szCs w:val="24"/>
        </w:rPr>
        <w:t>.</w:t>
      </w:r>
    </w:p>
    <w:p w14:paraId="00159B37" w14:textId="77777777" w:rsidR="00271777" w:rsidRPr="00AE0100" w:rsidRDefault="00271777" w:rsidP="00271777">
      <w:pPr>
        <w:pStyle w:val="ListParagraph"/>
        <w:numPr>
          <w:ilvl w:val="0"/>
          <w:numId w:val="2"/>
        </w:numPr>
        <w:spacing w:before="120" w:line="360" w:lineRule="auto"/>
        <w:ind w:left="426"/>
        <w:jc w:val="both"/>
      </w:pPr>
      <w:r w:rsidRPr="003B37E2">
        <w:rPr>
          <w:rFonts w:ascii="Times New Roman" w:eastAsiaTheme="majorEastAsia" w:hAnsi="Times New Roman" w:cs="Times New Roman"/>
          <w:szCs w:val="24"/>
        </w:rPr>
        <w:t>Templates</w:t>
      </w:r>
      <w:r>
        <w:rPr>
          <w:rFonts w:ascii="Times New Roman" w:eastAsiaTheme="majorEastAsia" w:hAnsi="Times New Roman" w:cs="Times New Roman"/>
          <w:b/>
          <w:color w:val="1F497D" w:themeColor="text2"/>
          <w:szCs w:val="24"/>
        </w:rPr>
        <w:t xml:space="preserve"> 1-5 </w:t>
      </w:r>
      <w:r w:rsidRPr="00C85864">
        <w:rPr>
          <w:rFonts w:ascii="Times New Roman" w:eastAsiaTheme="majorEastAsia" w:hAnsi="Times New Roman" w:cs="Times New Roman"/>
          <w:b/>
          <w:color w:val="1F497D" w:themeColor="text2"/>
          <w:szCs w:val="24"/>
        </w:rPr>
        <w:t>IRRBB Material Currencies 1 to 4</w:t>
      </w:r>
      <w:r>
        <w:rPr>
          <w:rFonts w:ascii="Times New Roman" w:hAnsi="Times New Roman" w:cs="Times New Roman"/>
        </w:rPr>
        <w:t xml:space="preserve"> and </w:t>
      </w:r>
      <w:r w:rsidRPr="00C85864">
        <w:rPr>
          <w:rFonts w:ascii="Times New Roman" w:eastAsiaTheme="majorEastAsia" w:hAnsi="Times New Roman" w:cs="Times New Roman"/>
          <w:b/>
          <w:color w:val="1F497D" w:themeColor="text2"/>
          <w:szCs w:val="24"/>
        </w:rPr>
        <w:t>IRRBB Other Material Currencies IRRBB</w:t>
      </w:r>
      <w:r>
        <w:rPr>
          <w:rFonts w:ascii="Times New Roman" w:eastAsiaTheme="majorEastAsia" w:hAnsi="Times New Roman" w:cs="Times New Roman"/>
          <w:b/>
          <w:color w:val="1F497D" w:themeColor="text2"/>
          <w:szCs w:val="24"/>
        </w:rPr>
        <w:t xml:space="preserve"> </w:t>
      </w:r>
      <w:r>
        <w:rPr>
          <w:rFonts w:ascii="Times New Roman" w:hAnsi="Times New Roman" w:cs="Times New Roman"/>
        </w:rPr>
        <w:t xml:space="preserve">should be reported on a quarterly basis, along with the remaining Template 6 </w:t>
      </w:r>
      <w:r>
        <w:rPr>
          <w:rFonts w:ascii="Times New Roman" w:eastAsiaTheme="majorEastAsia" w:hAnsi="Times New Roman" w:cs="Times New Roman"/>
          <w:b/>
          <w:color w:val="1F497D" w:themeColor="text2"/>
          <w:szCs w:val="24"/>
        </w:rPr>
        <w:t xml:space="preserve">Interest Rate </w:t>
      </w:r>
      <w:r w:rsidRPr="003B37E2">
        <w:rPr>
          <w:rFonts w:ascii="Times New Roman" w:eastAsiaTheme="majorEastAsia" w:hAnsi="Times New Roman" w:cs="Times New Roman"/>
          <w:b/>
          <w:color w:val="1F497D" w:themeColor="text2"/>
          <w:szCs w:val="24"/>
        </w:rPr>
        <w:t>additional</w:t>
      </w:r>
      <w:r>
        <w:rPr>
          <w:rFonts w:ascii="Times New Roman" w:hAnsi="Times New Roman" w:cs="Times New Roman"/>
        </w:rPr>
        <w:t xml:space="preserve"> and Template 7 </w:t>
      </w:r>
      <w:r w:rsidRPr="003B37E2">
        <w:rPr>
          <w:rFonts w:ascii="Times New Roman" w:eastAsiaTheme="majorEastAsia" w:hAnsi="Times New Roman" w:cs="Times New Roman"/>
          <w:b/>
          <w:color w:val="1F497D" w:themeColor="text2"/>
          <w:szCs w:val="24"/>
        </w:rPr>
        <w:t xml:space="preserve">IRRBB </w:t>
      </w:r>
      <w:r>
        <w:rPr>
          <w:rFonts w:ascii="Times New Roman" w:eastAsiaTheme="majorEastAsia" w:hAnsi="Times New Roman" w:cs="Times New Roman"/>
          <w:b/>
          <w:color w:val="1F497D" w:themeColor="text2"/>
          <w:szCs w:val="24"/>
        </w:rPr>
        <w:t>A</w:t>
      </w:r>
      <w:r w:rsidRPr="003B37E2">
        <w:rPr>
          <w:rFonts w:ascii="Times New Roman" w:eastAsiaTheme="majorEastAsia" w:hAnsi="Times New Roman" w:cs="Times New Roman"/>
          <w:b/>
          <w:color w:val="1F497D" w:themeColor="text2"/>
          <w:szCs w:val="24"/>
        </w:rPr>
        <w:t>ssumptions</w:t>
      </w:r>
      <w:r w:rsidRPr="00430F45">
        <w:rPr>
          <w:rFonts w:ascii="Times New Roman" w:hAnsi="Times New Roman" w:cs="Times New Roman"/>
          <w:sz w:val="16"/>
        </w:rPr>
        <w:t>.</w:t>
      </w:r>
      <w:r>
        <w:rPr>
          <w:rFonts w:ascii="Times New Roman" w:hAnsi="Times New Roman" w:cs="Times New Roman"/>
        </w:rPr>
        <w:t xml:space="preserve"> However, for Templates 1-5:</w:t>
      </w:r>
    </w:p>
    <w:p w14:paraId="57F03451" w14:textId="77777777" w:rsidR="00271777" w:rsidRPr="003B37E2" w:rsidRDefault="00271777" w:rsidP="00271777">
      <w:pPr>
        <w:pStyle w:val="ListParagraph"/>
        <w:numPr>
          <w:ilvl w:val="1"/>
          <w:numId w:val="2"/>
        </w:numPr>
        <w:spacing w:before="120" w:line="360" w:lineRule="auto"/>
        <w:jc w:val="both"/>
      </w:pPr>
      <w:r w:rsidRPr="00675C7A">
        <w:rPr>
          <w:rFonts w:ascii="Times New Roman" w:hAnsi="Times New Roman" w:cs="Times New Roman"/>
        </w:rPr>
        <w:t>Sectio</w:t>
      </w:r>
      <w:r>
        <w:rPr>
          <w:rFonts w:ascii="Times New Roman" w:hAnsi="Times New Roman" w:cs="Times New Roman"/>
        </w:rPr>
        <w:t>n A is optional for the first three quarters of each year</w:t>
      </w:r>
      <w:r w:rsidRPr="00430F45">
        <w:rPr>
          <w:rFonts w:ascii="Times New Roman" w:hAnsi="Times New Roman" w:cs="Times New Roman"/>
          <w:sz w:val="16"/>
        </w:rPr>
        <w:t>.</w:t>
      </w:r>
      <w:r>
        <w:rPr>
          <w:rFonts w:ascii="Times New Roman" w:hAnsi="Times New Roman" w:cs="Times New Roman"/>
        </w:rPr>
        <w:t xml:space="preserve"> Institutions are kindly invited to fill Section A in each of the Templates when reporting reference date 31 December data of each year</w:t>
      </w:r>
      <w:r w:rsidRPr="00430F45">
        <w:rPr>
          <w:rFonts w:ascii="Times New Roman" w:hAnsi="Times New Roman" w:cs="Times New Roman"/>
          <w:sz w:val="16"/>
        </w:rPr>
        <w:t>.</w:t>
      </w:r>
    </w:p>
    <w:p w14:paraId="3513EF21" w14:textId="77777777" w:rsidR="00271777" w:rsidRPr="00B404C5" w:rsidRDefault="00271777" w:rsidP="00271777">
      <w:pPr>
        <w:pStyle w:val="ListParagraph"/>
        <w:numPr>
          <w:ilvl w:val="1"/>
          <w:numId w:val="2"/>
        </w:numPr>
        <w:spacing w:before="120" w:line="360" w:lineRule="auto"/>
        <w:jc w:val="both"/>
      </w:pPr>
      <w:r>
        <w:rPr>
          <w:rFonts w:ascii="Times New Roman" w:hAnsi="Times New Roman" w:cs="Times New Roman"/>
        </w:rPr>
        <w:t>Section B should be reported on a quarterly basis, in each STE submission</w:t>
      </w:r>
      <w:r w:rsidRPr="00430F45">
        <w:rPr>
          <w:rFonts w:ascii="Times New Roman" w:hAnsi="Times New Roman" w:cs="Times New Roman"/>
          <w:sz w:val="16"/>
        </w:rPr>
        <w:t>.</w:t>
      </w:r>
    </w:p>
    <w:p w14:paraId="58C99516" w14:textId="77777777" w:rsidR="00271777" w:rsidRPr="00900258" w:rsidRDefault="00271777" w:rsidP="00271777">
      <w:pPr>
        <w:spacing w:before="120" w:line="360" w:lineRule="auto"/>
        <w:jc w:val="both"/>
        <w:rPr>
          <w:rFonts w:ascii="Times New Roman" w:hAnsi="Times New Roman" w:cs="Times New Roman"/>
          <w:b/>
          <w:u w:val="single"/>
        </w:rPr>
      </w:pPr>
      <w:r w:rsidRPr="00900258">
        <w:rPr>
          <w:rFonts w:ascii="Times New Roman" w:hAnsi="Times New Roman" w:cs="Times New Roman"/>
          <w:b/>
          <w:u w:val="single"/>
        </w:rPr>
        <w:t>Treatment of derivatives:</w:t>
      </w:r>
    </w:p>
    <w:p w14:paraId="48694D80"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r w:rsidRPr="00A93BDB">
        <w:rPr>
          <w:rFonts w:ascii="Times New Roman" w:hAnsi="Times New Roman" w:cs="Times New Roman"/>
        </w:rPr>
        <w:t xml:space="preserve">In rows 15 and 26, institutions should include the notional repricing cash flows arising from derivatives allocated to the banking book, </w:t>
      </w:r>
      <w:proofErr w:type="gramStart"/>
      <w:r w:rsidRPr="00A93BDB">
        <w:rPr>
          <w:rFonts w:ascii="Times New Roman" w:hAnsi="Times New Roman" w:cs="Times New Roman"/>
        </w:rPr>
        <w:t>with the exception of</w:t>
      </w:r>
      <w:proofErr w:type="gramEnd"/>
      <w:r w:rsidRPr="00A93BDB">
        <w:rPr>
          <w:rFonts w:ascii="Times New Roman" w:hAnsi="Times New Roman" w:cs="Times New Roman"/>
        </w:rPr>
        <w:t xml:space="preserve"> interest rate options derivatives</w:t>
      </w:r>
      <w:r>
        <w:rPr>
          <w:rFonts w:ascii="Times New Roman" w:hAnsi="Times New Roman" w:cs="Times New Roman"/>
        </w:rPr>
        <w:t>.</w:t>
      </w:r>
      <w:r w:rsidRPr="00A93BDB">
        <w:rPr>
          <w:rFonts w:ascii="Times New Roman" w:hAnsi="Times New Roman" w:cs="Times New Roman"/>
        </w:rPr>
        <w:t xml:space="preserve"> As an example, if the institution has contracted a derivative for hedging a banking book position (</w:t>
      </w:r>
      <w:proofErr w:type="gramStart"/>
      <w:r w:rsidRPr="00A93BDB">
        <w:rPr>
          <w:rFonts w:ascii="Times New Roman" w:hAnsi="Times New Roman" w:cs="Times New Roman"/>
        </w:rPr>
        <w:t>e</w:t>
      </w:r>
      <w:r w:rsidRPr="00430F45">
        <w:rPr>
          <w:rFonts w:ascii="Times New Roman" w:hAnsi="Times New Roman" w:cs="Times New Roman"/>
          <w:sz w:val="16"/>
        </w:rPr>
        <w:t>.</w:t>
      </w:r>
      <w:r w:rsidRPr="00A93BDB">
        <w:rPr>
          <w:rFonts w:ascii="Times New Roman" w:hAnsi="Times New Roman" w:cs="Times New Roman"/>
        </w:rPr>
        <w:t>g</w:t>
      </w:r>
      <w:r w:rsidRPr="00430F45">
        <w:rPr>
          <w:rFonts w:ascii="Times New Roman" w:hAnsi="Times New Roman" w:cs="Times New Roman"/>
          <w:sz w:val="16"/>
        </w:rPr>
        <w:t>.</w:t>
      </w:r>
      <w:proofErr w:type="gramEnd"/>
      <w:r w:rsidRPr="00A93BDB">
        <w:rPr>
          <w:rFonts w:ascii="Times New Roman" w:hAnsi="Times New Roman" w:cs="Times New Roman"/>
        </w:rPr>
        <w:t xml:space="preserve"> CCY interest rate swaps, FRAs, int</w:t>
      </w:r>
      <w:r w:rsidRPr="009C7D3F">
        <w:rPr>
          <w:rFonts w:ascii="Times New Roman" w:hAnsi="Times New Roman" w:cs="Times New Roman"/>
        </w:rPr>
        <w:t>erest rate swaps</w:t>
      </w:r>
      <w:r w:rsidRPr="00430F45">
        <w:rPr>
          <w:rFonts w:ascii="Times New Roman" w:hAnsi="Times New Roman" w:cs="Times New Roman"/>
        </w:rPr>
        <w:t>, etc</w:t>
      </w:r>
      <w:r w:rsidRPr="00430F45">
        <w:rPr>
          <w:rFonts w:ascii="Times New Roman" w:hAnsi="Times New Roman" w:cs="Times New Roman"/>
          <w:sz w:val="16"/>
        </w:rPr>
        <w:t>.</w:t>
      </w:r>
      <w:r w:rsidRPr="00430F45">
        <w:rPr>
          <w:rFonts w:ascii="Times New Roman" w:hAnsi="Times New Roman" w:cs="Times New Roman"/>
        </w:rPr>
        <w:t xml:space="preserve">), the notional repricing cash flows arising from that position should be reported in lines 15 </w:t>
      </w:r>
      <w:r>
        <w:rPr>
          <w:rFonts w:ascii="Times New Roman" w:hAnsi="Times New Roman" w:cs="Times New Roman"/>
        </w:rPr>
        <w:t>and/</w:t>
      </w:r>
      <w:r w:rsidRPr="00430F45">
        <w:rPr>
          <w:rFonts w:ascii="Times New Roman" w:hAnsi="Times New Roman" w:cs="Times New Roman"/>
        </w:rPr>
        <w:t>or 26</w:t>
      </w:r>
      <w:r w:rsidRPr="00430F45">
        <w:rPr>
          <w:rFonts w:ascii="Times New Roman" w:hAnsi="Times New Roman" w:cs="Times New Roman"/>
          <w:sz w:val="16"/>
        </w:rPr>
        <w:t>.</w:t>
      </w:r>
      <w:r>
        <w:rPr>
          <w:rStyle w:val="FootnoteReference"/>
          <w:rFonts w:ascii="Times New Roman" w:hAnsi="Times New Roman" w:cs="Times New Roman"/>
        </w:rPr>
        <w:footnoteReference w:id="3"/>
      </w:r>
    </w:p>
    <w:p w14:paraId="0ACEFF8B" w14:textId="77777777" w:rsidR="00271777" w:rsidRPr="00A93BDB" w:rsidRDefault="00271777" w:rsidP="00271777">
      <w:pPr>
        <w:spacing w:before="120" w:line="360" w:lineRule="auto"/>
        <w:jc w:val="both"/>
        <w:rPr>
          <w:rFonts w:ascii="Times New Roman" w:hAnsi="Times New Roman" w:cs="Times New Roman"/>
          <w:b/>
          <w:u w:val="single"/>
        </w:rPr>
      </w:pPr>
      <w:r w:rsidRPr="00A93BDB">
        <w:rPr>
          <w:rFonts w:ascii="Times New Roman" w:hAnsi="Times New Roman" w:cs="Times New Roman"/>
          <w:b/>
          <w:u w:val="single"/>
        </w:rPr>
        <w:lastRenderedPageBreak/>
        <w:t>Other:</w:t>
      </w:r>
    </w:p>
    <w:p w14:paraId="422E3B62" w14:textId="77777777" w:rsidR="00271777" w:rsidRPr="000C5C3D" w:rsidRDefault="00271777" w:rsidP="00271777">
      <w:pPr>
        <w:pStyle w:val="ListParagraph"/>
        <w:numPr>
          <w:ilvl w:val="0"/>
          <w:numId w:val="2"/>
        </w:numPr>
        <w:spacing w:before="120" w:line="360" w:lineRule="auto"/>
        <w:ind w:left="426"/>
        <w:jc w:val="both"/>
        <w:rPr>
          <w:rFonts w:ascii="Times New Roman" w:hAnsi="Times New Roman" w:cs="Times New Roman"/>
        </w:rPr>
      </w:pPr>
      <w:r w:rsidRPr="003E5530">
        <w:rPr>
          <w:rFonts w:ascii="Times New Roman" w:hAnsi="Times New Roman" w:cs="Times New Roman"/>
        </w:rPr>
        <w:t xml:space="preserve">In </w:t>
      </w:r>
      <w:r>
        <w:rPr>
          <w:rFonts w:ascii="Times New Roman" w:hAnsi="Times New Roman" w:cs="Times New Roman"/>
        </w:rPr>
        <w:t>rows 16 and 27,</w:t>
      </w:r>
      <w:r w:rsidRPr="003E5530">
        <w:rPr>
          <w:rFonts w:ascii="Times New Roman" w:hAnsi="Times New Roman" w:cs="Times New Roman"/>
        </w:rPr>
        <w:t xml:space="preserve"> institutions should report exclusively cash</w:t>
      </w:r>
      <w:r>
        <w:rPr>
          <w:rFonts w:ascii="Times New Roman" w:hAnsi="Times New Roman" w:cs="Times New Roman"/>
        </w:rPr>
        <w:t xml:space="preserve"> </w:t>
      </w:r>
      <w:r w:rsidRPr="003E5530">
        <w:rPr>
          <w:rFonts w:ascii="Times New Roman" w:hAnsi="Times New Roman" w:cs="Times New Roman"/>
        </w:rPr>
        <w:t>flows associated wit</w:t>
      </w:r>
      <w:r w:rsidRPr="00B26249">
        <w:rPr>
          <w:rFonts w:ascii="Times New Roman" w:hAnsi="Times New Roman" w:cs="Times New Roman"/>
        </w:rPr>
        <w:t xml:space="preserve">h </w:t>
      </w:r>
      <w:r w:rsidRPr="000C5C3D">
        <w:rPr>
          <w:rFonts w:ascii="Times New Roman" w:hAnsi="Times New Roman" w:cs="Times New Roman"/>
        </w:rPr>
        <w:t>interest</w:t>
      </w:r>
      <w:r>
        <w:rPr>
          <w:rFonts w:ascii="Times New Roman" w:hAnsi="Times New Roman" w:cs="Times New Roman"/>
        </w:rPr>
        <w:t xml:space="preserve"> </w:t>
      </w:r>
      <w:r w:rsidRPr="000C5C3D">
        <w:rPr>
          <w:rFonts w:ascii="Times New Roman" w:hAnsi="Times New Roman" w:cs="Times New Roman"/>
        </w:rPr>
        <w:t xml:space="preserve">rate sensitive instruments in the banking book which have not been </w:t>
      </w:r>
      <w:r>
        <w:rPr>
          <w:rFonts w:ascii="Times New Roman" w:hAnsi="Times New Roman" w:cs="Times New Roman"/>
        </w:rPr>
        <w:t>included</w:t>
      </w:r>
      <w:r w:rsidRPr="000C5C3D">
        <w:rPr>
          <w:rFonts w:ascii="Times New Roman" w:hAnsi="Times New Roman" w:cs="Times New Roman"/>
        </w:rPr>
        <w:t xml:space="preserve"> in </w:t>
      </w:r>
      <w:r>
        <w:rPr>
          <w:rFonts w:ascii="Times New Roman" w:hAnsi="Times New Roman" w:cs="Times New Roman"/>
        </w:rPr>
        <w:t>any of the other categories</w:t>
      </w:r>
      <w:r w:rsidRPr="00430F45">
        <w:rPr>
          <w:rFonts w:ascii="Times New Roman" w:hAnsi="Times New Roman" w:cs="Times New Roman"/>
          <w:sz w:val="16"/>
        </w:rPr>
        <w:t>.</w:t>
      </w:r>
    </w:p>
    <w:p w14:paraId="02A8E7D0" w14:textId="77777777" w:rsidR="00271777" w:rsidRPr="009619F2" w:rsidRDefault="00271777" w:rsidP="00271777">
      <w:pPr>
        <w:spacing w:before="120" w:line="360" w:lineRule="auto"/>
        <w:jc w:val="both"/>
        <w:rPr>
          <w:rFonts w:ascii="Times New Roman" w:hAnsi="Times New Roman" w:cs="Times New Roman"/>
          <w:b/>
          <w:u w:val="single"/>
        </w:rPr>
      </w:pPr>
      <w:r w:rsidRPr="009619F2">
        <w:rPr>
          <w:rFonts w:ascii="Times New Roman" w:hAnsi="Times New Roman" w:cs="Times New Roman"/>
          <w:b/>
          <w:u w:val="single"/>
        </w:rPr>
        <w:t>Off-balance sheet items:</w:t>
      </w:r>
    </w:p>
    <w:p w14:paraId="24D1B56F" w14:textId="77777777" w:rsidR="00271777" w:rsidRPr="003E1C2A" w:rsidRDefault="00271777" w:rsidP="00271777">
      <w:pPr>
        <w:pStyle w:val="ListParagraph"/>
        <w:numPr>
          <w:ilvl w:val="0"/>
          <w:numId w:val="2"/>
        </w:numPr>
        <w:spacing w:before="120" w:line="360" w:lineRule="auto"/>
        <w:ind w:left="426"/>
        <w:jc w:val="both"/>
        <w:rPr>
          <w:rFonts w:ascii="Times New Roman" w:hAnsi="Times New Roman"/>
          <w:b/>
          <w:u w:val="single"/>
        </w:rPr>
      </w:pPr>
      <w:r w:rsidRPr="009619F2">
        <w:rPr>
          <w:rFonts w:ascii="Times New Roman" w:hAnsi="Times New Roman" w:cs="Times New Roman"/>
        </w:rPr>
        <w:t xml:space="preserve">In rows 33 and 34, institutions should only report notional repricing cash flows arising from banking </w:t>
      </w:r>
      <w:r>
        <w:rPr>
          <w:rFonts w:ascii="Times New Roman" w:hAnsi="Times New Roman" w:cs="Times New Roman"/>
        </w:rPr>
        <w:t>b</w:t>
      </w:r>
      <w:r w:rsidRPr="009619F2">
        <w:rPr>
          <w:rFonts w:ascii="Times New Roman" w:hAnsi="Times New Roman" w:cs="Times New Roman"/>
        </w:rPr>
        <w:t xml:space="preserve">ook off-balance sheet items which have not been reflected in other rows of the template, differentiating the </w:t>
      </w:r>
      <w:r>
        <w:rPr>
          <w:rFonts w:ascii="Times New Roman" w:hAnsi="Times New Roman" w:cs="Times New Roman"/>
        </w:rPr>
        <w:t>notional repricing cash flows arising from contingent assets</w:t>
      </w:r>
      <w:r w:rsidRPr="009619F2">
        <w:rPr>
          <w:rFonts w:ascii="Times New Roman" w:hAnsi="Times New Roman" w:cs="Times New Roman"/>
        </w:rPr>
        <w:t xml:space="preserve"> (3</w:t>
      </w:r>
      <w:r>
        <w:rPr>
          <w:rFonts w:ascii="Times New Roman" w:hAnsi="Times New Roman" w:cs="Times New Roman"/>
        </w:rPr>
        <w:t>3</w:t>
      </w:r>
      <w:r w:rsidRPr="009619F2">
        <w:rPr>
          <w:rFonts w:ascii="Times New Roman" w:hAnsi="Times New Roman" w:cs="Times New Roman"/>
        </w:rPr>
        <w:t xml:space="preserve">) from the </w:t>
      </w:r>
      <w:r>
        <w:rPr>
          <w:rFonts w:ascii="Times New Roman" w:hAnsi="Times New Roman" w:cs="Times New Roman"/>
        </w:rPr>
        <w:t>notional repricing cash flows arising from contingent liabilities</w:t>
      </w:r>
      <w:r w:rsidRPr="009619F2">
        <w:rPr>
          <w:rFonts w:ascii="Times New Roman" w:hAnsi="Times New Roman" w:cs="Times New Roman"/>
        </w:rPr>
        <w:t xml:space="preserve"> (3</w:t>
      </w:r>
      <w:r>
        <w:rPr>
          <w:rFonts w:ascii="Times New Roman" w:hAnsi="Times New Roman" w:cs="Times New Roman"/>
        </w:rPr>
        <w:t>4</w:t>
      </w:r>
      <w:r w:rsidRPr="009619F2">
        <w:rPr>
          <w:rFonts w:ascii="Times New Roman" w:hAnsi="Times New Roman" w:cs="Times New Roman"/>
        </w:rPr>
        <w:t>)</w:t>
      </w:r>
      <w:r w:rsidRPr="00430F45">
        <w:rPr>
          <w:rFonts w:ascii="Times New Roman" w:hAnsi="Times New Roman" w:cs="Times New Roman"/>
          <w:sz w:val="16"/>
        </w:rPr>
        <w:t>.</w:t>
      </w:r>
    </w:p>
    <w:p w14:paraId="1C2A36E0" w14:textId="77777777" w:rsidR="00271777" w:rsidRPr="00DE4838" w:rsidRDefault="00271777" w:rsidP="00271777">
      <w:pPr>
        <w:spacing w:before="120" w:line="360" w:lineRule="auto"/>
        <w:jc w:val="both"/>
        <w:rPr>
          <w:rFonts w:ascii="Times New Roman" w:hAnsi="Times New Roman" w:cs="Times New Roman"/>
          <w:b/>
          <w:u w:val="single"/>
        </w:rPr>
      </w:pPr>
      <w:r w:rsidRPr="00DE4838">
        <w:rPr>
          <w:rFonts w:ascii="Times New Roman" w:hAnsi="Times New Roman" w:cs="Times New Roman"/>
          <w:b/>
          <w:u w:val="single"/>
        </w:rPr>
        <w:t xml:space="preserve">Conversion of non-euro </w:t>
      </w:r>
      <w:r>
        <w:rPr>
          <w:rFonts w:ascii="Times New Roman" w:hAnsi="Times New Roman" w:cs="Times New Roman"/>
          <w:b/>
          <w:u w:val="single"/>
        </w:rPr>
        <w:t xml:space="preserve">material </w:t>
      </w:r>
      <w:r w:rsidRPr="00DE4838">
        <w:rPr>
          <w:rFonts w:ascii="Times New Roman" w:hAnsi="Times New Roman" w:cs="Times New Roman"/>
          <w:b/>
          <w:u w:val="single"/>
        </w:rPr>
        <w:t>currencies into euro</w:t>
      </w:r>
    </w:p>
    <w:p w14:paraId="1A87E7CC"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r w:rsidRPr="007B35A4">
        <w:rPr>
          <w:rFonts w:ascii="Times New Roman" w:hAnsi="Times New Roman" w:cs="Times New Roman"/>
        </w:rPr>
        <w:t xml:space="preserve">For each of its non-euro material currency exposures, institutions should prepare the </w:t>
      </w:r>
      <w:r>
        <w:rPr>
          <w:rFonts w:ascii="Times New Roman" w:hAnsi="Times New Roman" w:cs="Times New Roman"/>
        </w:rPr>
        <w:t>maturity repricing schedule according to the template</w:t>
      </w:r>
      <w:r w:rsidRPr="007B35A4">
        <w:rPr>
          <w:rFonts w:ascii="Times New Roman" w:hAnsi="Times New Roman" w:cs="Times New Roman"/>
        </w:rPr>
        <w:t xml:space="preserve"> “IRRBB Material Currency” and keep it in its original currency</w:t>
      </w:r>
      <w:r w:rsidRPr="00430F45">
        <w:rPr>
          <w:rFonts w:ascii="Times New Roman" w:hAnsi="Times New Roman" w:cs="Times New Roman"/>
          <w:sz w:val="16"/>
        </w:rPr>
        <w:t>.</w:t>
      </w:r>
    </w:p>
    <w:p w14:paraId="6AD44E54" w14:textId="77777777" w:rsidR="00271777" w:rsidRPr="007B35A4" w:rsidRDefault="00271777" w:rsidP="00271777">
      <w:pPr>
        <w:pStyle w:val="ListParagraph"/>
        <w:numPr>
          <w:ilvl w:val="0"/>
          <w:numId w:val="2"/>
        </w:numPr>
        <w:spacing w:before="120" w:line="360" w:lineRule="auto"/>
        <w:ind w:left="426"/>
        <w:jc w:val="both"/>
        <w:rPr>
          <w:rFonts w:ascii="Times New Roman" w:hAnsi="Times New Roman" w:cs="Times New Roman"/>
        </w:rPr>
      </w:pPr>
      <w:r w:rsidRPr="007B35A4">
        <w:rPr>
          <w:rFonts w:ascii="Times New Roman" w:hAnsi="Times New Roman" w:cs="Times New Roman"/>
        </w:rPr>
        <w:t xml:space="preserve">The methodology underlying the </w:t>
      </w:r>
      <w:r>
        <w:rPr>
          <w:rFonts w:ascii="Times New Roman" w:hAnsi="Times New Roman" w:cs="Times New Roman"/>
        </w:rPr>
        <w:t>reporting</w:t>
      </w:r>
      <w:r w:rsidRPr="007B35A4">
        <w:rPr>
          <w:rFonts w:ascii="Times New Roman" w:hAnsi="Times New Roman" w:cs="Times New Roman"/>
        </w:rPr>
        <w:t xml:space="preserve"> of each non-EUR template should be consistent and following the current instructions</w:t>
      </w:r>
      <w:r w:rsidRPr="00430F45">
        <w:rPr>
          <w:rFonts w:ascii="Times New Roman" w:hAnsi="Times New Roman" w:cs="Times New Roman"/>
          <w:sz w:val="16"/>
        </w:rPr>
        <w:t>.</w:t>
      </w:r>
    </w:p>
    <w:p w14:paraId="6DCDE8D2" w14:textId="77777777" w:rsidR="00271777" w:rsidRPr="007B35A4" w:rsidRDefault="00271777" w:rsidP="00271777">
      <w:pPr>
        <w:pStyle w:val="ListParagraph"/>
        <w:numPr>
          <w:ilvl w:val="0"/>
          <w:numId w:val="2"/>
        </w:numPr>
        <w:spacing w:before="120" w:line="360" w:lineRule="auto"/>
        <w:ind w:left="426"/>
        <w:jc w:val="both"/>
        <w:rPr>
          <w:rFonts w:ascii="Times New Roman" w:hAnsi="Times New Roman" w:cs="Times New Roman"/>
        </w:rPr>
      </w:pPr>
      <w:r w:rsidRPr="007B35A4">
        <w:rPr>
          <w:rFonts w:ascii="Times New Roman" w:hAnsi="Times New Roman" w:cs="Times New Roman"/>
        </w:rPr>
        <w:t>Institutions should convert each of the non-EUR denominated templates prepared in paragraph 3</w:t>
      </w:r>
      <w:r>
        <w:rPr>
          <w:rFonts w:ascii="Times New Roman" w:hAnsi="Times New Roman" w:cs="Times New Roman"/>
        </w:rPr>
        <w:t>5</w:t>
      </w:r>
      <w:r w:rsidRPr="007B35A4">
        <w:rPr>
          <w:rFonts w:ascii="Times New Roman" w:hAnsi="Times New Roman" w:cs="Times New Roman"/>
        </w:rPr>
        <w:t xml:space="preserve"> into an EUR-equivalent template by applying </w:t>
      </w:r>
      <w:r>
        <w:rPr>
          <w:rFonts w:ascii="Times New Roman" w:hAnsi="Times New Roman" w:cs="Times New Roman"/>
        </w:rPr>
        <w:t>the</w:t>
      </w:r>
      <w:r w:rsidRPr="007B35A4">
        <w:rPr>
          <w:rFonts w:ascii="Times New Roman" w:hAnsi="Times New Roman" w:cs="Times New Roman"/>
        </w:rPr>
        <w:t xml:space="preserve"> relevant FX rate</w:t>
      </w:r>
      <w:r>
        <w:rPr>
          <w:rFonts w:ascii="Times New Roman" w:hAnsi="Times New Roman" w:cs="Times New Roman"/>
        </w:rPr>
        <w:t xml:space="preserve"> (</w:t>
      </w:r>
      <w:r w:rsidRPr="00D65859">
        <w:rPr>
          <w:rFonts w:ascii="Times New Roman" w:hAnsi="Times New Roman" w:cs="Times New Roman"/>
        </w:rPr>
        <w:t xml:space="preserve">EUR exchange rate to be used is the </w:t>
      </w:r>
      <w:r>
        <w:rPr>
          <w:rFonts w:ascii="Times New Roman" w:hAnsi="Times New Roman" w:cs="Times New Roman"/>
        </w:rPr>
        <w:t>e</w:t>
      </w:r>
      <w:r w:rsidRPr="00D90C12">
        <w:rPr>
          <w:rFonts w:ascii="Times New Roman" w:hAnsi="Times New Roman" w:cs="Times New Roman"/>
        </w:rPr>
        <w:t>uro foreign exchange reference rates</w:t>
      </w:r>
      <w:r>
        <w:rPr>
          <w:rFonts w:ascii="Times New Roman" w:hAnsi="Times New Roman" w:cs="Times New Roman"/>
        </w:rPr>
        <w:t xml:space="preserve"> available in the ECB website as of the reference date if available, or if not available, by using available market information on FX rates as of reference date)</w:t>
      </w:r>
      <w:r w:rsidRPr="00430F45">
        <w:rPr>
          <w:rFonts w:ascii="Times New Roman" w:hAnsi="Times New Roman" w:cs="Times New Roman"/>
          <w:sz w:val="16"/>
        </w:rPr>
        <w:t>.</w:t>
      </w:r>
    </w:p>
    <w:p w14:paraId="0F69A752" w14:textId="77777777" w:rsidR="00271777" w:rsidRPr="007B35A4" w:rsidRDefault="00271777" w:rsidP="00271777">
      <w:pPr>
        <w:pStyle w:val="ListParagraph"/>
        <w:numPr>
          <w:ilvl w:val="0"/>
          <w:numId w:val="2"/>
        </w:numPr>
        <w:spacing w:before="120" w:line="360" w:lineRule="auto"/>
        <w:ind w:left="426"/>
        <w:jc w:val="both"/>
        <w:rPr>
          <w:rFonts w:ascii="Times New Roman" w:hAnsi="Times New Roman" w:cs="Times New Roman"/>
        </w:rPr>
      </w:pPr>
      <w:r w:rsidRPr="007B35A4">
        <w:rPr>
          <w:rFonts w:ascii="Times New Roman" w:hAnsi="Times New Roman" w:cs="Times New Roman"/>
        </w:rPr>
        <w:t>Each FX rate should be used consistently in the preparation of the templates;</w:t>
      </w:r>
      <w:r w:rsidRPr="003E1C2A">
        <w:rPr>
          <w:rFonts w:ascii="Times New Roman" w:hAnsi="Times New Roman"/>
        </w:rPr>
        <w:t xml:space="preserve"> </w:t>
      </w:r>
      <w:r w:rsidRPr="007B35A4">
        <w:rPr>
          <w:rFonts w:ascii="Times New Roman" w:hAnsi="Times New Roman" w:cs="Times New Roman"/>
        </w:rPr>
        <w:t>otherwise, institutions should state which FX rates have been used in the comment box “Additional comments” of Template “</w:t>
      </w:r>
      <w:r w:rsidRPr="00BD2510">
        <w:rPr>
          <w:rFonts w:ascii="Times New Roman" w:eastAsiaTheme="majorEastAsia" w:hAnsi="Times New Roman" w:cs="Times New Roman"/>
          <w:b/>
          <w:color w:val="1F497D" w:themeColor="text2"/>
          <w:szCs w:val="24"/>
        </w:rPr>
        <w:t>0_Identification</w:t>
      </w:r>
      <w:r w:rsidRPr="00BD2510">
        <w:rPr>
          <w:rFonts w:ascii="Times New Roman" w:hAnsi="Times New Roman" w:cs="Times New Roman"/>
        </w:rPr>
        <w:t>”</w:t>
      </w:r>
      <w:r w:rsidRPr="00430F45">
        <w:rPr>
          <w:rFonts w:ascii="Times New Roman" w:hAnsi="Times New Roman" w:cs="Times New Roman"/>
          <w:sz w:val="16"/>
        </w:rPr>
        <w:t>.</w:t>
      </w:r>
    </w:p>
    <w:p w14:paraId="63449EF9" w14:textId="77777777" w:rsidR="00271777" w:rsidRPr="007B35A4" w:rsidRDefault="00271777" w:rsidP="00271777">
      <w:pPr>
        <w:pStyle w:val="ListParagraph"/>
        <w:numPr>
          <w:ilvl w:val="0"/>
          <w:numId w:val="2"/>
        </w:numPr>
        <w:spacing w:before="120" w:line="360" w:lineRule="auto"/>
        <w:ind w:left="426"/>
        <w:rPr>
          <w:rFonts w:ascii="Times New Roman" w:hAnsi="Times New Roman" w:cs="Times New Roman"/>
        </w:rPr>
      </w:pPr>
      <w:r w:rsidRPr="007B35A4">
        <w:rPr>
          <w:rFonts w:ascii="Times New Roman" w:hAnsi="Times New Roman" w:cs="Times New Roman"/>
        </w:rPr>
        <w:t xml:space="preserve">Institutions should report in </w:t>
      </w:r>
      <w:r>
        <w:rPr>
          <w:rFonts w:ascii="Times New Roman" w:hAnsi="Times New Roman" w:cs="Times New Roman"/>
        </w:rPr>
        <w:t>each</w:t>
      </w:r>
      <w:r w:rsidRPr="007B35A4">
        <w:rPr>
          <w:rFonts w:ascii="Times New Roman" w:hAnsi="Times New Roman" w:cs="Times New Roman"/>
        </w:rPr>
        <w:t xml:space="preserve"> </w:t>
      </w:r>
      <w:r>
        <w:rPr>
          <w:rFonts w:ascii="Times New Roman" w:hAnsi="Times New Roman" w:cs="Times New Roman"/>
        </w:rPr>
        <w:t xml:space="preserve">template </w:t>
      </w:r>
      <w:r w:rsidRPr="007B35A4">
        <w:rPr>
          <w:rFonts w:ascii="Times New Roman" w:hAnsi="Times New Roman" w:cs="Times New Roman"/>
        </w:rPr>
        <w:t>“</w:t>
      </w:r>
      <w:r w:rsidRPr="00C85864">
        <w:rPr>
          <w:rFonts w:ascii="Times New Roman" w:eastAsiaTheme="majorEastAsia" w:hAnsi="Times New Roman" w:cs="Times New Roman"/>
          <w:b/>
          <w:color w:val="1F497D" w:themeColor="text2"/>
          <w:szCs w:val="24"/>
        </w:rPr>
        <w:t>IRRBB Material Currency</w:t>
      </w:r>
      <w:r w:rsidRPr="007B35A4">
        <w:rPr>
          <w:rFonts w:ascii="Times New Roman" w:hAnsi="Times New Roman" w:cs="Times New Roman"/>
        </w:rPr>
        <w:t xml:space="preserve">” </w:t>
      </w:r>
      <w:r>
        <w:rPr>
          <w:rFonts w:ascii="Times New Roman" w:hAnsi="Times New Roman" w:cs="Times New Roman"/>
        </w:rPr>
        <w:t>a</w:t>
      </w:r>
      <w:r w:rsidRPr="007B35A4">
        <w:rPr>
          <w:rFonts w:ascii="Times New Roman" w:hAnsi="Times New Roman" w:cs="Times New Roman"/>
        </w:rPr>
        <w:t xml:space="preserve"> EUR-equivalent template calculated as indicated in paragraph 3</w:t>
      </w:r>
      <w:r>
        <w:rPr>
          <w:rFonts w:ascii="Times New Roman" w:hAnsi="Times New Roman" w:cs="Times New Roman"/>
        </w:rPr>
        <w:t>7</w:t>
      </w:r>
      <w:r w:rsidRPr="007B35A4">
        <w:rPr>
          <w:rFonts w:ascii="Times New Roman" w:hAnsi="Times New Roman" w:cs="Times New Roman"/>
        </w:rPr>
        <w:t xml:space="preserve"> corresponding to the </w:t>
      </w:r>
      <w:r>
        <w:rPr>
          <w:rFonts w:ascii="Times New Roman" w:hAnsi="Times New Roman" w:cs="Times New Roman"/>
        </w:rPr>
        <w:t>4</w:t>
      </w:r>
      <w:r w:rsidRPr="007B35A4">
        <w:rPr>
          <w:rFonts w:ascii="Times New Roman" w:hAnsi="Times New Roman" w:cs="Times New Roman"/>
        </w:rPr>
        <w:t xml:space="preserve"> most material currencies according to paragraph </w:t>
      </w:r>
      <w:r>
        <w:rPr>
          <w:rFonts w:ascii="Times New Roman" w:hAnsi="Times New Roman" w:cs="Times New Roman"/>
        </w:rPr>
        <w:t>20</w:t>
      </w:r>
      <w:r w:rsidRPr="00430F45">
        <w:rPr>
          <w:rFonts w:ascii="Times New Roman" w:hAnsi="Times New Roman" w:cs="Times New Roman"/>
          <w:sz w:val="16"/>
        </w:rPr>
        <w:t>.</w:t>
      </w:r>
    </w:p>
    <w:p w14:paraId="5A939A69"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r>
        <w:rPr>
          <w:rFonts w:ascii="Times New Roman" w:hAnsi="Times New Roman" w:cs="Times New Roman"/>
        </w:rPr>
        <w:t>In order to fill in template “</w:t>
      </w:r>
      <w:r w:rsidRPr="00C85864">
        <w:rPr>
          <w:rFonts w:ascii="Times New Roman" w:eastAsiaTheme="majorEastAsia" w:hAnsi="Times New Roman" w:cs="Times New Roman"/>
          <w:b/>
          <w:color w:val="1F497D" w:themeColor="text2"/>
          <w:szCs w:val="24"/>
        </w:rPr>
        <w:t>IRRBB Other Material Currencies</w:t>
      </w:r>
      <w:r>
        <w:rPr>
          <w:rFonts w:ascii="Times New Roman" w:eastAsiaTheme="majorEastAsia" w:hAnsi="Times New Roman" w:cs="Times New Roman"/>
          <w:b/>
          <w:color w:val="1F497D" w:themeColor="text2"/>
          <w:szCs w:val="24"/>
        </w:rPr>
        <w:t>”</w:t>
      </w:r>
      <w:r>
        <w:rPr>
          <w:rFonts w:ascii="Times New Roman" w:hAnsi="Times New Roman" w:cs="Times New Roman"/>
        </w:rPr>
        <w:t xml:space="preserve">, institutions should aggregate </w:t>
      </w:r>
      <w:r w:rsidRPr="006521B5">
        <w:rPr>
          <w:rFonts w:ascii="Times New Roman" w:hAnsi="Times New Roman" w:cs="Times New Roman"/>
        </w:rPr>
        <w:t>all material notional repricing cash</w:t>
      </w:r>
      <w:r>
        <w:rPr>
          <w:rFonts w:ascii="Times New Roman" w:hAnsi="Times New Roman" w:cs="Times New Roman"/>
        </w:rPr>
        <w:t xml:space="preserve"> </w:t>
      </w:r>
      <w:r w:rsidRPr="006521B5">
        <w:rPr>
          <w:rFonts w:ascii="Times New Roman" w:hAnsi="Times New Roman" w:cs="Times New Roman"/>
        </w:rPr>
        <w:t xml:space="preserve">flows arising from interest-rate sensitive instruments per time bands </w:t>
      </w:r>
      <w:r>
        <w:rPr>
          <w:rFonts w:ascii="Times New Roman" w:hAnsi="Times New Roman" w:cs="Times New Roman"/>
        </w:rPr>
        <w:t>denominated in the 5</w:t>
      </w:r>
      <w:r w:rsidRPr="00D65859">
        <w:rPr>
          <w:rFonts w:ascii="Times New Roman" w:hAnsi="Times New Roman" w:cs="Times New Roman"/>
          <w:vertAlign w:val="superscript"/>
        </w:rPr>
        <w:t>th</w:t>
      </w:r>
      <w:r>
        <w:rPr>
          <w:rFonts w:ascii="Times New Roman" w:hAnsi="Times New Roman" w:cs="Times New Roman"/>
        </w:rPr>
        <w:t xml:space="preserve"> largest material currency until the n</w:t>
      </w:r>
      <w:r w:rsidRPr="00BD2510">
        <w:rPr>
          <w:rFonts w:ascii="Times New Roman" w:hAnsi="Times New Roman" w:cs="Times New Roman"/>
          <w:vertAlign w:val="superscript"/>
        </w:rPr>
        <w:t>th</w:t>
      </w:r>
      <w:r>
        <w:rPr>
          <w:rFonts w:ascii="Times New Roman" w:hAnsi="Times New Roman" w:cs="Times New Roman"/>
        </w:rPr>
        <w:t xml:space="preserve"> material</w:t>
      </w:r>
      <w:r w:rsidRPr="003E1C2A">
        <w:rPr>
          <w:rFonts w:ascii="Times New Roman" w:hAnsi="Times New Roman"/>
        </w:rPr>
        <w:t xml:space="preserve"> currency</w:t>
      </w:r>
      <w:r>
        <w:rPr>
          <w:rFonts w:ascii="Times New Roman" w:hAnsi="Times New Roman" w:cs="Times New Roman"/>
        </w:rPr>
        <w:t>, and translated into EUR (</w:t>
      </w:r>
      <w:r w:rsidRPr="00D65859">
        <w:rPr>
          <w:rFonts w:ascii="Times New Roman" w:hAnsi="Times New Roman" w:cs="Times New Roman"/>
        </w:rPr>
        <w:t xml:space="preserve">EUR exchange rate to be used is the </w:t>
      </w:r>
      <w:r>
        <w:rPr>
          <w:rFonts w:ascii="Times New Roman" w:hAnsi="Times New Roman" w:cs="Times New Roman"/>
        </w:rPr>
        <w:t>e</w:t>
      </w:r>
      <w:r w:rsidRPr="00D90C12">
        <w:rPr>
          <w:rFonts w:ascii="Times New Roman" w:hAnsi="Times New Roman" w:cs="Times New Roman"/>
        </w:rPr>
        <w:t>uro foreign exchange reference rates</w:t>
      </w:r>
      <w:r>
        <w:rPr>
          <w:rFonts w:ascii="Times New Roman" w:hAnsi="Times New Roman" w:cs="Times New Roman"/>
        </w:rPr>
        <w:t xml:space="preserve"> available in the ECB website as of the reference date if available, or if not available, by using available market information on FX rates as of reference date)</w:t>
      </w:r>
      <w:r w:rsidRPr="00430F45">
        <w:rPr>
          <w:rFonts w:ascii="Times New Roman" w:hAnsi="Times New Roman" w:cs="Times New Roman"/>
          <w:sz w:val="16"/>
        </w:rPr>
        <w:t>.</w:t>
      </w:r>
    </w:p>
    <w:p w14:paraId="6B9793D2" w14:textId="77777777" w:rsidR="00271777" w:rsidRDefault="00271777" w:rsidP="00271777">
      <w:pPr>
        <w:pStyle w:val="Heading2"/>
        <w:spacing w:before="120" w:line="360" w:lineRule="auto"/>
        <w:ind w:left="720"/>
        <w:rPr>
          <w:rFonts w:ascii="Times New Roman" w:hAnsi="Times New Roman" w:cs="Times New Roman"/>
          <w:color w:val="auto"/>
        </w:rPr>
      </w:pPr>
      <w:bookmarkStart w:id="18" w:name="_Ref459821134"/>
      <w:bookmarkStart w:id="19" w:name="_Ref459877467"/>
      <w:bookmarkStart w:id="20" w:name="_Ref459877469"/>
      <w:bookmarkStart w:id="21" w:name="_Toc518916495"/>
      <w:bookmarkStart w:id="22" w:name="_Toc11660165"/>
      <w:r w:rsidRPr="00FA1A1F">
        <w:rPr>
          <w:rFonts w:ascii="Times New Roman" w:hAnsi="Times New Roman" w:cs="Times New Roman"/>
          <w:color w:val="auto"/>
        </w:rPr>
        <w:lastRenderedPageBreak/>
        <w:t>Template “</w:t>
      </w:r>
      <w:r>
        <w:rPr>
          <w:rFonts w:ascii="Times New Roman" w:hAnsi="Times New Roman" w:cs="Times New Roman"/>
          <w:color w:val="auto"/>
        </w:rPr>
        <w:t>6_IRRBB_additional</w:t>
      </w:r>
      <w:r w:rsidRPr="00FA1A1F">
        <w:rPr>
          <w:rFonts w:ascii="Times New Roman" w:hAnsi="Times New Roman" w:cs="Times New Roman"/>
          <w:color w:val="auto"/>
        </w:rPr>
        <w:t>”</w:t>
      </w:r>
      <w:bookmarkEnd w:id="18"/>
      <w:bookmarkEnd w:id="19"/>
      <w:bookmarkEnd w:id="20"/>
      <w:bookmarkEnd w:id="21"/>
      <w:bookmarkEnd w:id="22"/>
    </w:p>
    <w:p w14:paraId="310ECBC9"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r w:rsidRPr="00897F6F">
        <w:rPr>
          <w:rFonts w:ascii="Times New Roman" w:hAnsi="Times New Roman" w:cs="Times New Roman"/>
        </w:rPr>
        <w:t xml:space="preserve">This template is used for gathering additional information regarding IRRBB which is not captured by Templates </w:t>
      </w:r>
      <w:r>
        <w:rPr>
          <w:rFonts w:ascii="Times New Roman" w:hAnsi="Times New Roman" w:cs="Times New Roman"/>
        </w:rPr>
        <w:t>1 to 5 – “</w:t>
      </w:r>
      <w:r w:rsidRPr="00C85864">
        <w:rPr>
          <w:rFonts w:ascii="Times New Roman" w:eastAsiaTheme="majorEastAsia" w:hAnsi="Times New Roman" w:cs="Times New Roman"/>
          <w:b/>
          <w:color w:val="1F497D" w:themeColor="text2"/>
          <w:szCs w:val="24"/>
        </w:rPr>
        <w:t>IRRBB Material Currencies</w:t>
      </w:r>
      <w:r w:rsidRPr="00BD2510">
        <w:rPr>
          <w:rFonts w:ascii="Times New Roman" w:hAnsi="Times New Roman" w:cs="Times New Roman"/>
        </w:rPr>
        <w:t>”</w:t>
      </w:r>
      <w:r w:rsidRPr="00430F45">
        <w:rPr>
          <w:rFonts w:ascii="Times New Roman" w:hAnsi="Times New Roman" w:cs="Times New Roman"/>
          <w:sz w:val="16"/>
        </w:rPr>
        <w:t>.</w:t>
      </w:r>
    </w:p>
    <w:p w14:paraId="1FACB876"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r w:rsidRPr="00897F6F">
        <w:rPr>
          <w:rFonts w:ascii="Times New Roman" w:hAnsi="Times New Roman" w:cs="Times New Roman"/>
        </w:rPr>
        <w:t xml:space="preserve">More specifically, the data points in this template </w:t>
      </w:r>
      <w:r>
        <w:rPr>
          <w:rFonts w:ascii="Times New Roman" w:hAnsi="Times New Roman" w:cs="Times New Roman"/>
        </w:rPr>
        <w:t>intend to provide an overview of:</w:t>
      </w:r>
    </w:p>
    <w:p w14:paraId="402D438F" w14:textId="77777777" w:rsidR="00271777" w:rsidRDefault="00271777" w:rsidP="00271777">
      <w:pPr>
        <w:pStyle w:val="ListParagraph"/>
        <w:numPr>
          <w:ilvl w:val="0"/>
          <w:numId w:val="4"/>
        </w:numPr>
        <w:spacing w:before="120" w:line="360" w:lineRule="auto"/>
        <w:ind w:left="993"/>
        <w:jc w:val="both"/>
        <w:rPr>
          <w:rFonts w:ascii="Times New Roman" w:hAnsi="Times New Roman" w:cs="Times New Roman"/>
        </w:rPr>
      </w:pPr>
      <w:r>
        <w:rPr>
          <w:rFonts w:ascii="Times New Roman" w:hAnsi="Times New Roman" w:cs="Times New Roman"/>
        </w:rPr>
        <w:t>The impact of two parallel shock scenarios set out in paragraph 113 of the EBA/GL/2018/02 on institutions’:</w:t>
      </w:r>
    </w:p>
    <w:p w14:paraId="2385A3BC" w14:textId="77777777" w:rsidR="00271777" w:rsidRPr="00897F6F" w:rsidRDefault="00271777" w:rsidP="00271777">
      <w:pPr>
        <w:pStyle w:val="ListParagraph"/>
        <w:numPr>
          <w:ilvl w:val="2"/>
          <w:numId w:val="6"/>
        </w:numPr>
        <w:spacing w:before="120" w:line="360" w:lineRule="auto"/>
        <w:ind w:left="1843" w:hanging="317"/>
        <w:jc w:val="both"/>
        <w:rPr>
          <w:rFonts w:ascii="Times New Roman" w:hAnsi="Times New Roman" w:cs="Times New Roman"/>
        </w:rPr>
      </w:pPr>
      <w:r>
        <w:rPr>
          <w:rFonts w:ascii="Times New Roman" w:hAnsi="Times New Roman" w:cs="Times New Roman"/>
        </w:rPr>
        <w:t xml:space="preserve">Economic value of equity (calculation based on internal models applying the principles laid down in paragraph 115 of the EBA/GL/2018/02) – data points </w:t>
      </w:r>
      <w:proofErr w:type="gramStart"/>
      <w:r>
        <w:rPr>
          <w:rFonts w:ascii="Times New Roman" w:hAnsi="Times New Roman" w:cs="Times New Roman"/>
        </w:rPr>
        <w:t>1-3;</w:t>
      </w:r>
      <w:proofErr w:type="gramEnd"/>
    </w:p>
    <w:p w14:paraId="58E73485" w14:textId="77777777" w:rsidR="00271777" w:rsidRDefault="00271777" w:rsidP="00271777">
      <w:pPr>
        <w:pStyle w:val="ListParagraph"/>
        <w:numPr>
          <w:ilvl w:val="2"/>
          <w:numId w:val="6"/>
        </w:numPr>
        <w:spacing w:before="120" w:line="360" w:lineRule="auto"/>
        <w:ind w:left="1843" w:hanging="317"/>
        <w:jc w:val="both"/>
        <w:rPr>
          <w:rFonts w:ascii="Times New Roman" w:hAnsi="Times New Roman" w:cs="Times New Roman"/>
        </w:rPr>
      </w:pPr>
      <w:r>
        <w:rPr>
          <w:rFonts w:ascii="Times New Roman" w:hAnsi="Times New Roman" w:cs="Times New Roman"/>
        </w:rPr>
        <w:t xml:space="preserve">Forecasted net interest income for a period of 12 months (according to own internal models) – data points </w:t>
      </w:r>
      <w:proofErr w:type="gramStart"/>
      <w:r>
        <w:rPr>
          <w:rFonts w:ascii="Times New Roman" w:hAnsi="Times New Roman" w:cs="Times New Roman"/>
        </w:rPr>
        <w:t>14-16;</w:t>
      </w:r>
      <w:proofErr w:type="gramEnd"/>
    </w:p>
    <w:p w14:paraId="38D6A843" w14:textId="77777777" w:rsidR="00271777" w:rsidRDefault="00271777" w:rsidP="00271777">
      <w:pPr>
        <w:pStyle w:val="ListParagraph"/>
        <w:numPr>
          <w:ilvl w:val="2"/>
          <w:numId w:val="6"/>
        </w:numPr>
        <w:spacing w:before="120" w:line="360" w:lineRule="auto"/>
        <w:ind w:left="1843" w:hanging="317"/>
        <w:jc w:val="both"/>
        <w:rPr>
          <w:rFonts w:ascii="Times New Roman" w:hAnsi="Times New Roman" w:cs="Times New Roman"/>
        </w:rPr>
      </w:pPr>
      <w:r>
        <w:rPr>
          <w:rFonts w:ascii="Times New Roman" w:hAnsi="Times New Roman" w:cs="Times New Roman"/>
        </w:rPr>
        <w:t>Forecasted earnings for a period of 12 months (according to own internal models) – data points 17-19</w:t>
      </w:r>
      <w:r w:rsidRPr="00430F45">
        <w:rPr>
          <w:rFonts w:ascii="Times New Roman" w:hAnsi="Times New Roman" w:cs="Times New Roman"/>
          <w:sz w:val="16"/>
        </w:rPr>
        <w:t>.</w:t>
      </w:r>
    </w:p>
    <w:p w14:paraId="1E01D2EE" w14:textId="77777777" w:rsidR="00271777" w:rsidRPr="00C85864" w:rsidRDefault="00271777" w:rsidP="00271777">
      <w:pPr>
        <w:pStyle w:val="ListParagraph"/>
        <w:numPr>
          <w:ilvl w:val="0"/>
          <w:numId w:val="4"/>
        </w:numPr>
        <w:spacing w:before="120" w:line="360" w:lineRule="auto"/>
        <w:ind w:left="993"/>
        <w:jc w:val="both"/>
        <w:rPr>
          <w:rFonts w:ascii="Times New Roman" w:hAnsi="Times New Roman" w:cs="Times New Roman"/>
        </w:rPr>
      </w:pPr>
      <w:r>
        <w:rPr>
          <w:rFonts w:ascii="Times New Roman" w:hAnsi="Times New Roman" w:cs="Times New Roman"/>
        </w:rPr>
        <w:t>The impact of the six scenarios according to paragraph 114 of the EBA/GL/2018/02 on economic value of equity (calculation based on internal models applying the principles laid down in paragraph 115 of the EBA/GL/2018/02) – data points 7-13</w:t>
      </w:r>
      <w:r w:rsidRPr="00430F45">
        <w:rPr>
          <w:rFonts w:ascii="Times New Roman" w:hAnsi="Times New Roman" w:cs="Times New Roman"/>
          <w:sz w:val="16"/>
        </w:rPr>
        <w:t>.</w:t>
      </w:r>
    </w:p>
    <w:p w14:paraId="4705BDF7"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r>
        <w:rPr>
          <w:rFonts w:ascii="Times New Roman" w:hAnsi="Times New Roman" w:cs="Times New Roman"/>
        </w:rPr>
        <w:t>The proportion of assets and liabilities with embedded optionality in the banking book – (according to own internal models) - data points 20-23</w:t>
      </w:r>
      <w:r w:rsidRPr="00430F45">
        <w:rPr>
          <w:rFonts w:ascii="Times New Roman" w:hAnsi="Times New Roman" w:cs="Times New Roman"/>
          <w:sz w:val="16"/>
        </w:rPr>
        <w:t>.</w:t>
      </w:r>
    </w:p>
    <w:p w14:paraId="42558DD6" w14:textId="77777777" w:rsidR="00271777" w:rsidRPr="00CE27EE" w:rsidRDefault="00271777" w:rsidP="00271777">
      <w:pPr>
        <w:pStyle w:val="ListParagraph"/>
        <w:numPr>
          <w:ilvl w:val="0"/>
          <w:numId w:val="2"/>
        </w:numPr>
        <w:spacing w:before="120" w:line="360" w:lineRule="auto"/>
        <w:ind w:left="426"/>
        <w:jc w:val="both"/>
        <w:rPr>
          <w:rFonts w:ascii="Times New Roman" w:hAnsi="Times New Roman" w:cs="Times New Roman"/>
        </w:rPr>
      </w:pPr>
      <w:r w:rsidRPr="00CE27EE">
        <w:rPr>
          <w:rFonts w:ascii="Times New Roman" w:hAnsi="Times New Roman" w:cs="Times New Roman"/>
        </w:rPr>
        <w:t xml:space="preserve">Importantly, all items in this </w:t>
      </w:r>
      <w:r>
        <w:rPr>
          <w:rFonts w:ascii="Times New Roman" w:hAnsi="Times New Roman" w:cs="Times New Roman"/>
        </w:rPr>
        <w:t>template</w:t>
      </w:r>
      <w:r w:rsidRPr="00CE27EE">
        <w:rPr>
          <w:rFonts w:ascii="Times New Roman" w:hAnsi="Times New Roman" w:cs="Times New Roman"/>
        </w:rPr>
        <w:t xml:space="preserve"> should be denominated in EUR, by using the relevant FX rate as </w:t>
      </w:r>
      <w:r w:rsidRPr="00C85864">
        <w:rPr>
          <w:rFonts w:ascii="Times New Roman" w:hAnsi="Times New Roman" w:cs="Times New Roman"/>
        </w:rPr>
        <w:t>of the reference date</w:t>
      </w:r>
      <w:r>
        <w:rPr>
          <w:rFonts w:ascii="Times New Roman" w:hAnsi="Times New Roman" w:cs="Times New Roman"/>
        </w:rPr>
        <w:t xml:space="preserve"> (institutions should use the </w:t>
      </w:r>
      <w:r w:rsidRPr="00D65859">
        <w:rPr>
          <w:rFonts w:ascii="Times New Roman" w:hAnsi="Times New Roman" w:cs="Times New Roman"/>
        </w:rPr>
        <w:t xml:space="preserve">EUR exchange rate to be used is the </w:t>
      </w:r>
      <w:r>
        <w:rPr>
          <w:rFonts w:ascii="Times New Roman" w:hAnsi="Times New Roman" w:cs="Times New Roman"/>
        </w:rPr>
        <w:t>e</w:t>
      </w:r>
      <w:r w:rsidRPr="00D90C12">
        <w:rPr>
          <w:rFonts w:ascii="Times New Roman" w:hAnsi="Times New Roman" w:cs="Times New Roman"/>
        </w:rPr>
        <w:t>uro foreign exchange reference rates</w:t>
      </w:r>
      <w:r>
        <w:rPr>
          <w:rFonts w:ascii="Times New Roman" w:hAnsi="Times New Roman" w:cs="Times New Roman"/>
        </w:rPr>
        <w:t xml:space="preserve"> available in the ECB website as of the reference date if available, or if not available, by using available market information on FX rates as of reference date)</w:t>
      </w:r>
      <w:r w:rsidRPr="00430F45">
        <w:rPr>
          <w:rFonts w:ascii="Times New Roman" w:hAnsi="Times New Roman" w:cs="Times New Roman"/>
          <w:sz w:val="16"/>
        </w:rPr>
        <w:t>.</w:t>
      </w:r>
    </w:p>
    <w:p w14:paraId="672F342A"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r w:rsidRPr="00CE27EE">
        <w:rPr>
          <w:rFonts w:ascii="Times New Roman" w:hAnsi="Times New Roman" w:cs="Times New Roman"/>
        </w:rPr>
        <w:t xml:space="preserve">Please </w:t>
      </w:r>
      <w:proofErr w:type="gramStart"/>
      <w:r w:rsidRPr="00CE27EE">
        <w:rPr>
          <w:rFonts w:ascii="Times New Roman" w:hAnsi="Times New Roman" w:cs="Times New Roman"/>
        </w:rPr>
        <w:t>take into account</w:t>
      </w:r>
      <w:proofErr w:type="gramEnd"/>
      <w:r w:rsidRPr="00CE27EE">
        <w:rPr>
          <w:rFonts w:ascii="Times New Roman" w:hAnsi="Times New Roman" w:cs="Times New Roman"/>
        </w:rPr>
        <w:t xml:space="preserve"> the following instructions regarding the calculation of the data points included in the template</w:t>
      </w:r>
      <w:r w:rsidRPr="00430F45">
        <w:rPr>
          <w:rFonts w:ascii="Times New Roman" w:hAnsi="Times New Roman" w:cs="Times New Roman"/>
          <w:sz w:val="16"/>
        </w:rPr>
        <w:t>.</w:t>
      </w:r>
    </w:p>
    <w:p w14:paraId="18F11EE7" w14:textId="77777777" w:rsidR="00271777" w:rsidRPr="00AC5785" w:rsidRDefault="00271777" w:rsidP="00271777">
      <w:pPr>
        <w:pStyle w:val="ListParagraph"/>
        <w:spacing w:before="120" w:line="360" w:lineRule="auto"/>
        <w:ind w:left="426"/>
        <w:jc w:val="both"/>
        <w:rPr>
          <w:rFonts w:ascii="Times New Roman" w:hAnsi="Times New Roman" w:cs="Times New Roman"/>
          <w:sz w:val="18"/>
        </w:rPr>
      </w:pPr>
    </w:p>
    <w:p w14:paraId="753B501E" w14:textId="77777777" w:rsidR="00271777" w:rsidRPr="00C85864" w:rsidRDefault="00271777" w:rsidP="00271777">
      <w:pPr>
        <w:pStyle w:val="ListParagraph"/>
        <w:spacing w:before="120" w:line="360" w:lineRule="auto"/>
        <w:ind w:left="426"/>
        <w:jc w:val="both"/>
        <w:rPr>
          <w:rFonts w:ascii="Times New Roman" w:hAnsi="Times New Roman" w:cs="Times New Roman"/>
          <w:b/>
          <w:u w:val="single"/>
        </w:rPr>
      </w:pPr>
      <w:r w:rsidRPr="00C85864">
        <w:rPr>
          <w:rFonts w:ascii="Times New Roman" w:hAnsi="Times New Roman" w:cs="Times New Roman"/>
          <w:b/>
          <w:u w:val="single"/>
        </w:rPr>
        <w:t>∆ E</w:t>
      </w:r>
      <w:r>
        <w:rPr>
          <w:rFonts w:ascii="Times New Roman" w:hAnsi="Times New Roman" w:cs="Times New Roman"/>
          <w:b/>
          <w:u w:val="single"/>
        </w:rPr>
        <w:t>conomic value of equity</w:t>
      </w:r>
    </w:p>
    <w:p w14:paraId="7F7D84AF" w14:textId="77777777" w:rsidR="00271777" w:rsidRPr="003E1C2A" w:rsidRDefault="00271777" w:rsidP="00271777">
      <w:pPr>
        <w:spacing w:before="120" w:line="360" w:lineRule="auto"/>
        <w:jc w:val="both"/>
        <w:rPr>
          <w:rFonts w:ascii="Times New Roman" w:hAnsi="Times New Roman"/>
          <w:b/>
        </w:rPr>
      </w:pPr>
      <w:r w:rsidRPr="00CF6874">
        <w:rPr>
          <w:rFonts w:ascii="Times New Roman" w:hAnsi="Times New Roman" w:cs="Times New Roman"/>
          <w:b/>
        </w:rPr>
        <w:t xml:space="preserve">Data point 1 </w:t>
      </w:r>
      <w:r>
        <w:rPr>
          <w:rFonts w:ascii="Times New Roman" w:hAnsi="Times New Roman" w:cs="Times New Roman"/>
          <w:b/>
        </w:rPr>
        <w:t>–</w:t>
      </w:r>
      <w:r w:rsidRPr="00CF6874">
        <w:rPr>
          <w:rFonts w:ascii="Times New Roman" w:hAnsi="Times New Roman" w:cs="Times New Roman"/>
          <w:b/>
        </w:rPr>
        <w:t xml:space="preserve"> </w:t>
      </w:r>
      <w:r>
        <w:rPr>
          <w:rFonts w:ascii="Times New Roman" w:hAnsi="Times New Roman" w:cs="Times New Roman"/>
          <w:b/>
        </w:rPr>
        <w:t>Outcome</w:t>
      </w:r>
      <w:r w:rsidRPr="003E1C2A">
        <w:rPr>
          <w:rFonts w:ascii="Times New Roman" w:hAnsi="Times New Roman"/>
          <w:b/>
        </w:rPr>
        <w:t xml:space="preserve"> of the supervisory </w:t>
      </w:r>
      <w:r>
        <w:rPr>
          <w:rFonts w:ascii="Times New Roman" w:hAnsi="Times New Roman" w:cs="Times New Roman"/>
          <w:b/>
        </w:rPr>
        <w:t>outlier test according to paragraph 113 of the EBA/GL/2018/02</w:t>
      </w:r>
    </w:p>
    <w:p w14:paraId="0D581C19"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r>
        <w:rPr>
          <w:rFonts w:ascii="Times New Roman" w:hAnsi="Times New Roman" w:cs="Times New Roman"/>
        </w:rPr>
        <w:t>This should reflect the outcome of the supervisory outlier test as per paragraph 113 of the EBA/GL/2018/02</w:t>
      </w:r>
      <w:r w:rsidRPr="00430F45">
        <w:rPr>
          <w:rFonts w:ascii="Times New Roman" w:hAnsi="Times New Roman" w:cs="Times New Roman"/>
          <w:sz w:val="16"/>
        </w:rPr>
        <w:t>.</w:t>
      </w:r>
      <w:r>
        <w:rPr>
          <w:rFonts w:ascii="Times New Roman" w:hAnsi="Times New Roman" w:cs="Times New Roman"/>
        </w:rPr>
        <w:t xml:space="preserve"> It is computed automatically, based on data points 2 and 3 filled in according to the instructions below</w:t>
      </w:r>
      <w:r w:rsidRPr="00430F45">
        <w:rPr>
          <w:rFonts w:ascii="Times New Roman" w:hAnsi="Times New Roman" w:cs="Times New Roman"/>
          <w:sz w:val="16"/>
        </w:rPr>
        <w:t>.</w:t>
      </w:r>
    </w:p>
    <w:p w14:paraId="083A9B90" w14:textId="77777777" w:rsidR="00271777" w:rsidRPr="00CF6874" w:rsidRDefault="00271777" w:rsidP="00271777">
      <w:pPr>
        <w:spacing w:before="120" w:line="360" w:lineRule="auto"/>
        <w:jc w:val="both"/>
        <w:rPr>
          <w:rFonts w:ascii="Times New Roman" w:hAnsi="Times New Roman" w:cs="Times New Roman"/>
          <w:b/>
        </w:rPr>
      </w:pPr>
      <w:r>
        <w:rPr>
          <w:rFonts w:ascii="Times New Roman" w:hAnsi="Times New Roman" w:cs="Times New Roman"/>
          <w:b/>
        </w:rPr>
        <w:t xml:space="preserve">Data point 2 - </w:t>
      </w:r>
      <w:r w:rsidRPr="00430641">
        <w:rPr>
          <w:rFonts w:ascii="Times New Roman" w:hAnsi="Times New Roman" w:cs="Times New Roman"/>
          <w:b/>
        </w:rPr>
        <w:t xml:space="preserve">Change </w:t>
      </w:r>
      <w:r>
        <w:rPr>
          <w:rFonts w:ascii="Times New Roman" w:hAnsi="Times New Roman" w:cs="Times New Roman"/>
          <w:b/>
        </w:rPr>
        <w:t>in</w:t>
      </w:r>
      <w:r w:rsidRPr="00430641">
        <w:rPr>
          <w:rFonts w:ascii="Times New Roman" w:hAnsi="Times New Roman" w:cs="Times New Roman"/>
          <w:b/>
        </w:rPr>
        <w:t xml:space="preserve"> the </w:t>
      </w:r>
      <w:r>
        <w:rPr>
          <w:rFonts w:ascii="Times New Roman" w:hAnsi="Times New Roman" w:cs="Times New Roman"/>
          <w:b/>
        </w:rPr>
        <w:t>economic value of equity (∆EVE)</w:t>
      </w:r>
      <w:r w:rsidRPr="00430641">
        <w:rPr>
          <w:rFonts w:ascii="Times New Roman" w:hAnsi="Times New Roman" w:cs="Times New Roman"/>
          <w:b/>
        </w:rPr>
        <w:t xml:space="preserve"> of the banking book under a parallel </w:t>
      </w:r>
      <w:r>
        <w:rPr>
          <w:rFonts w:ascii="Times New Roman" w:hAnsi="Times New Roman" w:cs="Times New Roman"/>
          <w:b/>
        </w:rPr>
        <w:t>shock down</w:t>
      </w:r>
      <w:r w:rsidRPr="00430641">
        <w:rPr>
          <w:rFonts w:ascii="Times New Roman" w:hAnsi="Times New Roman" w:cs="Times New Roman"/>
          <w:b/>
        </w:rPr>
        <w:t xml:space="preserve"> following </w:t>
      </w:r>
      <w:r>
        <w:rPr>
          <w:rFonts w:ascii="Times New Roman" w:hAnsi="Times New Roman" w:cs="Times New Roman"/>
          <w:b/>
        </w:rPr>
        <w:t xml:space="preserve">paragraph 113 of the </w:t>
      </w:r>
      <w:r w:rsidRPr="00430641">
        <w:rPr>
          <w:rFonts w:ascii="Times New Roman" w:hAnsi="Times New Roman" w:cs="Times New Roman"/>
          <w:b/>
        </w:rPr>
        <w:t>EBA/GL/201</w:t>
      </w:r>
      <w:r>
        <w:rPr>
          <w:rFonts w:ascii="Times New Roman" w:hAnsi="Times New Roman" w:cs="Times New Roman"/>
          <w:b/>
        </w:rPr>
        <w:t>8</w:t>
      </w:r>
      <w:r w:rsidRPr="00430641">
        <w:rPr>
          <w:rFonts w:ascii="Times New Roman" w:hAnsi="Times New Roman" w:cs="Times New Roman"/>
          <w:b/>
        </w:rPr>
        <w:t>/0</w:t>
      </w:r>
      <w:r>
        <w:rPr>
          <w:rFonts w:ascii="Times New Roman" w:hAnsi="Times New Roman" w:cs="Times New Roman"/>
          <w:b/>
        </w:rPr>
        <w:t>2</w:t>
      </w:r>
    </w:p>
    <w:p w14:paraId="4B6EAACB"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r>
        <w:rPr>
          <w:rFonts w:ascii="Times New Roman" w:hAnsi="Times New Roman" w:cs="Times New Roman"/>
        </w:rPr>
        <w:t xml:space="preserve">In cells E12 to I12, institutions should report the </w:t>
      </w:r>
      <w:r w:rsidRPr="003E1C2A">
        <w:rPr>
          <w:rFonts w:ascii="Times New Roman" w:hAnsi="Times New Roman"/>
        </w:rPr>
        <w:t>total change</w:t>
      </w:r>
      <w:r w:rsidRPr="008A5A13">
        <w:rPr>
          <w:rFonts w:ascii="Times New Roman" w:hAnsi="Times New Roman" w:cs="Times New Roman"/>
        </w:rPr>
        <w:t xml:space="preserve"> </w:t>
      </w:r>
      <w:r>
        <w:rPr>
          <w:rFonts w:ascii="Times New Roman" w:hAnsi="Times New Roman" w:cs="Times New Roman"/>
        </w:rPr>
        <w:t>(shock) in</w:t>
      </w:r>
      <w:r w:rsidRPr="008A5A13">
        <w:rPr>
          <w:rFonts w:ascii="Times New Roman" w:hAnsi="Times New Roman" w:cs="Times New Roman"/>
        </w:rPr>
        <w:t xml:space="preserve"> the </w:t>
      </w:r>
      <w:r>
        <w:rPr>
          <w:rFonts w:ascii="Times New Roman" w:hAnsi="Times New Roman" w:cs="Times New Roman"/>
        </w:rPr>
        <w:t>economic value of equity (EVE)</w:t>
      </w:r>
      <w:r w:rsidRPr="008A5A13">
        <w:rPr>
          <w:rFonts w:ascii="Times New Roman" w:hAnsi="Times New Roman" w:cs="Times New Roman"/>
        </w:rPr>
        <w:t xml:space="preserve"> of the banking book under a parallel </w:t>
      </w:r>
      <w:r>
        <w:rPr>
          <w:rFonts w:ascii="Times New Roman" w:hAnsi="Times New Roman" w:cs="Times New Roman"/>
        </w:rPr>
        <w:t xml:space="preserve">shock down </w:t>
      </w:r>
      <w:r w:rsidRPr="008A5A13">
        <w:rPr>
          <w:rFonts w:ascii="Times New Roman" w:hAnsi="Times New Roman" w:cs="Times New Roman"/>
        </w:rPr>
        <w:t xml:space="preserve">following </w:t>
      </w:r>
      <w:r>
        <w:rPr>
          <w:rFonts w:ascii="Times New Roman" w:hAnsi="Times New Roman" w:cs="Times New Roman"/>
        </w:rPr>
        <w:t xml:space="preserve">paragraph 113 of the </w:t>
      </w:r>
      <w:r w:rsidRPr="008A5A13">
        <w:rPr>
          <w:rFonts w:ascii="Times New Roman" w:hAnsi="Times New Roman" w:cs="Times New Roman"/>
        </w:rPr>
        <w:lastRenderedPageBreak/>
        <w:t>EBA/GL/201</w:t>
      </w:r>
      <w:r>
        <w:rPr>
          <w:rFonts w:ascii="Times New Roman" w:hAnsi="Times New Roman" w:cs="Times New Roman"/>
        </w:rPr>
        <w:t>8</w:t>
      </w:r>
      <w:r w:rsidRPr="008A5A13">
        <w:rPr>
          <w:rFonts w:ascii="Times New Roman" w:hAnsi="Times New Roman" w:cs="Times New Roman"/>
        </w:rPr>
        <w:t>/0</w:t>
      </w:r>
      <w:r>
        <w:rPr>
          <w:rFonts w:ascii="Times New Roman" w:hAnsi="Times New Roman" w:cs="Times New Roman"/>
        </w:rPr>
        <w:t>2 for each material currency</w:t>
      </w:r>
      <w:r w:rsidRPr="00430F45">
        <w:rPr>
          <w:rFonts w:ascii="Times New Roman" w:hAnsi="Times New Roman" w:cs="Times New Roman"/>
          <w:sz w:val="16"/>
        </w:rPr>
        <w:t>.</w:t>
      </w:r>
      <w:r>
        <w:rPr>
          <w:rFonts w:ascii="Times New Roman" w:hAnsi="Times New Roman" w:cs="Times New Roman"/>
        </w:rPr>
        <w:t xml:space="preserve"> The value reported in Column D should result as the aggregation of shocks being applied to all currency exposures in the banking book, following the rule of paragraph 115(m) of the </w:t>
      </w:r>
      <w:r w:rsidRPr="008A5A13">
        <w:rPr>
          <w:rFonts w:ascii="Times New Roman" w:hAnsi="Times New Roman" w:cs="Times New Roman"/>
        </w:rPr>
        <w:t>EBA/GL/201</w:t>
      </w:r>
      <w:r>
        <w:rPr>
          <w:rFonts w:ascii="Times New Roman" w:hAnsi="Times New Roman" w:cs="Times New Roman"/>
        </w:rPr>
        <w:t>8</w:t>
      </w:r>
      <w:r w:rsidRPr="008A5A13">
        <w:rPr>
          <w:rFonts w:ascii="Times New Roman" w:hAnsi="Times New Roman" w:cs="Times New Roman"/>
        </w:rPr>
        <w:t>/0</w:t>
      </w:r>
      <w:r>
        <w:rPr>
          <w:rFonts w:ascii="Times New Roman" w:hAnsi="Times New Roman" w:cs="Times New Roman"/>
        </w:rPr>
        <w:t>2 from Column E to H, while the value reported in Column I should be added linearly</w:t>
      </w:r>
      <w:r w:rsidRPr="00430F45">
        <w:rPr>
          <w:rFonts w:ascii="Times New Roman" w:hAnsi="Times New Roman" w:cs="Times New Roman"/>
          <w:sz w:val="16"/>
        </w:rPr>
        <w:t>.</w:t>
      </w:r>
      <w:r>
        <w:rPr>
          <w:rFonts w:ascii="Times New Roman" w:hAnsi="Times New Roman" w:cs="Times New Roman"/>
        </w:rPr>
        <w:t xml:space="preserve"> The value reported in Column I should already reflect the rule of paragraph 115(m) of the EBA/GL/2018/02 for the subset of other material currencies</w:t>
      </w:r>
      <w:r w:rsidRPr="00430F45">
        <w:rPr>
          <w:rFonts w:ascii="Times New Roman" w:hAnsi="Times New Roman" w:cs="Times New Roman"/>
          <w:sz w:val="16"/>
        </w:rPr>
        <w:t>.</w:t>
      </w:r>
    </w:p>
    <w:p w14:paraId="6F9B1286" w14:textId="77777777" w:rsidR="00271777" w:rsidRPr="003E5530" w:rsidRDefault="00271777" w:rsidP="00271777">
      <w:pPr>
        <w:pStyle w:val="ListParagraph"/>
        <w:numPr>
          <w:ilvl w:val="0"/>
          <w:numId w:val="2"/>
        </w:numPr>
        <w:spacing w:before="120" w:line="360" w:lineRule="auto"/>
        <w:ind w:left="426"/>
        <w:jc w:val="both"/>
        <w:rPr>
          <w:rFonts w:ascii="Times New Roman" w:hAnsi="Times New Roman" w:cs="Times New Roman"/>
        </w:rPr>
      </w:pPr>
      <w:r w:rsidRPr="003E5530">
        <w:rPr>
          <w:rFonts w:ascii="Times New Roman" w:hAnsi="Times New Roman" w:cs="Times New Roman"/>
        </w:rPr>
        <w:t>Institutions are remind</w:t>
      </w:r>
      <w:r>
        <w:rPr>
          <w:rFonts w:ascii="Times New Roman" w:hAnsi="Times New Roman" w:cs="Times New Roman"/>
        </w:rPr>
        <w:t xml:space="preserve">ed that they should apply the set of principles described in paragraph 115 of the </w:t>
      </w:r>
      <w:r w:rsidRPr="003E5530">
        <w:rPr>
          <w:rFonts w:ascii="Times New Roman" w:hAnsi="Times New Roman" w:cs="Times New Roman"/>
        </w:rPr>
        <w:t>EBA</w:t>
      </w:r>
      <w:r w:rsidRPr="00B26249">
        <w:rPr>
          <w:rFonts w:ascii="Times New Roman" w:hAnsi="Times New Roman" w:cs="Times New Roman"/>
        </w:rPr>
        <w:t>/</w:t>
      </w:r>
      <w:r w:rsidRPr="003E5530">
        <w:rPr>
          <w:rFonts w:ascii="Times New Roman" w:hAnsi="Times New Roman" w:cs="Times New Roman"/>
        </w:rPr>
        <w:t xml:space="preserve">GL/2018/02 in </w:t>
      </w:r>
      <w:r w:rsidRPr="00B26249">
        <w:rPr>
          <w:rFonts w:ascii="Times New Roman" w:hAnsi="Times New Roman" w:cs="Times New Roman"/>
        </w:rPr>
        <w:t xml:space="preserve">the calculation of the supervisory </w:t>
      </w:r>
      <w:r w:rsidRPr="003E5530">
        <w:rPr>
          <w:rFonts w:ascii="Times New Roman" w:hAnsi="Times New Roman" w:cs="Times New Roman"/>
        </w:rPr>
        <w:t>outlier test for the purposes of paragraph 113</w:t>
      </w:r>
      <w:r w:rsidRPr="00430F45">
        <w:rPr>
          <w:rFonts w:ascii="Times New Roman" w:hAnsi="Times New Roman" w:cs="Times New Roman"/>
          <w:sz w:val="16"/>
        </w:rPr>
        <w:t>.</w:t>
      </w:r>
      <w:r>
        <w:rPr>
          <w:rFonts w:ascii="Times New Roman" w:hAnsi="Times New Roman" w:cs="Times New Roman"/>
        </w:rPr>
        <w:t xml:space="preserve"> In particular, </w:t>
      </w:r>
      <w:r w:rsidRPr="003E5530">
        <w:rPr>
          <w:rFonts w:ascii="Times New Roman" w:hAnsi="Times New Roman" w:cs="Times New Roman"/>
        </w:rPr>
        <w:t xml:space="preserve">the maturity-dependent post-shock interest rate floor should be applied for each </w:t>
      </w:r>
      <w:r>
        <w:rPr>
          <w:rFonts w:ascii="Times New Roman" w:hAnsi="Times New Roman" w:cs="Times New Roman"/>
        </w:rPr>
        <w:t xml:space="preserve">material </w:t>
      </w:r>
      <w:r w:rsidRPr="003E5530">
        <w:rPr>
          <w:rFonts w:ascii="Times New Roman" w:hAnsi="Times New Roman" w:cs="Times New Roman"/>
        </w:rPr>
        <w:t xml:space="preserve">currency as referred </w:t>
      </w:r>
      <w:r>
        <w:rPr>
          <w:rFonts w:ascii="Times New Roman" w:hAnsi="Times New Roman" w:cs="Times New Roman"/>
        </w:rPr>
        <w:t xml:space="preserve">to </w:t>
      </w:r>
      <w:r w:rsidRPr="003E5530">
        <w:rPr>
          <w:rFonts w:ascii="Times New Roman" w:hAnsi="Times New Roman" w:cs="Times New Roman"/>
        </w:rPr>
        <w:t>in paragraph 115(k)</w:t>
      </w:r>
      <w:r>
        <w:rPr>
          <w:rFonts w:ascii="Times New Roman" w:hAnsi="Times New Roman" w:cs="Times New Roman"/>
        </w:rPr>
        <w:t xml:space="preserve"> of the EBA/GL/2018/02</w:t>
      </w:r>
      <w:r w:rsidRPr="00430F45">
        <w:rPr>
          <w:rFonts w:ascii="Times New Roman" w:hAnsi="Times New Roman" w:cs="Times New Roman"/>
          <w:sz w:val="16"/>
        </w:rPr>
        <w:t>.</w:t>
      </w:r>
    </w:p>
    <w:p w14:paraId="2B228449"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r>
        <w:rPr>
          <w:rFonts w:ascii="Times New Roman" w:hAnsi="Times New Roman" w:cs="Times New Roman"/>
        </w:rPr>
        <w:t xml:space="preserve">The </w:t>
      </w:r>
      <w:r w:rsidRPr="00993269">
        <w:rPr>
          <w:rFonts w:ascii="Times New Roman" w:hAnsi="Times New Roman" w:cs="Times New Roman"/>
        </w:rPr>
        <w:t xml:space="preserve">effects of the shock on </w:t>
      </w:r>
      <w:r>
        <w:rPr>
          <w:rFonts w:ascii="Times New Roman" w:hAnsi="Times New Roman" w:cs="Times New Roman"/>
        </w:rPr>
        <w:t xml:space="preserve">automatic interest rate options, whether explicit or </w:t>
      </w:r>
      <w:r w:rsidRPr="00993269">
        <w:rPr>
          <w:rFonts w:ascii="Times New Roman" w:hAnsi="Times New Roman" w:cs="Times New Roman"/>
        </w:rPr>
        <w:t>embedded</w:t>
      </w:r>
      <w:r>
        <w:rPr>
          <w:rFonts w:ascii="Times New Roman" w:hAnsi="Times New Roman" w:cs="Times New Roman"/>
        </w:rPr>
        <w:t>,</w:t>
      </w:r>
      <w:r w:rsidRPr="00993269">
        <w:rPr>
          <w:rFonts w:ascii="Times New Roman" w:hAnsi="Times New Roman" w:cs="Times New Roman"/>
        </w:rPr>
        <w:t xml:space="preserve"> </w:t>
      </w:r>
      <w:r>
        <w:rPr>
          <w:rFonts w:ascii="Times New Roman" w:hAnsi="Times New Roman" w:cs="Times New Roman"/>
        </w:rPr>
        <w:t>needs</w:t>
      </w:r>
      <w:r w:rsidRPr="00993269">
        <w:rPr>
          <w:rFonts w:ascii="Times New Roman" w:hAnsi="Times New Roman" w:cs="Times New Roman"/>
        </w:rPr>
        <w:t xml:space="preserve"> to be included in the calculation (as the</w:t>
      </w:r>
      <w:r>
        <w:rPr>
          <w:rFonts w:ascii="Times New Roman" w:hAnsi="Times New Roman" w:cs="Times New Roman"/>
        </w:rPr>
        <w:t>se options</w:t>
      </w:r>
      <w:r w:rsidRPr="00993269">
        <w:rPr>
          <w:rFonts w:ascii="Times New Roman" w:hAnsi="Times New Roman" w:cs="Times New Roman"/>
        </w:rPr>
        <w:t xml:space="preserve"> are interest-rate sensitive)</w:t>
      </w:r>
      <w:r w:rsidRPr="00430F45">
        <w:rPr>
          <w:rFonts w:ascii="Times New Roman" w:hAnsi="Times New Roman" w:cs="Times New Roman"/>
          <w:sz w:val="16"/>
        </w:rPr>
        <w:t>.</w:t>
      </w:r>
    </w:p>
    <w:p w14:paraId="6639A3AF" w14:textId="77777777" w:rsidR="00271777" w:rsidRPr="00502092" w:rsidRDefault="00271777" w:rsidP="00271777">
      <w:pPr>
        <w:spacing w:before="120" w:line="360" w:lineRule="auto"/>
        <w:jc w:val="both"/>
        <w:rPr>
          <w:rFonts w:ascii="Times New Roman" w:hAnsi="Times New Roman" w:cs="Times New Roman"/>
          <w:b/>
        </w:rPr>
      </w:pPr>
      <w:r>
        <w:rPr>
          <w:rFonts w:ascii="Times New Roman" w:hAnsi="Times New Roman" w:cs="Times New Roman"/>
          <w:b/>
        </w:rPr>
        <w:t xml:space="preserve">Data point 3 - </w:t>
      </w:r>
      <w:r w:rsidRPr="00430641">
        <w:rPr>
          <w:rFonts w:ascii="Times New Roman" w:hAnsi="Times New Roman" w:cs="Times New Roman"/>
          <w:b/>
        </w:rPr>
        <w:t xml:space="preserve">Change </w:t>
      </w:r>
      <w:r>
        <w:rPr>
          <w:rFonts w:ascii="Times New Roman" w:hAnsi="Times New Roman" w:cs="Times New Roman"/>
          <w:b/>
        </w:rPr>
        <w:t>in</w:t>
      </w:r>
      <w:r w:rsidRPr="00430641">
        <w:rPr>
          <w:rFonts w:ascii="Times New Roman" w:hAnsi="Times New Roman" w:cs="Times New Roman"/>
          <w:b/>
        </w:rPr>
        <w:t xml:space="preserve"> the </w:t>
      </w:r>
      <w:r>
        <w:rPr>
          <w:rFonts w:ascii="Times New Roman" w:hAnsi="Times New Roman" w:cs="Times New Roman"/>
          <w:b/>
        </w:rPr>
        <w:t>EVE</w:t>
      </w:r>
      <w:r w:rsidRPr="00430641">
        <w:rPr>
          <w:rFonts w:ascii="Times New Roman" w:hAnsi="Times New Roman" w:cs="Times New Roman"/>
          <w:b/>
        </w:rPr>
        <w:t xml:space="preserve"> of the banking book under a parallel </w:t>
      </w:r>
      <w:r>
        <w:rPr>
          <w:rFonts w:ascii="Times New Roman" w:hAnsi="Times New Roman" w:cs="Times New Roman"/>
          <w:b/>
        </w:rPr>
        <w:t>shock up</w:t>
      </w:r>
      <w:r w:rsidRPr="00430641">
        <w:rPr>
          <w:rFonts w:ascii="Times New Roman" w:hAnsi="Times New Roman" w:cs="Times New Roman"/>
          <w:b/>
        </w:rPr>
        <w:t xml:space="preserve"> following </w:t>
      </w:r>
      <w:r>
        <w:rPr>
          <w:rFonts w:ascii="Times New Roman" w:hAnsi="Times New Roman" w:cs="Times New Roman"/>
          <w:b/>
        </w:rPr>
        <w:t xml:space="preserve">paragraph 113 of the </w:t>
      </w:r>
      <w:r w:rsidRPr="00430641">
        <w:rPr>
          <w:rFonts w:ascii="Times New Roman" w:hAnsi="Times New Roman" w:cs="Times New Roman"/>
          <w:b/>
        </w:rPr>
        <w:t>EBA/GL/201</w:t>
      </w:r>
      <w:r>
        <w:rPr>
          <w:rFonts w:ascii="Times New Roman" w:hAnsi="Times New Roman" w:cs="Times New Roman"/>
          <w:b/>
        </w:rPr>
        <w:t>8</w:t>
      </w:r>
      <w:r w:rsidRPr="00430641">
        <w:rPr>
          <w:rFonts w:ascii="Times New Roman" w:hAnsi="Times New Roman" w:cs="Times New Roman"/>
          <w:b/>
        </w:rPr>
        <w:t>/0</w:t>
      </w:r>
      <w:r>
        <w:rPr>
          <w:rFonts w:ascii="Times New Roman" w:hAnsi="Times New Roman" w:cs="Times New Roman"/>
          <w:b/>
        </w:rPr>
        <w:t>2</w:t>
      </w:r>
    </w:p>
    <w:p w14:paraId="4C494F22"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r>
        <w:rPr>
          <w:rFonts w:ascii="Times New Roman" w:hAnsi="Times New Roman" w:cs="Times New Roman"/>
        </w:rPr>
        <w:t xml:space="preserve">The rules applicable to data point 2 should be applied to data point 3 as well, but under a parallel shock up </w:t>
      </w:r>
      <w:r w:rsidRPr="008A5A13">
        <w:rPr>
          <w:rFonts w:ascii="Times New Roman" w:hAnsi="Times New Roman" w:cs="Times New Roman"/>
        </w:rPr>
        <w:t xml:space="preserve">following </w:t>
      </w:r>
      <w:r>
        <w:rPr>
          <w:rFonts w:ascii="Times New Roman" w:hAnsi="Times New Roman" w:cs="Times New Roman"/>
        </w:rPr>
        <w:t xml:space="preserve">paragraph 113 of the </w:t>
      </w:r>
      <w:r w:rsidRPr="008A5A13">
        <w:rPr>
          <w:rFonts w:ascii="Times New Roman" w:hAnsi="Times New Roman" w:cs="Times New Roman"/>
        </w:rPr>
        <w:t>EBA/GL/201</w:t>
      </w:r>
      <w:r>
        <w:rPr>
          <w:rFonts w:ascii="Times New Roman" w:hAnsi="Times New Roman" w:cs="Times New Roman"/>
        </w:rPr>
        <w:t>8</w:t>
      </w:r>
      <w:r w:rsidRPr="008A5A13">
        <w:rPr>
          <w:rFonts w:ascii="Times New Roman" w:hAnsi="Times New Roman" w:cs="Times New Roman"/>
        </w:rPr>
        <w:t>/0</w:t>
      </w:r>
      <w:r>
        <w:rPr>
          <w:rFonts w:ascii="Times New Roman" w:hAnsi="Times New Roman" w:cs="Times New Roman"/>
        </w:rPr>
        <w:t>2 for each material currency</w:t>
      </w:r>
      <w:r w:rsidRPr="00430F45">
        <w:rPr>
          <w:rFonts w:ascii="Times New Roman" w:hAnsi="Times New Roman" w:cs="Times New Roman"/>
          <w:sz w:val="16"/>
        </w:rPr>
        <w:t>.</w:t>
      </w:r>
    </w:p>
    <w:p w14:paraId="336DAE09" w14:textId="77777777" w:rsidR="00271777" w:rsidRDefault="00271777" w:rsidP="00271777">
      <w:pPr>
        <w:spacing w:before="120" w:line="360" w:lineRule="auto"/>
        <w:jc w:val="both"/>
        <w:rPr>
          <w:rFonts w:ascii="Times New Roman" w:hAnsi="Times New Roman" w:cs="Times New Roman"/>
          <w:b/>
        </w:rPr>
      </w:pPr>
      <w:r>
        <w:rPr>
          <w:rFonts w:ascii="Times New Roman" w:hAnsi="Times New Roman" w:cs="Times New Roman"/>
          <w:b/>
        </w:rPr>
        <w:t>Data point 4-6 – Specified size of interest rate shocks, according to paragraph 114 of the EBA/GL/2018/02</w:t>
      </w:r>
    </w:p>
    <w:p w14:paraId="11BA4B37" w14:textId="77777777" w:rsidR="00271777" w:rsidRPr="00C85864" w:rsidRDefault="00271777" w:rsidP="00271777">
      <w:pPr>
        <w:pStyle w:val="ListParagraph"/>
        <w:numPr>
          <w:ilvl w:val="0"/>
          <w:numId w:val="2"/>
        </w:numPr>
        <w:spacing w:before="120" w:line="360" w:lineRule="auto"/>
        <w:ind w:left="426"/>
        <w:jc w:val="both"/>
        <w:rPr>
          <w:rFonts w:ascii="Times New Roman" w:hAnsi="Times New Roman" w:cs="Times New Roman"/>
        </w:rPr>
      </w:pPr>
      <w:r w:rsidRPr="00A86754">
        <w:rPr>
          <w:rFonts w:ascii="Times New Roman" w:hAnsi="Times New Roman" w:cs="Times New Roman"/>
        </w:rPr>
        <w:t xml:space="preserve">If an institution has a material currency that does not have a </w:t>
      </w:r>
      <w:r>
        <w:rPr>
          <w:rFonts w:ascii="Times New Roman" w:hAnsi="Times New Roman" w:cs="Times New Roman"/>
        </w:rPr>
        <w:t>pre-</w:t>
      </w:r>
      <w:r w:rsidRPr="00A86754">
        <w:rPr>
          <w:rFonts w:ascii="Times New Roman" w:hAnsi="Times New Roman" w:cs="Times New Roman"/>
        </w:rPr>
        <w:t xml:space="preserve">defined interest rate shock as per Annex III of the EBA/GL/2018/02, </w:t>
      </w:r>
      <w:r>
        <w:rPr>
          <w:rFonts w:ascii="Times New Roman" w:hAnsi="Times New Roman" w:cs="Times New Roman"/>
        </w:rPr>
        <w:t xml:space="preserve">it </w:t>
      </w:r>
      <w:r w:rsidRPr="00A86754">
        <w:rPr>
          <w:rFonts w:ascii="Times New Roman" w:hAnsi="Times New Roman" w:cs="Times New Roman"/>
        </w:rPr>
        <w:t>should fill in data points 4, 5 and 6</w:t>
      </w:r>
      <w:r>
        <w:rPr>
          <w:rFonts w:ascii="Times New Roman" w:hAnsi="Times New Roman" w:cs="Times New Roman"/>
        </w:rPr>
        <w:t xml:space="preserve"> </w:t>
      </w:r>
      <w:r w:rsidRPr="00A86754">
        <w:rPr>
          <w:rFonts w:ascii="Times New Roman" w:hAnsi="Times New Roman" w:cs="Times New Roman"/>
        </w:rPr>
        <w:t xml:space="preserve">after using the methodology prescribed under section 2 of the referred Annex, </w:t>
      </w:r>
      <w:r>
        <w:rPr>
          <w:rFonts w:ascii="Times New Roman" w:hAnsi="Times New Roman" w:cs="Times New Roman"/>
        </w:rPr>
        <w:t>based on the</w:t>
      </w:r>
      <w:r w:rsidRPr="00A86754">
        <w:rPr>
          <w:rFonts w:ascii="Times New Roman" w:hAnsi="Times New Roman" w:cs="Times New Roman"/>
        </w:rPr>
        <w:t xml:space="preserve"> outcome of the methodology used </w:t>
      </w:r>
      <w:r>
        <w:rPr>
          <w:rFonts w:ascii="Times New Roman" w:hAnsi="Times New Roman" w:cs="Times New Roman"/>
        </w:rPr>
        <w:t>to calibrate the size of the interest rate shocks</w:t>
      </w:r>
      <w:r w:rsidRPr="00430F45">
        <w:rPr>
          <w:rFonts w:ascii="Times New Roman" w:hAnsi="Times New Roman" w:cs="Times New Roman"/>
          <w:sz w:val="16"/>
        </w:rPr>
        <w:t>.</w:t>
      </w:r>
      <w:r>
        <w:rPr>
          <w:rFonts w:ascii="Times New Roman" w:hAnsi="Times New Roman" w:cs="Times New Roman"/>
        </w:rPr>
        <w:t xml:space="preserve"> The specified size of the interest rate shocks shall be entered in basis points (bps)</w:t>
      </w:r>
      <w:r>
        <w:rPr>
          <w:rStyle w:val="FootnoteReference"/>
          <w:rFonts w:ascii="Times New Roman" w:hAnsi="Times New Roman" w:cs="Times New Roman"/>
        </w:rPr>
        <w:footnoteReference w:id="4"/>
      </w:r>
      <w:r w:rsidRPr="00430F45">
        <w:rPr>
          <w:rFonts w:ascii="Times New Roman" w:hAnsi="Times New Roman" w:cs="Times New Roman"/>
          <w:sz w:val="16"/>
        </w:rPr>
        <w:t>.</w:t>
      </w:r>
    </w:p>
    <w:p w14:paraId="32E43C72" w14:textId="77777777" w:rsidR="00271777" w:rsidRDefault="00271777" w:rsidP="00271777">
      <w:pPr>
        <w:spacing w:before="120" w:line="360" w:lineRule="auto"/>
        <w:jc w:val="both"/>
        <w:rPr>
          <w:rFonts w:ascii="Times New Roman" w:hAnsi="Times New Roman" w:cs="Times New Roman"/>
          <w:b/>
        </w:rPr>
      </w:pPr>
      <w:r>
        <w:rPr>
          <w:rFonts w:ascii="Times New Roman" w:hAnsi="Times New Roman" w:cs="Times New Roman"/>
          <w:b/>
        </w:rPr>
        <w:t>Data point 7 – Outcome of the supervisory outlier test according to paragraph 114 of the EBA/GL/2018/02</w:t>
      </w:r>
    </w:p>
    <w:p w14:paraId="78EFB57B"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r>
        <w:rPr>
          <w:rFonts w:ascii="Times New Roman" w:hAnsi="Times New Roman" w:cs="Times New Roman"/>
        </w:rPr>
        <w:t>This should reflect the outcome of the supervisory outlier test as per paragraph 114 of the EBA/GL/2018/02</w:t>
      </w:r>
      <w:r w:rsidRPr="00430F45">
        <w:rPr>
          <w:rFonts w:ascii="Times New Roman" w:hAnsi="Times New Roman" w:cs="Times New Roman"/>
          <w:sz w:val="16"/>
        </w:rPr>
        <w:t>.</w:t>
      </w:r>
      <w:r>
        <w:rPr>
          <w:rFonts w:ascii="Times New Roman" w:hAnsi="Times New Roman" w:cs="Times New Roman"/>
        </w:rPr>
        <w:t xml:space="preserve"> It is computed automatically, based on data points 8 to 13, filled in according to the instructions below</w:t>
      </w:r>
      <w:r w:rsidRPr="00430F45">
        <w:rPr>
          <w:rFonts w:ascii="Times New Roman" w:hAnsi="Times New Roman" w:cs="Times New Roman"/>
          <w:sz w:val="16"/>
        </w:rPr>
        <w:t>.</w:t>
      </w:r>
    </w:p>
    <w:p w14:paraId="1F12283F" w14:textId="77777777" w:rsidR="00271777" w:rsidRDefault="00271777" w:rsidP="00271777">
      <w:pPr>
        <w:spacing w:before="120" w:line="360" w:lineRule="auto"/>
        <w:jc w:val="both"/>
        <w:rPr>
          <w:rFonts w:ascii="Times New Roman" w:hAnsi="Times New Roman" w:cs="Times New Roman"/>
          <w:b/>
        </w:rPr>
      </w:pPr>
      <w:r>
        <w:rPr>
          <w:rFonts w:ascii="Times New Roman" w:hAnsi="Times New Roman" w:cs="Times New Roman"/>
          <w:b/>
        </w:rPr>
        <w:t>Data point 8 - 13</w:t>
      </w:r>
      <w:r w:rsidRPr="00A86754">
        <w:rPr>
          <w:rFonts w:ascii="Times New Roman" w:hAnsi="Times New Roman" w:cs="Times New Roman"/>
          <w:b/>
        </w:rPr>
        <w:t xml:space="preserve"> – </w:t>
      </w:r>
      <w:r w:rsidRPr="00430641">
        <w:rPr>
          <w:rFonts w:ascii="Times New Roman" w:hAnsi="Times New Roman" w:cs="Times New Roman"/>
          <w:b/>
        </w:rPr>
        <w:t xml:space="preserve">Change </w:t>
      </w:r>
      <w:r>
        <w:rPr>
          <w:rFonts w:ascii="Times New Roman" w:hAnsi="Times New Roman" w:cs="Times New Roman"/>
          <w:b/>
        </w:rPr>
        <w:t>in</w:t>
      </w:r>
      <w:r w:rsidRPr="00430641">
        <w:rPr>
          <w:rFonts w:ascii="Times New Roman" w:hAnsi="Times New Roman" w:cs="Times New Roman"/>
          <w:b/>
        </w:rPr>
        <w:t xml:space="preserve"> the </w:t>
      </w:r>
      <w:r>
        <w:rPr>
          <w:rFonts w:ascii="Times New Roman" w:hAnsi="Times New Roman" w:cs="Times New Roman"/>
          <w:b/>
        </w:rPr>
        <w:t>EVE</w:t>
      </w:r>
      <w:r w:rsidRPr="00430641">
        <w:rPr>
          <w:rFonts w:ascii="Times New Roman" w:hAnsi="Times New Roman" w:cs="Times New Roman"/>
          <w:b/>
        </w:rPr>
        <w:t xml:space="preserve"> of the banking book under </w:t>
      </w:r>
      <w:r>
        <w:rPr>
          <w:rFonts w:ascii="Times New Roman" w:hAnsi="Times New Roman" w:cs="Times New Roman"/>
          <w:b/>
        </w:rPr>
        <w:t xml:space="preserve">six different interest rate scenarios, according to paragraph 114 of the EBA/GL/2018/02 </w:t>
      </w:r>
    </w:p>
    <w:p w14:paraId="169EB668"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r>
        <w:rPr>
          <w:rFonts w:ascii="Times New Roman" w:hAnsi="Times New Roman" w:cs="Times New Roman"/>
        </w:rPr>
        <w:t xml:space="preserve">Institutions should report the </w:t>
      </w:r>
      <w:r w:rsidRPr="00C251C5">
        <w:rPr>
          <w:rFonts w:ascii="Times New Roman" w:hAnsi="Times New Roman" w:cs="Times New Roman"/>
        </w:rPr>
        <w:t>total change</w:t>
      </w:r>
      <w:r w:rsidRPr="008A5A13">
        <w:rPr>
          <w:rFonts w:ascii="Times New Roman" w:hAnsi="Times New Roman" w:cs="Times New Roman"/>
        </w:rPr>
        <w:t xml:space="preserve"> </w:t>
      </w:r>
      <w:r>
        <w:rPr>
          <w:rFonts w:ascii="Times New Roman" w:hAnsi="Times New Roman" w:cs="Times New Roman"/>
        </w:rPr>
        <w:t>(shock) in</w:t>
      </w:r>
      <w:r w:rsidRPr="008A5A13">
        <w:rPr>
          <w:rFonts w:ascii="Times New Roman" w:hAnsi="Times New Roman" w:cs="Times New Roman"/>
        </w:rPr>
        <w:t xml:space="preserve"> the </w:t>
      </w:r>
      <w:r>
        <w:rPr>
          <w:rFonts w:ascii="Times New Roman" w:hAnsi="Times New Roman" w:cs="Times New Roman"/>
        </w:rPr>
        <w:t>EVE</w:t>
      </w:r>
      <w:r w:rsidRPr="008A5A13">
        <w:rPr>
          <w:rFonts w:ascii="Times New Roman" w:hAnsi="Times New Roman" w:cs="Times New Roman"/>
        </w:rPr>
        <w:t xml:space="preserve"> of the banking book under </w:t>
      </w:r>
      <w:r>
        <w:rPr>
          <w:rFonts w:ascii="Times New Roman" w:hAnsi="Times New Roman" w:cs="Times New Roman"/>
        </w:rPr>
        <w:t xml:space="preserve">the six different scenarios </w:t>
      </w:r>
      <w:r w:rsidRPr="008A5A13">
        <w:rPr>
          <w:rFonts w:ascii="Times New Roman" w:hAnsi="Times New Roman" w:cs="Times New Roman"/>
        </w:rPr>
        <w:t xml:space="preserve">following </w:t>
      </w:r>
      <w:r>
        <w:rPr>
          <w:rFonts w:ascii="Times New Roman" w:hAnsi="Times New Roman" w:cs="Times New Roman"/>
        </w:rPr>
        <w:t xml:space="preserve">paragraph 114 of the </w:t>
      </w:r>
      <w:r w:rsidRPr="008A5A13">
        <w:rPr>
          <w:rFonts w:ascii="Times New Roman" w:hAnsi="Times New Roman" w:cs="Times New Roman"/>
        </w:rPr>
        <w:t>EBA/GL/201</w:t>
      </w:r>
      <w:r>
        <w:rPr>
          <w:rFonts w:ascii="Times New Roman" w:hAnsi="Times New Roman" w:cs="Times New Roman"/>
        </w:rPr>
        <w:t>8</w:t>
      </w:r>
      <w:r w:rsidRPr="008A5A13">
        <w:rPr>
          <w:rFonts w:ascii="Times New Roman" w:hAnsi="Times New Roman" w:cs="Times New Roman"/>
        </w:rPr>
        <w:t>/0</w:t>
      </w:r>
      <w:r>
        <w:rPr>
          <w:rFonts w:ascii="Times New Roman" w:hAnsi="Times New Roman" w:cs="Times New Roman"/>
        </w:rPr>
        <w:t>2 for each material currency</w:t>
      </w:r>
      <w:r w:rsidRPr="00430F45">
        <w:rPr>
          <w:rFonts w:ascii="Times New Roman" w:hAnsi="Times New Roman" w:cs="Times New Roman"/>
          <w:sz w:val="16"/>
        </w:rPr>
        <w:t>.</w:t>
      </w:r>
      <w:r>
        <w:rPr>
          <w:rFonts w:ascii="Times New Roman" w:hAnsi="Times New Roman" w:cs="Times New Roman"/>
        </w:rPr>
        <w:t xml:space="preserve"> </w:t>
      </w:r>
      <w:r>
        <w:rPr>
          <w:rFonts w:ascii="Times New Roman" w:hAnsi="Times New Roman" w:cs="Times New Roman"/>
        </w:rPr>
        <w:lastRenderedPageBreak/>
        <w:t xml:space="preserve">The value reported in Column D is the aggregation of the impact of the shocks applied to all currency exposures in the banking book, following the rule of paragraph 115(m) of the </w:t>
      </w:r>
      <w:r w:rsidRPr="008A5A13">
        <w:rPr>
          <w:rFonts w:ascii="Times New Roman" w:hAnsi="Times New Roman" w:cs="Times New Roman"/>
        </w:rPr>
        <w:t>EBA/GL/201</w:t>
      </w:r>
      <w:r>
        <w:rPr>
          <w:rFonts w:ascii="Times New Roman" w:hAnsi="Times New Roman" w:cs="Times New Roman"/>
        </w:rPr>
        <w:t>8</w:t>
      </w:r>
      <w:r w:rsidRPr="008A5A13">
        <w:rPr>
          <w:rFonts w:ascii="Times New Roman" w:hAnsi="Times New Roman" w:cs="Times New Roman"/>
        </w:rPr>
        <w:t>/0</w:t>
      </w:r>
      <w:r>
        <w:rPr>
          <w:rFonts w:ascii="Times New Roman" w:hAnsi="Times New Roman" w:cs="Times New Roman"/>
        </w:rPr>
        <w:t>2</w:t>
      </w:r>
      <w:r w:rsidRPr="00430F45">
        <w:rPr>
          <w:rFonts w:ascii="Times New Roman" w:hAnsi="Times New Roman" w:cs="Times New Roman"/>
          <w:sz w:val="16"/>
        </w:rPr>
        <w:t>.</w:t>
      </w:r>
      <w:r>
        <w:rPr>
          <w:rFonts w:ascii="Times New Roman" w:hAnsi="Times New Roman" w:cs="Times New Roman"/>
        </w:rPr>
        <w:t xml:space="preserve"> The value reported in Column I should already reflect the rule of paragraph 115(m) of the EBA/GL/2018/02 for the subset of other material currencies</w:t>
      </w:r>
      <w:r w:rsidRPr="00430F45">
        <w:rPr>
          <w:rFonts w:ascii="Times New Roman" w:hAnsi="Times New Roman" w:cs="Times New Roman"/>
          <w:sz w:val="16"/>
        </w:rPr>
        <w:t>.</w:t>
      </w:r>
    </w:p>
    <w:p w14:paraId="61C86C20" w14:textId="77777777" w:rsidR="00271777" w:rsidRPr="00C251C5" w:rsidRDefault="00271777" w:rsidP="00271777">
      <w:pPr>
        <w:pStyle w:val="ListParagraph"/>
        <w:numPr>
          <w:ilvl w:val="0"/>
          <w:numId w:val="2"/>
        </w:numPr>
        <w:spacing w:before="120" w:line="360" w:lineRule="auto"/>
        <w:ind w:left="426"/>
        <w:jc w:val="both"/>
        <w:rPr>
          <w:rFonts w:ascii="Times New Roman" w:hAnsi="Times New Roman" w:cs="Times New Roman"/>
        </w:rPr>
      </w:pPr>
      <w:r w:rsidRPr="003E5530">
        <w:rPr>
          <w:rFonts w:ascii="Times New Roman" w:hAnsi="Times New Roman" w:cs="Times New Roman"/>
        </w:rPr>
        <w:t>Institutions are remind</w:t>
      </w:r>
      <w:r>
        <w:rPr>
          <w:rFonts w:ascii="Times New Roman" w:hAnsi="Times New Roman" w:cs="Times New Roman"/>
        </w:rPr>
        <w:t xml:space="preserve">ed that they should apply the set of principles described in paragraph 115 of the </w:t>
      </w:r>
      <w:r w:rsidRPr="003E5530">
        <w:rPr>
          <w:rFonts w:ascii="Times New Roman" w:hAnsi="Times New Roman" w:cs="Times New Roman"/>
        </w:rPr>
        <w:t>EBA</w:t>
      </w:r>
      <w:r w:rsidRPr="00B26249">
        <w:rPr>
          <w:rFonts w:ascii="Times New Roman" w:hAnsi="Times New Roman" w:cs="Times New Roman"/>
        </w:rPr>
        <w:t>/</w:t>
      </w:r>
      <w:r w:rsidRPr="00C251C5">
        <w:rPr>
          <w:rFonts w:ascii="Times New Roman" w:hAnsi="Times New Roman" w:cs="Times New Roman"/>
        </w:rPr>
        <w:t xml:space="preserve">GL/2018/02 </w:t>
      </w:r>
      <w:r w:rsidRPr="003E5530">
        <w:rPr>
          <w:rFonts w:ascii="Times New Roman" w:hAnsi="Times New Roman" w:cs="Times New Roman"/>
        </w:rPr>
        <w:t xml:space="preserve">in </w:t>
      </w:r>
      <w:r w:rsidRPr="00B26249">
        <w:rPr>
          <w:rFonts w:ascii="Times New Roman" w:hAnsi="Times New Roman" w:cs="Times New Roman"/>
        </w:rPr>
        <w:t xml:space="preserve">the calculation of the supervisory </w:t>
      </w:r>
      <w:r w:rsidRPr="00C251C5">
        <w:rPr>
          <w:rFonts w:ascii="Times New Roman" w:hAnsi="Times New Roman" w:cs="Times New Roman"/>
        </w:rPr>
        <w:t>outlier test for the purposes of paragraph 11</w:t>
      </w:r>
      <w:r>
        <w:rPr>
          <w:rFonts w:ascii="Times New Roman" w:hAnsi="Times New Roman" w:cs="Times New Roman"/>
        </w:rPr>
        <w:t>4</w:t>
      </w:r>
      <w:r w:rsidRPr="00430F45">
        <w:rPr>
          <w:rFonts w:ascii="Times New Roman" w:hAnsi="Times New Roman" w:cs="Times New Roman"/>
          <w:sz w:val="16"/>
        </w:rPr>
        <w:t>.</w:t>
      </w:r>
      <w:r>
        <w:rPr>
          <w:rFonts w:ascii="Times New Roman" w:hAnsi="Times New Roman" w:cs="Times New Roman"/>
        </w:rPr>
        <w:t xml:space="preserve"> In particular, </w:t>
      </w:r>
      <w:r w:rsidRPr="00C251C5">
        <w:rPr>
          <w:rFonts w:ascii="Times New Roman" w:hAnsi="Times New Roman" w:cs="Times New Roman"/>
        </w:rPr>
        <w:t xml:space="preserve">the maturity-dependent post-shock interest rate floor should be applied for each currency as referred </w:t>
      </w:r>
      <w:r>
        <w:rPr>
          <w:rFonts w:ascii="Times New Roman" w:hAnsi="Times New Roman" w:cs="Times New Roman"/>
        </w:rPr>
        <w:t xml:space="preserve">to </w:t>
      </w:r>
      <w:r w:rsidRPr="00C251C5">
        <w:rPr>
          <w:rFonts w:ascii="Times New Roman" w:hAnsi="Times New Roman" w:cs="Times New Roman"/>
        </w:rPr>
        <w:t>in paragraph 115(k)</w:t>
      </w:r>
      <w:r>
        <w:rPr>
          <w:rFonts w:ascii="Times New Roman" w:hAnsi="Times New Roman" w:cs="Times New Roman"/>
        </w:rPr>
        <w:t xml:space="preserve"> of the EBA/GL/2018/02</w:t>
      </w:r>
      <w:r w:rsidRPr="00430F45">
        <w:rPr>
          <w:rFonts w:ascii="Times New Roman" w:hAnsi="Times New Roman" w:cs="Times New Roman"/>
          <w:sz w:val="16"/>
        </w:rPr>
        <w:t>.</w:t>
      </w:r>
    </w:p>
    <w:p w14:paraId="60E8F83E"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r w:rsidRPr="00DF17BF">
        <w:rPr>
          <w:rFonts w:ascii="Times New Roman" w:hAnsi="Times New Roman" w:cs="Times New Roman"/>
        </w:rPr>
        <w:t>The effects of the shock on automatic interest rate options, whether explicit or embedded, needs to be included in the calculation (as these options are interest-rate sensitive)</w:t>
      </w:r>
      <w:r w:rsidRPr="00430F45">
        <w:rPr>
          <w:rFonts w:ascii="Times New Roman" w:hAnsi="Times New Roman" w:cs="Times New Roman"/>
          <w:sz w:val="16"/>
        </w:rPr>
        <w:t>.</w:t>
      </w:r>
    </w:p>
    <w:p w14:paraId="64883C96" w14:textId="77777777" w:rsidR="00271777" w:rsidRDefault="00271777" w:rsidP="00271777">
      <w:pPr>
        <w:pStyle w:val="ListParagraph"/>
        <w:spacing w:before="120" w:line="360" w:lineRule="auto"/>
        <w:ind w:left="426"/>
        <w:jc w:val="both"/>
        <w:rPr>
          <w:rFonts w:ascii="Times New Roman" w:hAnsi="Times New Roman" w:cs="Times New Roman"/>
        </w:rPr>
      </w:pPr>
    </w:p>
    <w:p w14:paraId="59892D11" w14:textId="77777777" w:rsidR="00271777" w:rsidRDefault="00271777" w:rsidP="00271777">
      <w:pPr>
        <w:pStyle w:val="ListParagraph"/>
        <w:spacing w:before="120" w:line="360" w:lineRule="auto"/>
        <w:ind w:left="426"/>
        <w:jc w:val="both"/>
        <w:rPr>
          <w:rFonts w:ascii="Times New Roman" w:hAnsi="Times New Roman" w:cs="Times New Roman"/>
          <w:b/>
          <w:u w:val="single"/>
        </w:rPr>
      </w:pPr>
      <w:r w:rsidRPr="00C85864">
        <w:rPr>
          <w:rFonts w:ascii="Times New Roman" w:hAnsi="Times New Roman" w:cs="Times New Roman"/>
          <w:b/>
          <w:u w:val="single"/>
        </w:rPr>
        <w:t>∆ Net Interest Income and Earnings</w:t>
      </w:r>
    </w:p>
    <w:p w14:paraId="7E92D890" w14:textId="77777777" w:rsidR="00271777" w:rsidRPr="003E1C2A" w:rsidRDefault="00271777" w:rsidP="00271777">
      <w:pPr>
        <w:pStyle w:val="ListParagraph"/>
        <w:spacing w:before="120" w:line="360" w:lineRule="auto"/>
        <w:ind w:left="426"/>
        <w:jc w:val="both"/>
        <w:rPr>
          <w:rFonts w:ascii="Times New Roman" w:hAnsi="Times New Roman"/>
          <w:b/>
          <w:u w:val="single"/>
        </w:rPr>
      </w:pPr>
    </w:p>
    <w:p w14:paraId="628B0206"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r w:rsidRPr="00FA09C8">
        <w:rPr>
          <w:rFonts w:ascii="Times New Roman" w:hAnsi="Times New Roman" w:cs="Times New Roman"/>
        </w:rPr>
        <w:t xml:space="preserve">In line with </w:t>
      </w:r>
      <w:r>
        <w:rPr>
          <w:rFonts w:ascii="Times New Roman" w:hAnsi="Times New Roman" w:cs="Times New Roman"/>
        </w:rPr>
        <w:t>paragraph 13 of the EBA/GL/2018/02, i</w:t>
      </w:r>
      <w:r w:rsidRPr="00FA09C8">
        <w:rPr>
          <w:rFonts w:ascii="Times New Roman" w:hAnsi="Times New Roman" w:cs="Times New Roman"/>
        </w:rPr>
        <w:t>nstitutions should manage and mitigate risks arising from their IRRBB exposures that affect both</w:t>
      </w:r>
      <w:r>
        <w:rPr>
          <w:rFonts w:ascii="Times New Roman" w:hAnsi="Times New Roman" w:cs="Times New Roman"/>
        </w:rPr>
        <w:t xml:space="preserve"> </w:t>
      </w:r>
      <w:r w:rsidRPr="00FA09C8">
        <w:rPr>
          <w:rFonts w:ascii="Times New Roman" w:hAnsi="Times New Roman" w:cs="Times New Roman"/>
        </w:rPr>
        <w:t xml:space="preserve">their earnings and </w:t>
      </w:r>
      <w:r>
        <w:rPr>
          <w:rFonts w:ascii="Times New Roman" w:hAnsi="Times New Roman" w:cs="Times New Roman"/>
        </w:rPr>
        <w:t xml:space="preserve">their </w:t>
      </w:r>
      <w:r w:rsidRPr="00FA09C8">
        <w:rPr>
          <w:rFonts w:ascii="Times New Roman" w:hAnsi="Times New Roman" w:cs="Times New Roman"/>
        </w:rPr>
        <w:t>economic value</w:t>
      </w:r>
      <w:r w:rsidRPr="00430F45">
        <w:rPr>
          <w:rFonts w:ascii="Times New Roman" w:hAnsi="Times New Roman" w:cs="Times New Roman"/>
          <w:sz w:val="16"/>
        </w:rPr>
        <w:t>.</w:t>
      </w:r>
    </w:p>
    <w:p w14:paraId="09D987CF"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r>
        <w:rPr>
          <w:rFonts w:ascii="Times New Roman" w:hAnsi="Times New Roman" w:cs="Times New Roman"/>
        </w:rPr>
        <w:t>According to the paragraph 14 of the EBA/GL/2018/02, when “</w:t>
      </w:r>
      <w:r w:rsidRPr="00C85864">
        <w:rPr>
          <w:rFonts w:ascii="Times New Roman" w:hAnsi="Times New Roman" w:cs="Times New Roman"/>
          <w:i/>
        </w:rPr>
        <w:t>calculating the impact of interest rate movements in the earnings perspective, institutions should consider not only the effects on interest income and expenses, but also the effects of the market value changes of instruments — depending on accounting treatment — either shown in the profit and loss account or directly in equity (</w:t>
      </w:r>
      <w:proofErr w:type="gramStart"/>
      <w:r w:rsidRPr="00C85864">
        <w:rPr>
          <w:rFonts w:ascii="Times New Roman" w:hAnsi="Times New Roman" w:cs="Times New Roman"/>
          <w:i/>
        </w:rPr>
        <w:t>e</w:t>
      </w:r>
      <w:r w:rsidRPr="00430F45">
        <w:rPr>
          <w:rFonts w:ascii="Times New Roman" w:hAnsi="Times New Roman" w:cs="Times New Roman"/>
          <w:i/>
          <w:sz w:val="16"/>
        </w:rPr>
        <w:t>.</w:t>
      </w:r>
      <w:r w:rsidRPr="00C85864">
        <w:rPr>
          <w:rFonts w:ascii="Times New Roman" w:hAnsi="Times New Roman" w:cs="Times New Roman"/>
          <w:i/>
        </w:rPr>
        <w:t>g</w:t>
      </w:r>
      <w:r w:rsidRPr="00430F45">
        <w:rPr>
          <w:rFonts w:ascii="Times New Roman" w:hAnsi="Times New Roman" w:cs="Times New Roman"/>
          <w:i/>
          <w:sz w:val="16"/>
        </w:rPr>
        <w:t>.</w:t>
      </w:r>
      <w:proofErr w:type="gramEnd"/>
      <w:r w:rsidRPr="00C85864">
        <w:rPr>
          <w:rFonts w:ascii="Times New Roman" w:hAnsi="Times New Roman" w:cs="Times New Roman"/>
          <w:i/>
        </w:rPr>
        <w:t xml:space="preserve"> via other comprehensive income)</w:t>
      </w:r>
      <w:r w:rsidRPr="00430F45">
        <w:rPr>
          <w:rFonts w:ascii="Times New Roman" w:hAnsi="Times New Roman" w:cs="Times New Roman"/>
          <w:i/>
          <w:sz w:val="16"/>
        </w:rPr>
        <w:t>.</w:t>
      </w:r>
      <w:r>
        <w:rPr>
          <w:rFonts w:ascii="Times New Roman" w:hAnsi="Times New Roman" w:cs="Times New Roman"/>
        </w:rPr>
        <w:t>” Moreover, according to paragraph 43(c) of the EBA/GL/2018/02, “</w:t>
      </w:r>
      <w:r w:rsidRPr="00C85864">
        <w:rPr>
          <w:rFonts w:ascii="Times New Roman" w:hAnsi="Times New Roman" w:cs="Times New Roman"/>
          <w:i/>
        </w:rPr>
        <w:t>The risk to earnings may not be limited to interest income and expenses: the effects of changes in interest rates on the market value of instruments that, depending on accounting treatment, are reflected either through the profit and loss account or directly in equity (via other comprehensive income), should be taken into account separately</w:t>
      </w:r>
      <w:r>
        <w:rPr>
          <w:rFonts w:ascii="Times New Roman" w:hAnsi="Times New Roman" w:cs="Times New Roman"/>
          <w:i/>
        </w:rPr>
        <w:t>”</w:t>
      </w:r>
      <w:r w:rsidRPr="00430F45">
        <w:rPr>
          <w:sz w:val="16"/>
        </w:rPr>
        <w:t>.</w:t>
      </w:r>
    </w:p>
    <w:p w14:paraId="793BCBB0"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r>
        <w:rPr>
          <w:rFonts w:ascii="Times New Roman" w:hAnsi="Times New Roman" w:cs="Times New Roman"/>
        </w:rPr>
        <w:t>Regarding the currency aggregation criteria, in</w:t>
      </w:r>
      <w:r w:rsidRPr="00D65859">
        <w:rPr>
          <w:rFonts w:ascii="Times New Roman" w:hAnsi="Times New Roman" w:cs="Times New Roman"/>
        </w:rPr>
        <w:t xml:space="preserve"> line with paragraph 92 of the EBA/GL/2018/02,</w:t>
      </w:r>
      <w:r>
        <w:rPr>
          <w:rFonts w:ascii="Times New Roman" w:hAnsi="Times New Roman" w:cs="Times New Roman"/>
        </w:rPr>
        <w:t xml:space="preserve"> “</w:t>
      </w:r>
      <w:r w:rsidRPr="00C85864">
        <w:rPr>
          <w:rFonts w:ascii="Times New Roman" w:hAnsi="Times New Roman" w:cs="Times New Roman"/>
          <w:i/>
        </w:rPr>
        <w:t>institutions should include in their internal measurement systems methods to aggregate their IRRBB across different currencies”</w:t>
      </w:r>
      <w:r>
        <w:rPr>
          <w:rFonts w:ascii="Times New Roman" w:hAnsi="Times New Roman" w:cs="Times New Roman"/>
        </w:rPr>
        <w:t xml:space="preserve"> and</w:t>
      </w:r>
      <w:r w:rsidRPr="00D65859">
        <w:rPr>
          <w:rFonts w:ascii="Times New Roman" w:hAnsi="Times New Roman" w:cs="Times New Roman"/>
        </w:rPr>
        <w:t xml:space="preserve"> </w:t>
      </w:r>
      <w:r>
        <w:rPr>
          <w:rFonts w:ascii="Times New Roman" w:hAnsi="Times New Roman" w:cs="Times New Roman"/>
        </w:rPr>
        <w:t>“</w:t>
      </w:r>
      <w:r w:rsidRPr="00C85864">
        <w:rPr>
          <w:rFonts w:ascii="Times New Roman" w:hAnsi="Times New Roman" w:cs="Times New Roman"/>
          <w:i/>
        </w:rPr>
        <w:t>institutions should take into account the impact of assumptions regarding dependencies between interest rates across different currencies</w:t>
      </w:r>
      <w:r>
        <w:rPr>
          <w:rFonts w:ascii="Times New Roman" w:hAnsi="Times New Roman" w:cs="Times New Roman"/>
        </w:rPr>
        <w:t>”</w:t>
      </w:r>
      <w:r w:rsidRPr="00430F45">
        <w:rPr>
          <w:rFonts w:ascii="Times New Roman" w:hAnsi="Times New Roman" w:cs="Times New Roman"/>
          <w:sz w:val="16"/>
        </w:rPr>
        <w:t>.</w:t>
      </w:r>
    </w:p>
    <w:p w14:paraId="060227AF"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r>
        <w:rPr>
          <w:rFonts w:ascii="Times New Roman" w:hAnsi="Times New Roman" w:cs="Times New Roman"/>
        </w:rPr>
        <w:t>To compute the change in the forecasted net interest income (NII) and earnings metrics, institutions should use the same parallel shock up and down scenarios applied for computing the change in EVE set out in paragraph 113 of the EBA/GL/2018/02</w:t>
      </w:r>
      <w:r w:rsidRPr="00430F45">
        <w:rPr>
          <w:rFonts w:ascii="Times New Roman" w:hAnsi="Times New Roman" w:cs="Times New Roman"/>
          <w:sz w:val="16"/>
        </w:rPr>
        <w:t>.</w:t>
      </w:r>
    </w:p>
    <w:p w14:paraId="1BB92B16"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r>
        <w:rPr>
          <w:rFonts w:ascii="Times New Roman" w:hAnsi="Times New Roman" w:cs="Times New Roman"/>
        </w:rPr>
        <w:t xml:space="preserve">Institutions should apply </w:t>
      </w:r>
      <w:proofErr w:type="gramStart"/>
      <w:r>
        <w:rPr>
          <w:rFonts w:ascii="Times New Roman" w:hAnsi="Times New Roman" w:cs="Times New Roman"/>
        </w:rPr>
        <w:t>as well t</w:t>
      </w:r>
      <w:r w:rsidRPr="00C251C5">
        <w:rPr>
          <w:rFonts w:ascii="Times New Roman" w:hAnsi="Times New Roman" w:cs="Times New Roman"/>
        </w:rPr>
        <w:t>he maturity-dependent post-shock interest rate floor</w:t>
      </w:r>
      <w:proofErr w:type="gramEnd"/>
      <w:r w:rsidRPr="00C251C5">
        <w:rPr>
          <w:rFonts w:ascii="Times New Roman" w:hAnsi="Times New Roman" w:cs="Times New Roman"/>
        </w:rPr>
        <w:t xml:space="preserve"> for each currency referred </w:t>
      </w:r>
      <w:r>
        <w:rPr>
          <w:rFonts w:ascii="Times New Roman" w:hAnsi="Times New Roman" w:cs="Times New Roman"/>
        </w:rPr>
        <w:t xml:space="preserve">to </w:t>
      </w:r>
      <w:r w:rsidRPr="00C251C5">
        <w:rPr>
          <w:rFonts w:ascii="Times New Roman" w:hAnsi="Times New Roman" w:cs="Times New Roman"/>
        </w:rPr>
        <w:t>in paragraph 115(k)</w:t>
      </w:r>
      <w:r>
        <w:rPr>
          <w:rFonts w:ascii="Times New Roman" w:hAnsi="Times New Roman" w:cs="Times New Roman"/>
        </w:rPr>
        <w:t xml:space="preserve"> of EBA/GL/2018/02 for NII and other earnings metrics</w:t>
      </w:r>
      <w:r w:rsidRPr="00430F45">
        <w:rPr>
          <w:rFonts w:ascii="Times New Roman" w:hAnsi="Times New Roman" w:cs="Times New Roman"/>
          <w:sz w:val="16"/>
        </w:rPr>
        <w:t>.</w:t>
      </w:r>
    </w:p>
    <w:p w14:paraId="29B69B8C"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r>
        <w:rPr>
          <w:rFonts w:ascii="Times New Roman" w:hAnsi="Times New Roman" w:cs="Times New Roman"/>
        </w:rPr>
        <w:t xml:space="preserve">In principle, institutions should strive for the scope of instruments present in the ∆EVE IRRBB metrics to be applied consistently in the IRRBB NII/Earnings metrics, and </w:t>
      </w:r>
      <w:proofErr w:type="gramStart"/>
      <w:r>
        <w:rPr>
          <w:rFonts w:ascii="Times New Roman" w:hAnsi="Times New Roman" w:cs="Times New Roman"/>
        </w:rPr>
        <w:t>in particular in</w:t>
      </w:r>
      <w:proofErr w:type="gramEnd"/>
      <w:r>
        <w:rPr>
          <w:rFonts w:ascii="Times New Roman" w:hAnsi="Times New Roman" w:cs="Times New Roman"/>
        </w:rPr>
        <w:t xml:space="preserve"> relation with the principles set out in paragraphs 115(b) and 115(e)</w:t>
      </w:r>
      <w:r w:rsidRPr="00430F45">
        <w:rPr>
          <w:rFonts w:ascii="Times New Roman" w:hAnsi="Times New Roman" w:cs="Times New Roman"/>
          <w:sz w:val="16"/>
        </w:rPr>
        <w:t>.</w:t>
      </w:r>
    </w:p>
    <w:p w14:paraId="5D7A184F"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r w:rsidRPr="005C6744">
        <w:rPr>
          <w:rFonts w:ascii="Times New Roman" w:hAnsi="Times New Roman" w:cs="Times New Roman"/>
        </w:rPr>
        <w:lastRenderedPageBreak/>
        <w:t>It is reminded that according to paragraph 83 of the EBA/GL/2018/02, when calculating earnings measures, institutions should include commercial margins</w:t>
      </w:r>
      <w:r w:rsidRPr="00430F45">
        <w:rPr>
          <w:rFonts w:ascii="Times New Roman" w:hAnsi="Times New Roman" w:cs="Times New Roman"/>
          <w:sz w:val="16"/>
        </w:rPr>
        <w:t>.</w:t>
      </w:r>
    </w:p>
    <w:p w14:paraId="30036F5C" w14:textId="77777777" w:rsidR="00271777" w:rsidRPr="00430641" w:rsidRDefault="00271777" w:rsidP="00271777">
      <w:pPr>
        <w:spacing w:before="120" w:line="360" w:lineRule="auto"/>
        <w:jc w:val="both"/>
        <w:rPr>
          <w:rFonts w:ascii="Times New Roman" w:hAnsi="Times New Roman" w:cs="Times New Roman"/>
          <w:b/>
        </w:rPr>
      </w:pPr>
      <w:r w:rsidRPr="00430641">
        <w:rPr>
          <w:rFonts w:ascii="Times New Roman" w:hAnsi="Times New Roman" w:cs="Times New Roman"/>
          <w:b/>
        </w:rPr>
        <w:t xml:space="preserve">Data point </w:t>
      </w:r>
      <w:r>
        <w:rPr>
          <w:rFonts w:ascii="Times New Roman" w:hAnsi="Times New Roman" w:cs="Times New Roman"/>
          <w:b/>
        </w:rPr>
        <w:t xml:space="preserve">14 - </w:t>
      </w:r>
      <w:r w:rsidRPr="00430641">
        <w:rPr>
          <w:rFonts w:ascii="Times New Roman" w:hAnsi="Times New Roman" w:cs="Times New Roman"/>
          <w:b/>
        </w:rPr>
        <w:t xml:space="preserve">Forecasted </w:t>
      </w:r>
      <w:r>
        <w:rPr>
          <w:rFonts w:ascii="Times New Roman" w:hAnsi="Times New Roman" w:cs="Times New Roman"/>
          <w:b/>
        </w:rPr>
        <w:t>n</w:t>
      </w:r>
      <w:r w:rsidRPr="00430641">
        <w:rPr>
          <w:rFonts w:ascii="Times New Roman" w:hAnsi="Times New Roman" w:cs="Times New Roman"/>
          <w:b/>
        </w:rPr>
        <w:t xml:space="preserve">et </w:t>
      </w:r>
      <w:r>
        <w:rPr>
          <w:rFonts w:ascii="Times New Roman" w:hAnsi="Times New Roman" w:cs="Times New Roman"/>
          <w:b/>
        </w:rPr>
        <w:t>i</w:t>
      </w:r>
      <w:r w:rsidRPr="00430641">
        <w:rPr>
          <w:rFonts w:ascii="Times New Roman" w:hAnsi="Times New Roman" w:cs="Times New Roman"/>
          <w:b/>
        </w:rPr>
        <w:t xml:space="preserve">nterest </w:t>
      </w:r>
      <w:r>
        <w:rPr>
          <w:rFonts w:ascii="Times New Roman" w:hAnsi="Times New Roman" w:cs="Times New Roman"/>
          <w:b/>
        </w:rPr>
        <w:t>i</w:t>
      </w:r>
      <w:r w:rsidRPr="00430641">
        <w:rPr>
          <w:rFonts w:ascii="Times New Roman" w:hAnsi="Times New Roman" w:cs="Times New Roman"/>
          <w:b/>
        </w:rPr>
        <w:t>ncome</w:t>
      </w:r>
      <w:r>
        <w:rPr>
          <w:rFonts w:ascii="Times New Roman" w:hAnsi="Times New Roman" w:cs="Times New Roman"/>
          <w:b/>
        </w:rPr>
        <w:t xml:space="preserve"> (NII)</w:t>
      </w:r>
      <w:r w:rsidRPr="00430641">
        <w:rPr>
          <w:rFonts w:ascii="Times New Roman" w:hAnsi="Times New Roman" w:cs="Times New Roman"/>
          <w:b/>
        </w:rPr>
        <w:t xml:space="preserve"> expected within 12 months </w:t>
      </w:r>
      <w:r>
        <w:rPr>
          <w:rFonts w:ascii="Times New Roman" w:hAnsi="Times New Roman" w:cs="Times New Roman"/>
          <w:b/>
        </w:rPr>
        <w:t xml:space="preserve">under the current baseline interest rate </w:t>
      </w:r>
      <w:proofErr w:type="gramStart"/>
      <w:r>
        <w:rPr>
          <w:rFonts w:ascii="Times New Roman" w:hAnsi="Times New Roman" w:cs="Times New Roman"/>
          <w:b/>
        </w:rPr>
        <w:t>scenario</w:t>
      </w:r>
      <w:proofErr w:type="gramEnd"/>
    </w:p>
    <w:p w14:paraId="0ED3DC0A"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r>
        <w:rPr>
          <w:rFonts w:ascii="Times New Roman" w:hAnsi="Times New Roman" w:cs="Times New Roman"/>
        </w:rPr>
        <w:t>In the calculation of data point 14, institutions should forecast their NII per material currency for a timeframe of 12 months using the current baseline interest rate scenario, i</w:t>
      </w:r>
      <w:r w:rsidRPr="00430F45">
        <w:rPr>
          <w:rFonts w:ascii="Times New Roman" w:hAnsi="Times New Roman" w:cs="Times New Roman"/>
          <w:sz w:val="16"/>
        </w:rPr>
        <w:t>.</w:t>
      </w:r>
      <w:r>
        <w:rPr>
          <w:rFonts w:ascii="Times New Roman" w:hAnsi="Times New Roman" w:cs="Times New Roman"/>
        </w:rPr>
        <w:t>e</w:t>
      </w:r>
      <w:r w:rsidRPr="00430F45">
        <w:rPr>
          <w:rFonts w:ascii="Times New Roman" w:hAnsi="Times New Roman" w:cs="Times New Roman"/>
          <w:sz w:val="16"/>
        </w:rPr>
        <w:t>.</w:t>
      </w:r>
      <w:r>
        <w:rPr>
          <w:rFonts w:ascii="Times New Roman" w:hAnsi="Times New Roman" w:cs="Times New Roman"/>
        </w:rPr>
        <w:t>, t</w:t>
      </w:r>
      <w:r w:rsidRPr="00C85864">
        <w:rPr>
          <w:rFonts w:ascii="Times New Roman" w:hAnsi="Times New Roman" w:cs="Times New Roman"/>
        </w:rPr>
        <w:t>he interest rates used to calculate future cash flows in the base</w:t>
      </w:r>
      <w:r>
        <w:rPr>
          <w:rFonts w:ascii="Times New Roman" w:hAnsi="Times New Roman" w:cs="Times New Roman"/>
        </w:rPr>
        <w:t>line</w:t>
      </w:r>
      <w:r w:rsidRPr="00C85864">
        <w:rPr>
          <w:rFonts w:ascii="Times New Roman" w:hAnsi="Times New Roman" w:cs="Times New Roman"/>
        </w:rPr>
        <w:t xml:space="preserve"> scenario are derived from forward rates, appropriate spreads or market expected rates for different instruments</w:t>
      </w:r>
      <w:r w:rsidRPr="00430F45">
        <w:rPr>
          <w:rFonts w:ascii="Times New Roman" w:hAnsi="Times New Roman" w:cs="Times New Roman"/>
          <w:sz w:val="16"/>
        </w:rPr>
        <w:t>.</w:t>
      </w:r>
    </w:p>
    <w:p w14:paraId="70AD2746" w14:textId="77777777" w:rsidR="00271777" w:rsidRPr="00430641" w:rsidRDefault="00271777" w:rsidP="00271777">
      <w:pPr>
        <w:spacing w:before="120" w:line="360" w:lineRule="auto"/>
        <w:jc w:val="both"/>
        <w:rPr>
          <w:rFonts w:ascii="Times New Roman" w:hAnsi="Times New Roman" w:cs="Times New Roman"/>
          <w:b/>
        </w:rPr>
      </w:pPr>
      <w:r w:rsidRPr="00430641">
        <w:rPr>
          <w:rFonts w:ascii="Times New Roman" w:hAnsi="Times New Roman" w:cs="Times New Roman"/>
          <w:b/>
        </w:rPr>
        <w:t>Data point</w:t>
      </w:r>
      <w:r>
        <w:rPr>
          <w:rFonts w:ascii="Times New Roman" w:hAnsi="Times New Roman" w:cs="Times New Roman"/>
          <w:b/>
        </w:rPr>
        <w:t>s</w:t>
      </w:r>
      <w:r w:rsidRPr="00430641">
        <w:rPr>
          <w:rFonts w:ascii="Times New Roman" w:hAnsi="Times New Roman" w:cs="Times New Roman"/>
          <w:b/>
        </w:rPr>
        <w:t xml:space="preserve"> </w:t>
      </w:r>
      <w:r>
        <w:rPr>
          <w:rFonts w:ascii="Times New Roman" w:hAnsi="Times New Roman" w:cs="Times New Roman"/>
          <w:b/>
        </w:rPr>
        <w:t>15 and 16 – Change in</w:t>
      </w:r>
      <w:r w:rsidRPr="003E1C2A">
        <w:rPr>
          <w:rFonts w:ascii="Times New Roman" w:hAnsi="Times New Roman"/>
          <w:b/>
        </w:rPr>
        <w:t xml:space="preserve"> the </w:t>
      </w:r>
      <w:r>
        <w:rPr>
          <w:rFonts w:ascii="Times New Roman" w:hAnsi="Times New Roman"/>
          <w:b/>
        </w:rPr>
        <w:t>f</w:t>
      </w:r>
      <w:r w:rsidRPr="003E1C2A">
        <w:rPr>
          <w:rFonts w:ascii="Times New Roman" w:hAnsi="Times New Roman"/>
          <w:b/>
        </w:rPr>
        <w:t xml:space="preserve">orecasted </w:t>
      </w:r>
      <w:r>
        <w:rPr>
          <w:rFonts w:ascii="Times New Roman" w:hAnsi="Times New Roman"/>
          <w:b/>
        </w:rPr>
        <w:t>n</w:t>
      </w:r>
      <w:r w:rsidRPr="003E1C2A">
        <w:rPr>
          <w:rFonts w:ascii="Times New Roman" w:hAnsi="Times New Roman"/>
          <w:b/>
        </w:rPr>
        <w:t xml:space="preserve">et </w:t>
      </w:r>
      <w:r>
        <w:rPr>
          <w:rFonts w:ascii="Times New Roman" w:hAnsi="Times New Roman"/>
          <w:b/>
        </w:rPr>
        <w:t>i</w:t>
      </w:r>
      <w:r w:rsidRPr="003E1C2A">
        <w:rPr>
          <w:rFonts w:ascii="Times New Roman" w:hAnsi="Times New Roman"/>
          <w:b/>
        </w:rPr>
        <w:t xml:space="preserve">nterest </w:t>
      </w:r>
      <w:r>
        <w:rPr>
          <w:rFonts w:ascii="Times New Roman" w:hAnsi="Times New Roman"/>
          <w:b/>
        </w:rPr>
        <w:t>i</w:t>
      </w:r>
      <w:r w:rsidRPr="003E1C2A">
        <w:rPr>
          <w:rFonts w:ascii="Times New Roman" w:hAnsi="Times New Roman"/>
          <w:b/>
        </w:rPr>
        <w:t xml:space="preserve">ncome </w:t>
      </w:r>
      <w:r w:rsidRPr="00430641">
        <w:rPr>
          <w:rFonts w:ascii="Times New Roman" w:hAnsi="Times New Roman" w:cs="Times New Roman"/>
          <w:b/>
        </w:rPr>
        <w:t xml:space="preserve">expected within 12 months under a parallel </w:t>
      </w:r>
      <w:r>
        <w:rPr>
          <w:rFonts w:ascii="Times New Roman" w:hAnsi="Times New Roman" w:cs="Times New Roman"/>
          <w:b/>
        </w:rPr>
        <w:t>shock</w:t>
      </w:r>
      <w:r w:rsidRPr="00430641">
        <w:rPr>
          <w:rFonts w:ascii="Times New Roman" w:hAnsi="Times New Roman" w:cs="Times New Roman"/>
          <w:b/>
        </w:rPr>
        <w:t xml:space="preserve"> </w:t>
      </w:r>
      <w:r>
        <w:rPr>
          <w:rFonts w:ascii="Times New Roman" w:hAnsi="Times New Roman" w:cs="Times New Roman"/>
          <w:b/>
        </w:rPr>
        <w:t>up/</w:t>
      </w:r>
      <w:proofErr w:type="gramStart"/>
      <w:r>
        <w:rPr>
          <w:rFonts w:ascii="Times New Roman" w:hAnsi="Times New Roman" w:cs="Times New Roman"/>
          <w:b/>
        </w:rPr>
        <w:t>down</w:t>
      </w:r>
      <w:proofErr w:type="gramEnd"/>
    </w:p>
    <w:p w14:paraId="3DC898BF"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r>
        <w:rPr>
          <w:rFonts w:ascii="Times New Roman" w:hAnsi="Times New Roman" w:cs="Times New Roman"/>
        </w:rPr>
        <w:t xml:space="preserve">In the calculation of data points 15 and 16, institutions should apply the upward and downward </w:t>
      </w:r>
      <w:r w:rsidRPr="008A5BB9">
        <w:rPr>
          <w:rFonts w:ascii="Times New Roman" w:hAnsi="Times New Roman" w:cs="Times New Roman"/>
        </w:rPr>
        <w:t>parallel</w:t>
      </w:r>
      <w:r>
        <w:rPr>
          <w:rFonts w:ascii="Times New Roman" w:hAnsi="Times New Roman" w:cs="Times New Roman"/>
        </w:rPr>
        <w:t xml:space="preserve"> shock to</w:t>
      </w:r>
      <w:r w:rsidRPr="008A5BB9">
        <w:rPr>
          <w:rFonts w:ascii="Times New Roman" w:hAnsi="Times New Roman" w:cs="Times New Roman"/>
        </w:rPr>
        <w:t xml:space="preserve"> interest rate</w:t>
      </w:r>
      <w:r>
        <w:rPr>
          <w:rFonts w:ascii="Times New Roman" w:hAnsi="Times New Roman" w:cs="Times New Roman"/>
        </w:rPr>
        <w:t>s</w:t>
      </w:r>
      <w:r w:rsidRPr="008A5BB9">
        <w:rPr>
          <w:rFonts w:ascii="Times New Roman" w:hAnsi="Times New Roman" w:cs="Times New Roman"/>
        </w:rPr>
        <w:t xml:space="preserve"> </w:t>
      </w:r>
      <w:r>
        <w:rPr>
          <w:rFonts w:ascii="Times New Roman" w:hAnsi="Times New Roman" w:cs="Times New Roman"/>
        </w:rPr>
        <w:t>to the forecasted net interest income reported in data point 14 for each material currency</w:t>
      </w:r>
      <w:r w:rsidRPr="00430F45">
        <w:rPr>
          <w:rFonts w:ascii="Times New Roman" w:hAnsi="Times New Roman" w:cs="Times New Roman"/>
          <w:sz w:val="16"/>
        </w:rPr>
        <w:t>.</w:t>
      </w:r>
    </w:p>
    <w:p w14:paraId="5398BC04"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r w:rsidRPr="00B26249">
        <w:rPr>
          <w:rFonts w:ascii="Times New Roman" w:hAnsi="Times New Roman" w:cs="Times New Roman"/>
        </w:rPr>
        <w:t xml:space="preserve">The shift (shock) should be applied only to </w:t>
      </w:r>
      <w:r w:rsidRPr="006521B5">
        <w:rPr>
          <w:rFonts w:ascii="Times New Roman" w:hAnsi="Times New Roman" w:cs="Times New Roman"/>
        </w:rPr>
        <w:t>interest-rate sensitive</w:t>
      </w:r>
      <w:r>
        <w:rPr>
          <w:rFonts w:ascii="Times New Roman" w:hAnsi="Times New Roman" w:cs="Times New Roman"/>
        </w:rPr>
        <w:t xml:space="preserve"> on- and o</w:t>
      </w:r>
      <w:r w:rsidRPr="006521B5">
        <w:rPr>
          <w:rFonts w:ascii="Times New Roman" w:hAnsi="Times New Roman" w:cs="Times New Roman"/>
        </w:rPr>
        <w:t>ff-balance sheet</w:t>
      </w:r>
      <w:r>
        <w:rPr>
          <w:rFonts w:ascii="Times New Roman" w:hAnsi="Times New Roman" w:cs="Times New Roman"/>
        </w:rPr>
        <w:t xml:space="preserve"> items in the banking book</w:t>
      </w:r>
      <w:r w:rsidRPr="00430F45">
        <w:rPr>
          <w:rFonts w:ascii="Times New Roman" w:hAnsi="Times New Roman" w:cs="Times New Roman"/>
          <w:sz w:val="16"/>
        </w:rPr>
        <w:t>.</w:t>
      </w:r>
    </w:p>
    <w:p w14:paraId="2571BD1F" w14:textId="77777777" w:rsidR="00271777" w:rsidRDefault="00271777" w:rsidP="00271777">
      <w:pPr>
        <w:spacing w:before="120" w:line="360" w:lineRule="auto"/>
        <w:jc w:val="both"/>
        <w:rPr>
          <w:rFonts w:ascii="Times New Roman" w:hAnsi="Times New Roman" w:cs="Times New Roman"/>
          <w:b/>
        </w:rPr>
      </w:pPr>
      <w:r w:rsidRPr="003E1C2A">
        <w:rPr>
          <w:rFonts w:ascii="Times New Roman" w:hAnsi="Times New Roman"/>
          <w:b/>
        </w:rPr>
        <w:t xml:space="preserve">Data points </w:t>
      </w:r>
      <w:r w:rsidRPr="00C85864">
        <w:rPr>
          <w:rFonts w:ascii="Times New Roman" w:hAnsi="Times New Roman" w:cs="Times New Roman"/>
          <w:b/>
        </w:rPr>
        <w:t>1</w:t>
      </w:r>
      <w:r>
        <w:rPr>
          <w:rFonts w:ascii="Times New Roman" w:hAnsi="Times New Roman" w:cs="Times New Roman"/>
          <w:b/>
        </w:rPr>
        <w:t xml:space="preserve">7 - </w:t>
      </w:r>
      <w:r w:rsidRPr="00430641">
        <w:rPr>
          <w:rFonts w:ascii="Times New Roman" w:hAnsi="Times New Roman" w:cs="Times New Roman"/>
          <w:b/>
        </w:rPr>
        <w:t xml:space="preserve">Forecasted </w:t>
      </w:r>
      <w:r>
        <w:rPr>
          <w:rFonts w:ascii="Times New Roman" w:hAnsi="Times New Roman" w:cs="Times New Roman"/>
          <w:b/>
        </w:rPr>
        <w:t>earnings</w:t>
      </w:r>
      <w:r w:rsidRPr="00430641">
        <w:rPr>
          <w:rFonts w:ascii="Times New Roman" w:hAnsi="Times New Roman" w:cs="Times New Roman"/>
          <w:b/>
        </w:rPr>
        <w:t xml:space="preserve"> expected within 12 months </w:t>
      </w:r>
      <w:r>
        <w:rPr>
          <w:rFonts w:ascii="Times New Roman" w:hAnsi="Times New Roman" w:cs="Times New Roman"/>
          <w:b/>
        </w:rPr>
        <w:t xml:space="preserve">under the current baseline interest rate </w:t>
      </w:r>
      <w:proofErr w:type="gramStart"/>
      <w:r>
        <w:rPr>
          <w:rFonts w:ascii="Times New Roman" w:hAnsi="Times New Roman" w:cs="Times New Roman"/>
          <w:b/>
        </w:rPr>
        <w:t>scenario</w:t>
      </w:r>
      <w:proofErr w:type="gramEnd"/>
    </w:p>
    <w:p w14:paraId="177115AC" w14:textId="77777777" w:rsidR="00271777" w:rsidRPr="00706A2A" w:rsidRDefault="00271777" w:rsidP="00271777">
      <w:pPr>
        <w:pStyle w:val="ListParagraph"/>
        <w:numPr>
          <w:ilvl w:val="0"/>
          <w:numId w:val="2"/>
        </w:numPr>
        <w:spacing w:before="120" w:line="360" w:lineRule="auto"/>
        <w:ind w:left="426"/>
        <w:jc w:val="both"/>
        <w:rPr>
          <w:rFonts w:ascii="Times New Roman" w:hAnsi="Times New Roman" w:cs="Times New Roman"/>
        </w:rPr>
      </w:pPr>
      <w:r w:rsidRPr="00C85864">
        <w:rPr>
          <w:rFonts w:ascii="Times New Roman" w:hAnsi="Times New Roman" w:cs="Times New Roman"/>
        </w:rPr>
        <w:t xml:space="preserve">In </w:t>
      </w:r>
      <w:r>
        <w:rPr>
          <w:rFonts w:ascii="Times New Roman" w:hAnsi="Times New Roman" w:cs="Times New Roman"/>
        </w:rPr>
        <w:t>the calculation of data point 17</w:t>
      </w:r>
      <w:r w:rsidRPr="00C85864">
        <w:rPr>
          <w:rFonts w:ascii="Times New Roman" w:hAnsi="Times New Roman" w:cs="Times New Roman"/>
        </w:rPr>
        <w:t xml:space="preserve">, institutions should forecast their </w:t>
      </w:r>
      <w:r>
        <w:rPr>
          <w:rFonts w:ascii="Times New Roman" w:hAnsi="Times New Roman" w:cs="Times New Roman"/>
        </w:rPr>
        <w:t>Earnings</w:t>
      </w:r>
      <w:r w:rsidRPr="00C85864">
        <w:rPr>
          <w:rFonts w:ascii="Times New Roman" w:hAnsi="Times New Roman" w:cs="Times New Roman"/>
        </w:rPr>
        <w:t xml:space="preserve"> per material currency for a timeframe of 12 months using the current baseline interest rate scenario, i</w:t>
      </w:r>
      <w:r w:rsidRPr="00430F45">
        <w:rPr>
          <w:rFonts w:ascii="Times New Roman" w:hAnsi="Times New Roman" w:cs="Times New Roman"/>
          <w:sz w:val="16"/>
        </w:rPr>
        <w:t>.</w:t>
      </w:r>
      <w:r w:rsidRPr="00C85864">
        <w:rPr>
          <w:rFonts w:ascii="Times New Roman" w:hAnsi="Times New Roman" w:cs="Times New Roman"/>
        </w:rPr>
        <w:t>e</w:t>
      </w:r>
      <w:r w:rsidRPr="00430F45">
        <w:rPr>
          <w:rFonts w:ascii="Times New Roman" w:hAnsi="Times New Roman" w:cs="Times New Roman"/>
          <w:sz w:val="16"/>
        </w:rPr>
        <w:t>.</w:t>
      </w:r>
      <w:r w:rsidRPr="00C85864">
        <w:rPr>
          <w:rFonts w:ascii="Times New Roman" w:hAnsi="Times New Roman" w:cs="Times New Roman"/>
        </w:rPr>
        <w:t>, the interest rates used to calculate future cash flows in the baseline scenario are derived from forward rates, appropriate spreads or market expected rates for different instruments</w:t>
      </w:r>
      <w:r w:rsidRPr="00430F45">
        <w:rPr>
          <w:rFonts w:ascii="Times New Roman" w:hAnsi="Times New Roman" w:cs="Times New Roman"/>
          <w:sz w:val="16"/>
        </w:rPr>
        <w:t>.</w:t>
      </w:r>
    </w:p>
    <w:p w14:paraId="68591EEE" w14:textId="77777777" w:rsidR="00271777" w:rsidRPr="00C85864" w:rsidRDefault="00271777" w:rsidP="00271777">
      <w:pPr>
        <w:spacing w:before="120" w:line="360" w:lineRule="auto"/>
        <w:jc w:val="both"/>
        <w:rPr>
          <w:rFonts w:ascii="Times New Roman" w:hAnsi="Times New Roman" w:cs="Times New Roman"/>
        </w:rPr>
      </w:pPr>
      <w:r w:rsidRPr="00D65859">
        <w:rPr>
          <w:rFonts w:ascii="Times New Roman" w:hAnsi="Times New Roman" w:cs="Times New Roman"/>
          <w:b/>
        </w:rPr>
        <w:t>Data points 1</w:t>
      </w:r>
      <w:r>
        <w:rPr>
          <w:rFonts w:ascii="Times New Roman" w:hAnsi="Times New Roman" w:cs="Times New Roman"/>
          <w:b/>
        </w:rPr>
        <w:t>8 – 19</w:t>
      </w:r>
      <w:r>
        <w:rPr>
          <w:rFonts w:ascii="Times New Roman" w:hAnsi="Times New Roman" w:cs="Times New Roman"/>
        </w:rPr>
        <w:t xml:space="preserve"> - </w:t>
      </w:r>
      <w:r w:rsidRPr="00C85864">
        <w:rPr>
          <w:rFonts w:ascii="Times New Roman" w:hAnsi="Times New Roman" w:cs="Times New Roman"/>
          <w:b/>
        </w:rPr>
        <w:t xml:space="preserve">Change in the </w:t>
      </w:r>
      <w:r>
        <w:rPr>
          <w:rFonts w:ascii="Times New Roman" w:hAnsi="Times New Roman" w:cs="Times New Roman"/>
          <w:b/>
        </w:rPr>
        <w:t>f</w:t>
      </w:r>
      <w:r w:rsidRPr="00C85864">
        <w:rPr>
          <w:rFonts w:ascii="Times New Roman" w:hAnsi="Times New Roman" w:cs="Times New Roman"/>
          <w:b/>
        </w:rPr>
        <w:t xml:space="preserve">orecasted </w:t>
      </w:r>
      <w:r>
        <w:rPr>
          <w:rFonts w:ascii="Times New Roman" w:hAnsi="Times New Roman" w:cs="Times New Roman"/>
          <w:b/>
        </w:rPr>
        <w:t>e</w:t>
      </w:r>
      <w:r w:rsidRPr="00C85864">
        <w:rPr>
          <w:rFonts w:ascii="Times New Roman" w:hAnsi="Times New Roman" w:cs="Times New Roman"/>
          <w:b/>
        </w:rPr>
        <w:t xml:space="preserve">arnings expected within 12 months under a parallel </w:t>
      </w:r>
      <w:r>
        <w:rPr>
          <w:rFonts w:ascii="Times New Roman" w:hAnsi="Times New Roman" w:cs="Times New Roman"/>
          <w:b/>
        </w:rPr>
        <w:t>shock</w:t>
      </w:r>
      <w:r w:rsidRPr="00C85864">
        <w:rPr>
          <w:rFonts w:ascii="Times New Roman" w:hAnsi="Times New Roman" w:cs="Times New Roman"/>
          <w:b/>
        </w:rPr>
        <w:t xml:space="preserve"> </w:t>
      </w:r>
      <w:r>
        <w:rPr>
          <w:rFonts w:ascii="Times New Roman" w:hAnsi="Times New Roman" w:cs="Times New Roman"/>
          <w:b/>
        </w:rPr>
        <w:t>up</w:t>
      </w:r>
      <w:r w:rsidRPr="00C85864">
        <w:rPr>
          <w:rFonts w:ascii="Times New Roman" w:hAnsi="Times New Roman" w:cs="Times New Roman"/>
          <w:b/>
        </w:rPr>
        <w:t>/</w:t>
      </w:r>
      <w:proofErr w:type="gramStart"/>
      <w:r>
        <w:rPr>
          <w:rFonts w:ascii="Times New Roman" w:hAnsi="Times New Roman" w:cs="Times New Roman"/>
          <w:b/>
        </w:rPr>
        <w:t>down</w:t>
      </w:r>
      <w:proofErr w:type="gramEnd"/>
      <w:r>
        <w:rPr>
          <w:rFonts w:ascii="Times New Roman" w:hAnsi="Times New Roman" w:cs="Times New Roman"/>
          <w:b/>
        </w:rPr>
        <w:t xml:space="preserve"> </w:t>
      </w:r>
    </w:p>
    <w:p w14:paraId="3E047A2F"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r>
        <w:rPr>
          <w:rFonts w:ascii="Times New Roman" w:hAnsi="Times New Roman" w:cs="Times New Roman"/>
        </w:rPr>
        <w:t xml:space="preserve">In the calculation of data points 18 and 19, institutions should apply the upward and downward </w:t>
      </w:r>
      <w:r w:rsidRPr="008A5BB9">
        <w:rPr>
          <w:rFonts w:ascii="Times New Roman" w:hAnsi="Times New Roman" w:cs="Times New Roman"/>
        </w:rPr>
        <w:t xml:space="preserve">parallel interest rate shift </w:t>
      </w:r>
      <w:r>
        <w:rPr>
          <w:rFonts w:ascii="Times New Roman" w:hAnsi="Times New Roman" w:cs="Times New Roman"/>
        </w:rPr>
        <w:t>to the forecasted earnings reported in data point 17 for each material currency</w:t>
      </w:r>
      <w:r w:rsidRPr="00430F45">
        <w:rPr>
          <w:rFonts w:ascii="Times New Roman" w:hAnsi="Times New Roman" w:cs="Times New Roman"/>
          <w:sz w:val="16"/>
        </w:rPr>
        <w:t>.</w:t>
      </w:r>
    </w:p>
    <w:p w14:paraId="4CD0423A"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r>
        <w:rPr>
          <w:rFonts w:ascii="Times New Roman" w:hAnsi="Times New Roman" w:cs="Times New Roman"/>
        </w:rPr>
        <w:t xml:space="preserve">This includes at least, according to the 14 and 43(c) of the EBA/GL/2018/02, the change in NII already reflected in data points 15 and 16 </w:t>
      </w:r>
      <w:r w:rsidRPr="00706A2A">
        <w:rPr>
          <w:rFonts w:ascii="Times New Roman" w:hAnsi="Times New Roman" w:cs="Times New Roman"/>
        </w:rPr>
        <w:t xml:space="preserve">and </w:t>
      </w:r>
      <w:r w:rsidRPr="006E3DF2">
        <w:rPr>
          <w:rFonts w:ascii="Times New Roman" w:hAnsi="Times New Roman" w:cs="Times New Roman"/>
        </w:rPr>
        <w:t>the market value changes of instruments — depending on accounting treatment — either shown in the profit and loss account or directly in equity (</w:t>
      </w:r>
      <w:proofErr w:type="gramStart"/>
      <w:r w:rsidRPr="006E3DF2">
        <w:rPr>
          <w:rFonts w:ascii="Times New Roman" w:hAnsi="Times New Roman" w:cs="Times New Roman"/>
        </w:rPr>
        <w:t>e</w:t>
      </w:r>
      <w:r w:rsidRPr="00430F45">
        <w:rPr>
          <w:rFonts w:ascii="Times New Roman" w:hAnsi="Times New Roman" w:cs="Times New Roman"/>
          <w:sz w:val="16"/>
        </w:rPr>
        <w:t>.</w:t>
      </w:r>
      <w:r w:rsidRPr="006E3DF2">
        <w:rPr>
          <w:rFonts w:ascii="Times New Roman" w:hAnsi="Times New Roman" w:cs="Times New Roman"/>
        </w:rPr>
        <w:t>g</w:t>
      </w:r>
      <w:r w:rsidRPr="00430F45">
        <w:rPr>
          <w:rFonts w:ascii="Times New Roman" w:hAnsi="Times New Roman" w:cs="Times New Roman"/>
          <w:sz w:val="16"/>
        </w:rPr>
        <w:t>.</w:t>
      </w:r>
      <w:proofErr w:type="gramEnd"/>
      <w:r w:rsidRPr="006E3DF2">
        <w:rPr>
          <w:rFonts w:ascii="Times New Roman" w:hAnsi="Times New Roman" w:cs="Times New Roman"/>
        </w:rPr>
        <w:t xml:space="preserve"> via other comprehensive income)</w:t>
      </w:r>
      <w:r w:rsidRPr="00430F45">
        <w:rPr>
          <w:rFonts w:ascii="Times New Roman" w:hAnsi="Times New Roman" w:cs="Times New Roman"/>
          <w:sz w:val="16"/>
        </w:rPr>
        <w:t>.</w:t>
      </w:r>
    </w:p>
    <w:p w14:paraId="6C898D26"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r w:rsidRPr="00B26249">
        <w:rPr>
          <w:rFonts w:ascii="Times New Roman" w:hAnsi="Times New Roman" w:cs="Times New Roman"/>
        </w:rPr>
        <w:t xml:space="preserve">The shift (shock) should be applied only to </w:t>
      </w:r>
      <w:r w:rsidRPr="006521B5">
        <w:rPr>
          <w:rFonts w:ascii="Times New Roman" w:hAnsi="Times New Roman" w:cs="Times New Roman"/>
        </w:rPr>
        <w:t>interest-rate sensitive</w:t>
      </w:r>
      <w:r>
        <w:rPr>
          <w:rFonts w:ascii="Times New Roman" w:hAnsi="Times New Roman" w:cs="Times New Roman"/>
        </w:rPr>
        <w:t xml:space="preserve"> on- and o</w:t>
      </w:r>
      <w:r w:rsidRPr="006521B5">
        <w:rPr>
          <w:rFonts w:ascii="Times New Roman" w:hAnsi="Times New Roman" w:cs="Times New Roman"/>
        </w:rPr>
        <w:t>ff-balance sheet</w:t>
      </w:r>
      <w:r>
        <w:rPr>
          <w:rFonts w:ascii="Times New Roman" w:hAnsi="Times New Roman" w:cs="Times New Roman"/>
        </w:rPr>
        <w:t xml:space="preserve"> items in the banking book</w:t>
      </w:r>
      <w:r w:rsidRPr="00430F45">
        <w:rPr>
          <w:rFonts w:ascii="Times New Roman" w:hAnsi="Times New Roman" w:cs="Times New Roman"/>
          <w:sz w:val="16"/>
        </w:rPr>
        <w:t>.</w:t>
      </w:r>
    </w:p>
    <w:p w14:paraId="73F8E216"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r>
        <w:rPr>
          <w:rFonts w:ascii="Times New Roman" w:hAnsi="Times New Roman" w:cs="Times New Roman"/>
        </w:rPr>
        <w:lastRenderedPageBreak/>
        <w:t>Institutions should include</w:t>
      </w:r>
      <w:r w:rsidRPr="00D64654">
        <w:rPr>
          <w:rFonts w:ascii="Times New Roman" w:hAnsi="Times New Roman" w:cs="Times New Roman"/>
        </w:rPr>
        <w:t xml:space="preserve"> the effect of the forecasted impact on fair value instruments </w:t>
      </w:r>
      <w:r w:rsidRPr="00C253D9">
        <w:rPr>
          <w:rFonts w:ascii="Times New Roman" w:hAnsi="Times New Roman" w:cs="Times New Roman"/>
        </w:rPr>
        <w:t>(including derivatives)</w:t>
      </w:r>
      <w:r>
        <w:rPr>
          <w:rFonts w:ascii="Times New Roman" w:hAnsi="Times New Roman" w:cs="Times New Roman"/>
        </w:rPr>
        <w:t xml:space="preserve"> </w:t>
      </w:r>
      <w:r w:rsidRPr="00D64654">
        <w:rPr>
          <w:rFonts w:ascii="Times New Roman" w:hAnsi="Times New Roman" w:cs="Times New Roman"/>
        </w:rPr>
        <w:t>net of he</w:t>
      </w:r>
      <w:r>
        <w:rPr>
          <w:rFonts w:ascii="Times New Roman" w:hAnsi="Times New Roman" w:cs="Times New Roman"/>
        </w:rPr>
        <w:t>dging interest rate derivatives after applying the scenarios described in the paragraph above</w:t>
      </w:r>
      <w:r w:rsidRPr="00430F45">
        <w:rPr>
          <w:rFonts w:ascii="Times New Roman" w:hAnsi="Times New Roman" w:cs="Times New Roman"/>
          <w:sz w:val="16"/>
        </w:rPr>
        <w:t>.</w:t>
      </w:r>
      <w:r>
        <w:rPr>
          <w:rFonts w:ascii="Times New Roman" w:hAnsi="Times New Roman" w:cs="Times New Roman"/>
        </w:rPr>
        <w:t xml:space="preserve"> Economic hedges derivatives, whose fair value changes are recognised through the income statement, should be included into the earnings measure</w:t>
      </w:r>
      <w:r w:rsidRPr="00430F45">
        <w:rPr>
          <w:rFonts w:ascii="Times New Roman" w:hAnsi="Times New Roman" w:cs="Times New Roman"/>
          <w:sz w:val="16"/>
        </w:rPr>
        <w:t>.</w:t>
      </w:r>
    </w:p>
    <w:p w14:paraId="2E066CCA" w14:textId="77777777" w:rsidR="00271777" w:rsidRDefault="00271777" w:rsidP="00271777">
      <w:pPr>
        <w:rPr>
          <w:rFonts w:ascii="Times New Roman" w:hAnsi="Times New Roman" w:cs="Times New Roman"/>
        </w:rPr>
      </w:pPr>
      <w:r>
        <w:rPr>
          <w:rFonts w:ascii="Times New Roman" w:hAnsi="Times New Roman" w:cs="Times New Roman"/>
          <w:b/>
          <w:u w:val="single"/>
        </w:rPr>
        <w:t>Optionality Information</w:t>
      </w:r>
    </w:p>
    <w:p w14:paraId="47885288" w14:textId="77777777" w:rsidR="00271777" w:rsidRPr="004C663F" w:rsidRDefault="00271777" w:rsidP="00271777">
      <w:pPr>
        <w:spacing w:before="120" w:line="360" w:lineRule="auto"/>
        <w:jc w:val="both"/>
        <w:rPr>
          <w:rFonts w:ascii="Times New Roman" w:hAnsi="Times New Roman" w:cs="Times New Roman"/>
          <w:b/>
        </w:rPr>
      </w:pPr>
      <w:r w:rsidRPr="003E1C2A">
        <w:rPr>
          <w:rFonts w:ascii="Times New Roman" w:hAnsi="Times New Roman"/>
          <w:b/>
        </w:rPr>
        <w:t xml:space="preserve">Data </w:t>
      </w:r>
      <w:proofErr w:type="gramStart"/>
      <w:r w:rsidRPr="003E1C2A">
        <w:rPr>
          <w:rFonts w:ascii="Times New Roman" w:hAnsi="Times New Roman"/>
          <w:b/>
        </w:rPr>
        <w:t>points</w:t>
      </w:r>
      <w:proofErr w:type="gramEnd"/>
      <w:r w:rsidRPr="003E1C2A">
        <w:rPr>
          <w:rFonts w:ascii="Times New Roman" w:hAnsi="Times New Roman"/>
          <w:b/>
        </w:rPr>
        <w:t xml:space="preserve"> </w:t>
      </w:r>
      <w:r>
        <w:rPr>
          <w:rFonts w:ascii="Times New Roman" w:hAnsi="Times New Roman" w:cs="Times New Roman"/>
          <w:b/>
        </w:rPr>
        <w:t>20-23 – Quantitative information on assets and liabilities with embedded automatic or behavioural optionality</w:t>
      </w:r>
    </w:p>
    <w:p w14:paraId="53D2FA61"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r w:rsidRPr="002E7C67">
        <w:rPr>
          <w:rFonts w:ascii="Times New Roman" w:hAnsi="Times New Roman" w:cs="Times New Roman"/>
        </w:rPr>
        <w:t xml:space="preserve">According to paragraph </w:t>
      </w:r>
      <w:r>
        <w:rPr>
          <w:rFonts w:ascii="Times New Roman" w:hAnsi="Times New Roman" w:cs="Times New Roman"/>
        </w:rPr>
        <w:t>115(d) of the EBA/GL/2018/02</w:t>
      </w:r>
      <w:r w:rsidRPr="002E7C67">
        <w:rPr>
          <w:rFonts w:ascii="Times New Roman" w:hAnsi="Times New Roman" w:cs="Times New Roman"/>
        </w:rPr>
        <w:t xml:space="preserve">, </w:t>
      </w:r>
      <w:r>
        <w:rPr>
          <w:rFonts w:ascii="Times New Roman" w:hAnsi="Times New Roman" w:cs="Times New Roman"/>
        </w:rPr>
        <w:t>i</w:t>
      </w:r>
      <w:r w:rsidRPr="002E7C67">
        <w:rPr>
          <w:rFonts w:ascii="Times New Roman" w:hAnsi="Times New Roman" w:cs="Times New Roman"/>
        </w:rPr>
        <w:t>nstitutions should</w:t>
      </w:r>
      <w:r>
        <w:rPr>
          <w:rFonts w:ascii="Times New Roman" w:hAnsi="Times New Roman" w:cs="Times New Roman"/>
        </w:rPr>
        <w:t xml:space="preserve"> reflect </w:t>
      </w:r>
      <w:r w:rsidRPr="004C663F">
        <w:rPr>
          <w:rFonts w:ascii="Times New Roman" w:hAnsi="Times New Roman" w:cs="Times New Roman"/>
        </w:rPr>
        <w:t>automatic and behavio</w:t>
      </w:r>
      <w:r>
        <w:rPr>
          <w:rFonts w:ascii="Times New Roman" w:hAnsi="Times New Roman" w:cs="Times New Roman"/>
        </w:rPr>
        <w:t>ural options in the calculation of the supervisory outlier tests</w:t>
      </w:r>
      <w:r w:rsidRPr="00430F45">
        <w:rPr>
          <w:rFonts w:ascii="Times New Roman" w:hAnsi="Times New Roman" w:cs="Times New Roman"/>
          <w:sz w:val="16"/>
        </w:rPr>
        <w:t>.</w:t>
      </w:r>
      <w:r>
        <w:rPr>
          <w:rFonts w:ascii="Times New Roman" w:hAnsi="Times New Roman" w:cs="Times New Roman"/>
        </w:rPr>
        <w:t xml:space="preserve"> </w:t>
      </w:r>
    </w:p>
    <w:p w14:paraId="5FDC464F"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r>
        <w:rPr>
          <w:rFonts w:ascii="Times New Roman" w:hAnsi="Times New Roman" w:cs="Times New Roman"/>
        </w:rPr>
        <w:t>In data points 20-23,</w:t>
      </w:r>
      <w:r w:rsidRPr="002E7C67">
        <w:rPr>
          <w:rFonts w:ascii="Times New Roman" w:hAnsi="Times New Roman" w:cs="Times New Roman"/>
        </w:rPr>
        <w:t xml:space="preserve"> institutions should provide the proportion of </w:t>
      </w:r>
      <w:r>
        <w:rPr>
          <w:rFonts w:ascii="Times New Roman" w:hAnsi="Times New Roman" w:cs="Times New Roman"/>
        </w:rPr>
        <w:t>a</w:t>
      </w:r>
      <w:r w:rsidRPr="002E7C67">
        <w:rPr>
          <w:rFonts w:ascii="Times New Roman" w:hAnsi="Times New Roman" w:cs="Times New Roman"/>
        </w:rPr>
        <w:t xml:space="preserve">ssets and </w:t>
      </w:r>
      <w:r>
        <w:rPr>
          <w:rFonts w:ascii="Times New Roman" w:hAnsi="Times New Roman" w:cs="Times New Roman"/>
        </w:rPr>
        <w:t>l</w:t>
      </w:r>
      <w:r w:rsidRPr="002E7C67">
        <w:rPr>
          <w:rFonts w:ascii="Times New Roman" w:hAnsi="Times New Roman" w:cs="Times New Roman"/>
        </w:rPr>
        <w:t xml:space="preserve">iabilities in the </w:t>
      </w:r>
      <w:r>
        <w:rPr>
          <w:rFonts w:ascii="Times New Roman" w:hAnsi="Times New Roman" w:cs="Times New Roman"/>
        </w:rPr>
        <w:t>b</w:t>
      </w:r>
      <w:r w:rsidRPr="002E7C67">
        <w:rPr>
          <w:rFonts w:ascii="Times New Roman" w:hAnsi="Times New Roman" w:cs="Times New Roman"/>
        </w:rPr>
        <w:t xml:space="preserve">anking </w:t>
      </w:r>
      <w:r>
        <w:rPr>
          <w:rFonts w:ascii="Times New Roman" w:hAnsi="Times New Roman" w:cs="Times New Roman"/>
        </w:rPr>
        <w:t>b</w:t>
      </w:r>
      <w:r w:rsidRPr="002E7C67">
        <w:rPr>
          <w:rFonts w:ascii="Times New Roman" w:hAnsi="Times New Roman" w:cs="Times New Roman"/>
        </w:rPr>
        <w:t>ook</w:t>
      </w:r>
      <w:r>
        <w:rPr>
          <w:rStyle w:val="FootnoteReference"/>
          <w:rFonts w:ascii="Times New Roman" w:hAnsi="Times New Roman" w:cs="Times New Roman"/>
        </w:rPr>
        <w:footnoteReference w:id="5"/>
      </w:r>
      <w:r w:rsidRPr="002E7C67">
        <w:rPr>
          <w:rFonts w:ascii="Times New Roman" w:hAnsi="Times New Roman" w:cs="Times New Roman"/>
        </w:rPr>
        <w:t xml:space="preserve"> subject to automatic and behavioural optionality according to the formulas provided below</w:t>
      </w:r>
      <w:r w:rsidRPr="00430F45">
        <w:rPr>
          <w:rFonts w:ascii="Times New Roman" w:hAnsi="Times New Roman" w:cs="Times New Roman"/>
          <w:sz w:val="16"/>
        </w:rPr>
        <w:t>.</w:t>
      </w:r>
      <w:r w:rsidRPr="002E7C67">
        <w:rPr>
          <w:rFonts w:ascii="Times New Roman" w:hAnsi="Times New Roman" w:cs="Times New Roman"/>
        </w:rPr>
        <w:t xml:space="preserve"> </w:t>
      </w:r>
      <w:r>
        <w:rPr>
          <w:rFonts w:ascii="Times New Roman" w:hAnsi="Times New Roman" w:cs="Times New Roman"/>
        </w:rPr>
        <w:t>Institutions should consider the instruments referred in paragraph 88 of the EBA/GL/2018/02 as examples of instruments with embedded automatic optionality and embedded behavioural optionality</w:t>
      </w:r>
      <w:r w:rsidRPr="00430F45">
        <w:rPr>
          <w:rFonts w:ascii="Times New Roman" w:hAnsi="Times New Roman" w:cs="Times New Roman"/>
          <w:sz w:val="16"/>
        </w:rPr>
        <w:t>.</w:t>
      </w:r>
      <w:r>
        <w:rPr>
          <w:rFonts w:ascii="Times New Roman" w:hAnsi="Times New Roman" w:cs="Times New Roman"/>
        </w:rPr>
        <w:t xml:space="preserve"> </w:t>
      </w:r>
      <w:r w:rsidRPr="002E7C67">
        <w:rPr>
          <w:rFonts w:ascii="Times New Roman" w:hAnsi="Times New Roman" w:cs="Times New Roman"/>
        </w:rPr>
        <w:t>For the computation of these ratios, institutions should:</w:t>
      </w:r>
    </w:p>
    <w:p w14:paraId="20823432" w14:textId="77777777" w:rsidR="00271777" w:rsidRPr="002E7C67" w:rsidRDefault="00271777" w:rsidP="00271777">
      <w:pPr>
        <w:pStyle w:val="ListParagraph"/>
        <w:numPr>
          <w:ilvl w:val="1"/>
          <w:numId w:val="2"/>
        </w:numPr>
        <w:spacing w:before="120" w:line="360" w:lineRule="auto"/>
        <w:jc w:val="both"/>
        <w:rPr>
          <w:rFonts w:ascii="Times New Roman" w:hAnsi="Times New Roman" w:cs="Times New Roman"/>
        </w:rPr>
      </w:pPr>
      <w:r w:rsidRPr="002E7C67">
        <w:rPr>
          <w:rFonts w:ascii="Times New Roman" w:hAnsi="Times New Roman" w:cs="Times New Roman"/>
        </w:rPr>
        <w:t>Use nominal amounts (not STE for SREP data collection cash-flows</w:t>
      </w:r>
      <w:proofErr w:type="gramStart"/>
      <w:r w:rsidRPr="002E7C67">
        <w:rPr>
          <w:rFonts w:ascii="Times New Roman" w:hAnsi="Times New Roman" w:cs="Times New Roman"/>
        </w:rPr>
        <w:t>);</w:t>
      </w:r>
      <w:proofErr w:type="gramEnd"/>
    </w:p>
    <w:p w14:paraId="3E19206E" w14:textId="77777777" w:rsidR="00271777" w:rsidRPr="002E7C67" w:rsidRDefault="00271777" w:rsidP="00271777">
      <w:pPr>
        <w:pStyle w:val="ListParagraph"/>
        <w:numPr>
          <w:ilvl w:val="1"/>
          <w:numId w:val="2"/>
        </w:numPr>
        <w:spacing w:before="120" w:line="360" w:lineRule="auto"/>
        <w:jc w:val="both"/>
        <w:rPr>
          <w:rFonts w:ascii="Times New Roman" w:hAnsi="Times New Roman" w:cs="Times New Roman"/>
        </w:rPr>
      </w:pPr>
      <w:r w:rsidRPr="002E7C67">
        <w:rPr>
          <w:rFonts w:ascii="Times New Roman" w:hAnsi="Times New Roman" w:cs="Times New Roman"/>
        </w:rPr>
        <w:t>Include On- and Off</w:t>
      </w:r>
      <w:r>
        <w:rPr>
          <w:rFonts w:ascii="Times New Roman" w:hAnsi="Times New Roman" w:cs="Times New Roman"/>
        </w:rPr>
        <w:t>-</w:t>
      </w:r>
      <w:r w:rsidRPr="002E7C67">
        <w:rPr>
          <w:rFonts w:ascii="Times New Roman" w:hAnsi="Times New Roman" w:cs="Times New Roman"/>
        </w:rPr>
        <w:t xml:space="preserve">balance sheet items associated with the Banking </w:t>
      </w:r>
      <w:proofErr w:type="gramStart"/>
      <w:r w:rsidRPr="002E7C67">
        <w:rPr>
          <w:rFonts w:ascii="Times New Roman" w:hAnsi="Times New Roman" w:cs="Times New Roman"/>
        </w:rPr>
        <w:t>Book;</w:t>
      </w:r>
      <w:proofErr w:type="gramEnd"/>
    </w:p>
    <w:p w14:paraId="64FDF3A0" w14:textId="77777777" w:rsidR="00271777" w:rsidRDefault="00271777" w:rsidP="00271777">
      <w:pPr>
        <w:pStyle w:val="ListParagraph"/>
        <w:ind w:left="0"/>
        <w:rPr>
          <w:rFonts w:ascii="Times New Roman" w:hAnsi="Times New Roman" w:cs="Times New Roman"/>
        </w:rPr>
      </w:pPr>
    </w:p>
    <w:p w14:paraId="7D782EE4" w14:textId="77777777" w:rsidR="00271777" w:rsidRPr="00430641" w:rsidRDefault="00271777" w:rsidP="00271777">
      <w:pPr>
        <w:spacing w:before="120" w:line="360" w:lineRule="auto"/>
        <w:jc w:val="both"/>
        <w:rPr>
          <w:rFonts w:ascii="Times New Roman" w:hAnsi="Times New Roman" w:cs="Times New Roman"/>
          <w:b/>
        </w:rPr>
      </w:pPr>
      <w:r w:rsidRPr="00430641">
        <w:rPr>
          <w:rFonts w:ascii="Times New Roman" w:hAnsi="Times New Roman" w:cs="Times New Roman"/>
          <w:b/>
        </w:rPr>
        <w:t xml:space="preserve">Data point </w:t>
      </w:r>
      <w:r>
        <w:rPr>
          <w:rFonts w:ascii="Times New Roman" w:hAnsi="Times New Roman" w:cs="Times New Roman"/>
          <w:b/>
        </w:rPr>
        <w:t>20 – Ratio of a</w:t>
      </w:r>
      <w:r w:rsidRPr="003614A3">
        <w:rPr>
          <w:rFonts w:ascii="Times New Roman" w:hAnsi="Times New Roman" w:cs="Times New Roman"/>
          <w:b/>
        </w:rPr>
        <w:t xml:space="preserve">ssets </w:t>
      </w:r>
      <w:r>
        <w:rPr>
          <w:rFonts w:ascii="Times New Roman" w:hAnsi="Times New Roman" w:cs="Times New Roman"/>
          <w:b/>
        </w:rPr>
        <w:t xml:space="preserve">in the banking book </w:t>
      </w:r>
      <w:r w:rsidRPr="003614A3">
        <w:rPr>
          <w:rFonts w:ascii="Times New Roman" w:hAnsi="Times New Roman" w:cs="Times New Roman"/>
          <w:b/>
        </w:rPr>
        <w:t xml:space="preserve">with embedded automatic optionality </w:t>
      </w:r>
      <w:r>
        <w:rPr>
          <w:rFonts w:ascii="Times New Roman" w:hAnsi="Times New Roman" w:cs="Times New Roman"/>
          <w:b/>
        </w:rPr>
        <w:t>over</w:t>
      </w:r>
      <w:r w:rsidRPr="003614A3">
        <w:rPr>
          <w:rFonts w:ascii="Times New Roman" w:hAnsi="Times New Roman" w:cs="Times New Roman"/>
          <w:b/>
        </w:rPr>
        <w:t xml:space="preserve"> </w:t>
      </w:r>
      <w:r>
        <w:rPr>
          <w:rFonts w:ascii="Times New Roman" w:hAnsi="Times New Roman" w:cs="Times New Roman"/>
          <w:b/>
        </w:rPr>
        <w:t>t</w:t>
      </w:r>
      <w:r w:rsidRPr="003614A3">
        <w:rPr>
          <w:rFonts w:ascii="Times New Roman" w:hAnsi="Times New Roman" w:cs="Times New Roman"/>
          <w:b/>
        </w:rPr>
        <w:t xml:space="preserve">otal </w:t>
      </w:r>
      <w:r>
        <w:rPr>
          <w:rFonts w:ascii="Times New Roman" w:hAnsi="Times New Roman" w:cs="Times New Roman"/>
          <w:b/>
        </w:rPr>
        <w:t>a</w:t>
      </w:r>
      <w:r w:rsidRPr="003614A3">
        <w:rPr>
          <w:rFonts w:ascii="Times New Roman" w:hAnsi="Times New Roman" w:cs="Times New Roman"/>
          <w:b/>
        </w:rPr>
        <w:t xml:space="preserve">ssets in the </w:t>
      </w:r>
      <w:r>
        <w:rPr>
          <w:rFonts w:ascii="Times New Roman" w:hAnsi="Times New Roman" w:cs="Times New Roman"/>
          <w:b/>
        </w:rPr>
        <w:t>b</w:t>
      </w:r>
      <w:r w:rsidRPr="003614A3">
        <w:rPr>
          <w:rFonts w:ascii="Times New Roman" w:hAnsi="Times New Roman" w:cs="Times New Roman"/>
          <w:b/>
        </w:rPr>
        <w:t xml:space="preserve">anking </w:t>
      </w:r>
      <w:r>
        <w:rPr>
          <w:rFonts w:ascii="Times New Roman" w:hAnsi="Times New Roman" w:cs="Times New Roman"/>
          <w:b/>
        </w:rPr>
        <w:t>b</w:t>
      </w:r>
      <w:r w:rsidRPr="003614A3">
        <w:rPr>
          <w:rFonts w:ascii="Times New Roman" w:hAnsi="Times New Roman" w:cs="Times New Roman"/>
          <w:b/>
        </w:rPr>
        <w:t>ook</w:t>
      </w:r>
      <w:r>
        <w:rPr>
          <w:rFonts w:ascii="Times New Roman" w:hAnsi="Times New Roman" w:cs="Times New Roman"/>
          <w:b/>
        </w:rPr>
        <w:t xml:space="preserve"> per material currency</w:t>
      </w:r>
    </w:p>
    <w:p w14:paraId="06ABE501" w14:textId="77777777" w:rsidR="00271777" w:rsidRPr="003614A3" w:rsidRDefault="005F4857" w:rsidP="00271777">
      <w:pPr>
        <w:pStyle w:val="ListParagraph"/>
        <w:spacing w:before="120" w:line="360" w:lineRule="auto"/>
        <w:ind w:left="426"/>
        <w:jc w:val="both"/>
        <w:rPr>
          <w:rFonts w:ascii="Times New Roman" w:eastAsiaTheme="minorEastAsia" w:hAnsi="Times New Roman" w:cs="Times New Roman"/>
        </w:rPr>
      </w:pPr>
      <m:oMathPara>
        <m:oMathParaPr>
          <m:jc m:val="center"/>
        </m:oMathParaPr>
        <m:oMath>
          <m:f>
            <m:fPr>
              <m:ctrlPr>
                <w:rPr>
                  <w:rFonts w:ascii="Cambria Math" w:hAnsi="Cambria Math" w:cs="Times New Roman"/>
                  <w:sz w:val="20"/>
                  <w:szCs w:val="20"/>
                </w:rPr>
              </m:ctrlPr>
            </m:fPr>
            <m:num>
              <m:r>
                <m:rPr>
                  <m:sty m:val="p"/>
                </m:rPr>
                <w:rPr>
                  <w:rFonts w:ascii="Cambria Math" w:hAnsi="Cambria Math" w:cs="Times New Roman"/>
                  <w:sz w:val="20"/>
                  <w:szCs w:val="20"/>
                </w:rPr>
                <m:t>Total Assets of the Banking Book with embedded automatic optionality (nominal amount)</m:t>
              </m:r>
            </m:num>
            <m:den>
              <m:r>
                <m:rPr>
                  <m:sty m:val="p"/>
                </m:rPr>
                <w:rPr>
                  <w:rFonts w:ascii="Cambria Math" w:hAnsi="Cambria Math" w:cs="Times New Roman"/>
                  <w:sz w:val="20"/>
                  <w:szCs w:val="20"/>
                </w:rPr>
                <m:t>Total Assets of the Banking Book (nominal amount)</m:t>
              </m:r>
            </m:den>
          </m:f>
        </m:oMath>
      </m:oMathPara>
    </w:p>
    <w:p w14:paraId="0B7D1ABA" w14:textId="77777777" w:rsidR="00271777" w:rsidRDefault="00271777" w:rsidP="00271777">
      <w:pPr>
        <w:pStyle w:val="ListParagraph"/>
        <w:spacing w:before="120" w:line="360" w:lineRule="auto"/>
        <w:ind w:left="426"/>
        <w:jc w:val="both"/>
        <w:rPr>
          <w:rFonts w:ascii="Times New Roman" w:hAnsi="Times New Roman" w:cs="Times New Roman"/>
          <w:b/>
        </w:rPr>
      </w:pPr>
    </w:p>
    <w:p w14:paraId="5977105C" w14:textId="77777777" w:rsidR="00271777" w:rsidRPr="00430641" w:rsidRDefault="00271777" w:rsidP="00271777">
      <w:pPr>
        <w:spacing w:before="120" w:line="360" w:lineRule="auto"/>
        <w:jc w:val="both"/>
        <w:rPr>
          <w:rFonts w:ascii="Times New Roman" w:hAnsi="Times New Roman" w:cs="Times New Roman"/>
          <w:b/>
        </w:rPr>
      </w:pPr>
      <w:r w:rsidRPr="00430641">
        <w:rPr>
          <w:rFonts w:ascii="Times New Roman" w:hAnsi="Times New Roman" w:cs="Times New Roman"/>
          <w:b/>
        </w:rPr>
        <w:t xml:space="preserve">Data point </w:t>
      </w:r>
      <w:r>
        <w:rPr>
          <w:rFonts w:ascii="Times New Roman" w:hAnsi="Times New Roman" w:cs="Times New Roman"/>
          <w:b/>
        </w:rPr>
        <w:t xml:space="preserve">21– Ratio of liabilities in the banking book </w:t>
      </w:r>
      <w:r w:rsidRPr="003614A3">
        <w:rPr>
          <w:rFonts w:ascii="Times New Roman" w:hAnsi="Times New Roman" w:cs="Times New Roman"/>
          <w:b/>
        </w:rPr>
        <w:t xml:space="preserve">with embedded automatic optionality </w:t>
      </w:r>
      <w:r>
        <w:rPr>
          <w:rFonts w:ascii="Times New Roman" w:hAnsi="Times New Roman" w:cs="Times New Roman"/>
          <w:b/>
        </w:rPr>
        <w:t>over</w:t>
      </w:r>
      <w:r w:rsidRPr="003614A3">
        <w:rPr>
          <w:rFonts w:ascii="Times New Roman" w:hAnsi="Times New Roman" w:cs="Times New Roman"/>
          <w:b/>
        </w:rPr>
        <w:t xml:space="preserve"> </w:t>
      </w:r>
      <w:r>
        <w:rPr>
          <w:rFonts w:ascii="Times New Roman" w:hAnsi="Times New Roman" w:cs="Times New Roman"/>
          <w:b/>
        </w:rPr>
        <w:t>t</w:t>
      </w:r>
      <w:r w:rsidRPr="003614A3">
        <w:rPr>
          <w:rFonts w:ascii="Times New Roman" w:hAnsi="Times New Roman" w:cs="Times New Roman"/>
          <w:b/>
        </w:rPr>
        <w:t xml:space="preserve">otal </w:t>
      </w:r>
      <w:r>
        <w:rPr>
          <w:rFonts w:ascii="Times New Roman" w:hAnsi="Times New Roman" w:cs="Times New Roman"/>
          <w:b/>
        </w:rPr>
        <w:t>Liabilities</w:t>
      </w:r>
      <w:r w:rsidRPr="003614A3">
        <w:rPr>
          <w:rFonts w:ascii="Times New Roman" w:hAnsi="Times New Roman" w:cs="Times New Roman"/>
          <w:b/>
        </w:rPr>
        <w:t xml:space="preserve"> in the </w:t>
      </w:r>
      <w:r>
        <w:rPr>
          <w:rFonts w:ascii="Times New Roman" w:hAnsi="Times New Roman" w:cs="Times New Roman"/>
          <w:b/>
        </w:rPr>
        <w:t>b</w:t>
      </w:r>
      <w:r w:rsidRPr="003614A3">
        <w:rPr>
          <w:rFonts w:ascii="Times New Roman" w:hAnsi="Times New Roman" w:cs="Times New Roman"/>
          <w:b/>
        </w:rPr>
        <w:t xml:space="preserve">anking </w:t>
      </w:r>
      <w:r>
        <w:rPr>
          <w:rFonts w:ascii="Times New Roman" w:hAnsi="Times New Roman" w:cs="Times New Roman"/>
          <w:b/>
        </w:rPr>
        <w:t>b</w:t>
      </w:r>
      <w:r w:rsidRPr="003614A3">
        <w:rPr>
          <w:rFonts w:ascii="Times New Roman" w:hAnsi="Times New Roman" w:cs="Times New Roman"/>
          <w:b/>
        </w:rPr>
        <w:t>ook</w:t>
      </w:r>
      <w:r>
        <w:rPr>
          <w:rFonts w:ascii="Times New Roman" w:hAnsi="Times New Roman" w:cs="Times New Roman"/>
          <w:b/>
        </w:rPr>
        <w:t xml:space="preserve"> per material currency</w:t>
      </w:r>
    </w:p>
    <w:p w14:paraId="47BB7B81" w14:textId="77777777" w:rsidR="00271777" w:rsidRPr="003614A3" w:rsidRDefault="005F4857" w:rsidP="00271777">
      <w:pPr>
        <w:pStyle w:val="ListParagraph"/>
        <w:spacing w:before="120" w:line="360" w:lineRule="auto"/>
        <w:ind w:left="426"/>
        <w:jc w:val="both"/>
        <w:rPr>
          <w:rFonts w:ascii="Times New Roman" w:hAnsi="Times New Roman" w:cs="Times New Roman"/>
        </w:rPr>
      </w:pPr>
      <m:oMathPara>
        <m:oMathParaPr>
          <m:jc m:val="center"/>
        </m:oMathParaPr>
        <m:oMath>
          <m:f>
            <m:fPr>
              <m:ctrlPr>
                <w:rPr>
                  <w:rFonts w:ascii="Cambria Math" w:hAnsi="Cambria Math" w:cs="Times New Roman"/>
                  <w:sz w:val="20"/>
                  <w:szCs w:val="20"/>
                </w:rPr>
              </m:ctrlPr>
            </m:fPr>
            <m:num>
              <m:r>
                <m:rPr>
                  <m:sty m:val="p"/>
                </m:rPr>
                <w:rPr>
                  <w:rFonts w:ascii="Cambria Math" w:hAnsi="Cambria Math" w:cs="Times New Roman"/>
                  <w:sz w:val="20"/>
                  <w:szCs w:val="20"/>
                </w:rPr>
                <m:t>Total Liabilities of the Banking Book with embedded automatic optionality (nominal amount)</m:t>
              </m:r>
            </m:num>
            <m:den>
              <m:r>
                <m:rPr>
                  <m:sty m:val="p"/>
                </m:rPr>
                <w:rPr>
                  <w:rFonts w:ascii="Cambria Math" w:hAnsi="Cambria Math" w:cs="Times New Roman"/>
                  <w:sz w:val="20"/>
                  <w:szCs w:val="20"/>
                </w:rPr>
                <m:t>Total Liabilities of the Banking Book (nominal amount)</m:t>
              </m:r>
            </m:den>
          </m:f>
        </m:oMath>
      </m:oMathPara>
    </w:p>
    <w:p w14:paraId="7E7DD4C8" w14:textId="77777777" w:rsidR="00271777" w:rsidRDefault="00271777" w:rsidP="00271777">
      <w:pPr>
        <w:pStyle w:val="ListParagraph"/>
        <w:spacing w:before="120" w:line="360" w:lineRule="auto"/>
        <w:ind w:left="426"/>
        <w:jc w:val="both"/>
        <w:rPr>
          <w:rFonts w:ascii="Times New Roman" w:hAnsi="Times New Roman" w:cs="Times New Roman"/>
          <w:b/>
        </w:rPr>
      </w:pPr>
    </w:p>
    <w:p w14:paraId="3C590374" w14:textId="77777777" w:rsidR="00271777" w:rsidRPr="00430641" w:rsidRDefault="00271777" w:rsidP="00271777">
      <w:pPr>
        <w:spacing w:before="120" w:line="360" w:lineRule="auto"/>
        <w:jc w:val="both"/>
        <w:rPr>
          <w:rFonts w:ascii="Times New Roman" w:hAnsi="Times New Roman" w:cs="Times New Roman"/>
          <w:b/>
        </w:rPr>
      </w:pPr>
      <w:r w:rsidRPr="00430641">
        <w:rPr>
          <w:rFonts w:ascii="Times New Roman" w:hAnsi="Times New Roman" w:cs="Times New Roman"/>
          <w:b/>
        </w:rPr>
        <w:t xml:space="preserve">Data point </w:t>
      </w:r>
      <w:r>
        <w:rPr>
          <w:rFonts w:ascii="Times New Roman" w:hAnsi="Times New Roman" w:cs="Times New Roman"/>
          <w:b/>
        </w:rPr>
        <w:t>22 – Ratio of a</w:t>
      </w:r>
      <w:r w:rsidRPr="003614A3">
        <w:rPr>
          <w:rFonts w:ascii="Times New Roman" w:hAnsi="Times New Roman" w:cs="Times New Roman"/>
          <w:b/>
        </w:rPr>
        <w:t xml:space="preserve">ssets </w:t>
      </w:r>
      <w:r>
        <w:rPr>
          <w:rFonts w:ascii="Times New Roman" w:hAnsi="Times New Roman" w:cs="Times New Roman"/>
          <w:b/>
        </w:rPr>
        <w:t xml:space="preserve">in the banking book </w:t>
      </w:r>
      <w:r w:rsidRPr="003614A3">
        <w:rPr>
          <w:rFonts w:ascii="Times New Roman" w:hAnsi="Times New Roman" w:cs="Times New Roman"/>
          <w:b/>
        </w:rPr>
        <w:t xml:space="preserve">with embedded </w:t>
      </w:r>
      <w:r>
        <w:rPr>
          <w:rFonts w:ascii="Times New Roman" w:hAnsi="Times New Roman" w:cs="Times New Roman"/>
          <w:b/>
        </w:rPr>
        <w:t>behavioural</w:t>
      </w:r>
      <w:r w:rsidRPr="003614A3">
        <w:rPr>
          <w:rFonts w:ascii="Times New Roman" w:hAnsi="Times New Roman" w:cs="Times New Roman"/>
          <w:b/>
        </w:rPr>
        <w:t xml:space="preserve"> optionality </w:t>
      </w:r>
      <w:r>
        <w:rPr>
          <w:rFonts w:ascii="Times New Roman" w:hAnsi="Times New Roman" w:cs="Times New Roman"/>
          <w:b/>
        </w:rPr>
        <w:t>over</w:t>
      </w:r>
      <w:r w:rsidRPr="003614A3">
        <w:rPr>
          <w:rFonts w:ascii="Times New Roman" w:hAnsi="Times New Roman" w:cs="Times New Roman"/>
          <w:b/>
        </w:rPr>
        <w:t xml:space="preserve"> </w:t>
      </w:r>
      <w:r>
        <w:rPr>
          <w:rFonts w:ascii="Times New Roman" w:hAnsi="Times New Roman" w:cs="Times New Roman"/>
          <w:b/>
        </w:rPr>
        <w:t>t</w:t>
      </w:r>
      <w:r w:rsidRPr="003614A3">
        <w:rPr>
          <w:rFonts w:ascii="Times New Roman" w:hAnsi="Times New Roman" w:cs="Times New Roman"/>
          <w:b/>
        </w:rPr>
        <w:t xml:space="preserve">otal </w:t>
      </w:r>
      <w:r>
        <w:rPr>
          <w:rFonts w:ascii="Times New Roman" w:hAnsi="Times New Roman" w:cs="Times New Roman"/>
          <w:b/>
        </w:rPr>
        <w:t>a</w:t>
      </w:r>
      <w:r w:rsidRPr="003614A3">
        <w:rPr>
          <w:rFonts w:ascii="Times New Roman" w:hAnsi="Times New Roman" w:cs="Times New Roman"/>
          <w:b/>
        </w:rPr>
        <w:t xml:space="preserve">ssets in the </w:t>
      </w:r>
      <w:r>
        <w:rPr>
          <w:rFonts w:ascii="Times New Roman" w:hAnsi="Times New Roman" w:cs="Times New Roman"/>
          <w:b/>
        </w:rPr>
        <w:t>b</w:t>
      </w:r>
      <w:r w:rsidRPr="003614A3">
        <w:rPr>
          <w:rFonts w:ascii="Times New Roman" w:hAnsi="Times New Roman" w:cs="Times New Roman"/>
          <w:b/>
        </w:rPr>
        <w:t xml:space="preserve">anking </w:t>
      </w:r>
      <w:r>
        <w:rPr>
          <w:rFonts w:ascii="Times New Roman" w:hAnsi="Times New Roman" w:cs="Times New Roman"/>
          <w:b/>
        </w:rPr>
        <w:t>b</w:t>
      </w:r>
      <w:r w:rsidRPr="003614A3">
        <w:rPr>
          <w:rFonts w:ascii="Times New Roman" w:hAnsi="Times New Roman" w:cs="Times New Roman"/>
          <w:b/>
        </w:rPr>
        <w:t>ook</w:t>
      </w:r>
      <w:r>
        <w:rPr>
          <w:rFonts w:ascii="Times New Roman" w:hAnsi="Times New Roman" w:cs="Times New Roman"/>
          <w:b/>
        </w:rPr>
        <w:t xml:space="preserve"> per material currency</w:t>
      </w:r>
    </w:p>
    <w:p w14:paraId="3DE64A4A" w14:textId="77777777" w:rsidR="00271777" w:rsidRPr="003614A3" w:rsidRDefault="005F4857" w:rsidP="00271777">
      <w:pPr>
        <w:pStyle w:val="ListParagraph"/>
        <w:spacing w:before="120" w:line="360" w:lineRule="auto"/>
        <w:ind w:left="426"/>
        <w:jc w:val="both"/>
        <w:rPr>
          <w:rFonts w:ascii="Times New Roman" w:hAnsi="Times New Roman" w:cs="Times New Roman"/>
        </w:rPr>
      </w:pPr>
      <m:oMathPara>
        <m:oMathParaPr>
          <m:jc m:val="center"/>
        </m:oMathParaPr>
        <m:oMath>
          <m:f>
            <m:fPr>
              <m:ctrlPr>
                <w:rPr>
                  <w:rFonts w:ascii="Cambria Math" w:hAnsi="Cambria Math" w:cs="Times New Roman"/>
                  <w:sz w:val="20"/>
                  <w:szCs w:val="20"/>
                </w:rPr>
              </m:ctrlPr>
            </m:fPr>
            <m:num>
              <m:r>
                <m:rPr>
                  <m:sty m:val="p"/>
                </m:rPr>
                <w:rPr>
                  <w:rFonts w:ascii="Cambria Math" w:hAnsi="Cambria Math" w:cs="Times New Roman"/>
                  <w:sz w:val="20"/>
                  <w:szCs w:val="20"/>
                </w:rPr>
                <m:t>Total Assets of the Banking Book with embedded behavioural optionality (nominal amount)</m:t>
              </m:r>
            </m:num>
            <m:den>
              <m:r>
                <m:rPr>
                  <m:sty m:val="p"/>
                </m:rPr>
                <w:rPr>
                  <w:rFonts w:ascii="Cambria Math" w:hAnsi="Cambria Math" w:cs="Times New Roman"/>
                  <w:sz w:val="20"/>
                  <w:szCs w:val="20"/>
                </w:rPr>
                <m:t>Total Assets of the Banking Book (nominal amount)</m:t>
              </m:r>
            </m:den>
          </m:f>
        </m:oMath>
      </m:oMathPara>
    </w:p>
    <w:p w14:paraId="46BCC7DB" w14:textId="77777777" w:rsidR="00271777" w:rsidRPr="003614A3" w:rsidRDefault="00271777" w:rsidP="00271777">
      <w:pPr>
        <w:pStyle w:val="ListParagraph"/>
        <w:spacing w:before="120" w:line="360" w:lineRule="auto"/>
        <w:ind w:left="426"/>
        <w:jc w:val="both"/>
        <w:rPr>
          <w:rFonts w:ascii="Times New Roman" w:hAnsi="Times New Roman" w:cs="Times New Roman"/>
        </w:rPr>
      </w:pPr>
    </w:p>
    <w:p w14:paraId="534C07A1" w14:textId="77777777" w:rsidR="00271777" w:rsidRPr="00430641" w:rsidRDefault="00271777" w:rsidP="00271777">
      <w:pPr>
        <w:spacing w:before="120" w:line="360" w:lineRule="auto"/>
        <w:jc w:val="both"/>
        <w:rPr>
          <w:rFonts w:ascii="Times New Roman" w:hAnsi="Times New Roman" w:cs="Times New Roman"/>
          <w:b/>
        </w:rPr>
      </w:pPr>
      <w:r w:rsidRPr="00430641">
        <w:rPr>
          <w:rFonts w:ascii="Times New Roman" w:hAnsi="Times New Roman" w:cs="Times New Roman"/>
          <w:b/>
        </w:rPr>
        <w:t xml:space="preserve">Data point </w:t>
      </w:r>
      <w:r>
        <w:rPr>
          <w:rFonts w:ascii="Times New Roman" w:hAnsi="Times New Roman" w:cs="Times New Roman"/>
          <w:b/>
        </w:rPr>
        <w:t>23 – Ratio of liabilities</w:t>
      </w:r>
      <w:r w:rsidRPr="003614A3">
        <w:rPr>
          <w:rFonts w:ascii="Times New Roman" w:hAnsi="Times New Roman" w:cs="Times New Roman"/>
          <w:b/>
        </w:rPr>
        <w:t xml:space="preserve"> </w:t>
      </w:r>
      <w:r>
        <w:rPr>
          <w:rFonts w:ascii="Times New Roman" w:hAnsi="Times New Roman" w:cs="Times New Roman"/>
          <w:b/>
        </w:rPr>
        <w:t xml:space="preserve">in the banking book </w:t>
      </w:r>
      <w:r w:rsidRPr="003614A3">
        <w:rPr>
          <w:rFonts w:ascii="Times New Roman" w:hAnsi="Times New Roman" w:cs="Times New Roman"/>
          <w:b/>
        </w:rPr>
        <w:t xml:space="preserve">with embedded </w:t>
      </w:r>
      <w:r>
        <w:rPr>
          <w:rFonts w:ascii="Times New Roman" w:hAnsi="Times New Roman" w:cs="Times New Roman"/>
          <w:b/>
        </w:rPr>
        <w:t>behavioural optionality over total liabilities</w:t>
      </w:r>
      <w:r w:rsidRPr="003614A3">
        <w:rPr>
          <w:rFonts w:ascii="Times New Roman" w:hAnsi="Times New Roman" w:cs="Times New Roman"/>
          <w:b/>
        </w:rPr>
        <w:t xml:space="preserve"> in the </w:t>
      </w:r>
      <w:r>
        <w:rPr>
          <w:rFonts w:ascii="Times New Roman" w:hAnsi="Times New Roman" w:cs="Times New Roman"/>
          <w:b/>
        </w:rPr>
        <w:t>b</w:t>
      </w:r>
      <w:r w:rsidRPr="003614A3">
        <w:rPr>
          <w:rFonts w:ascii="Times New Roman" w:hAnsi="Times New Roman" w:cs="Times New Roman"/>
          <w:b/>
        </w:rPr>
        <w:t xml:space="preserve">anking </w:t>
      </w:r>
      <w:r>
        <w:rPr>
          <w:rFonts w:ascii="Times New Roman" w:hAnsi="Times New Roman" w:cs="Times New Roman"/>
          <w:b/>
        </w:rPr>
        <w:t>b</w:t>
      </w:r>
      <w:r w:rsidRPr="003614A3">
        <w:rPr>
          <w:rFonts w:ascii="Times New Roman" w:hAnsi="Times New Roman" w:cs="Times New Roman"/>
          <w:b/>
        </w:rPr>
        <w:t>ook</w:t>
      </w:r>
      <w:r>
        <w:rPr>
          <w:rFonts w:ascii="Times New Roman" w:hAnsi="Times New Roman" w:cs="Times New Roman"/>
          <w:b/>
        </w:rPr>
        <w:t xml:space="preserve"> per material currency</w:t>
      </w:r>
    </w:p>
    <w:p w14:paraId="26CD9AFC" w14:textId="77777777" w:rsidR="00271777" w:rsidRPr="00430F45" w:rsidRDefault="005F4857" w:rsidP="00271777">
      <w:pPr>
        <w:spacing w:before="120" w:line="360" w:lineRule="auto"/>
        <w:jc w:val="both"/>
        <w:rPr>
          <w:rFonts w:ascii="Times New Roman" w:eastAsiaTheme="minorEastAsia" w:hAnsi="Times New Roman" w:cs="Times New Roman"/>
          <w:sz w:val="20"/>
          <w:szCs w:val="20"/>
        </w:rPr>
      </w:pPr>
      <m:oMathPara>
        <m:oMath>
          <m:f>
            <m:fPr>
              <m:ctrlPr>
                <w:rPr>
                  <w:rFonts w:ascii="Cambria Math" w:hAnsi="Cambria Math" w:cs="Times New Roman"/>
                  <w:sz w:val="20"/>
                  <w:szCs w:val="20"/>
                </w:rPr>
              </m:ctrlPr>
            </m:fPr>
            <m:num>
              <m:r>
                <m:rPr>
                  <m:sty m:val="p"/>
                </m:rPr>
                <w:rPr>
                  <w:rFonts w:ascii="Cambria Math" w:hAnsi="Cambria Math" w:cs="Times New Roman"/>
                  <w:sz w:val="20"/>
                  <w:szCs w:val="20"/>
                </w:rPr>
                <m:t>Total Liabilities of the Banking Book with embedded behavioural optionality (nominal amount)</m:t>
              </m:r>
            </m:num>
            <m:den>
              <m:r>
                <m:rPr>
                  <m:sty m:val="p"/>
                </m:rPr>
                <w:rPr>
                  <w:rFonts w:ascii="Cambria Math" w:hAnsi="Cambria Math" w:cs="Times New Roman"/>
                  <w:sz w:val="20"/>
                  <w:szCs w:val="20"/>
                </w:rPr>
                <m:t>Total Liabilities of the Banking Book (nominal amount)</m:t>
              </m:r>
            </m:den>
          </m:f>
        </m:oMath>
      </m:oMathPara>
    </w:p>
    <w:p w14:paraId="38BF73D0" w14:textId="77777777" w:rsidR="00271777" w:rsidRPr="00BD2510" w:rsidRDefault="00271777" w:rsidP="00271777">
      <w:pPr>
        <w:spacing w:before="120" w:line="360" w:lineRule="auto"/>
        <w:jc w:val="both"/>
        <w:rPr>
          <w:rFonts w:ascii="Times New Roman" w:hAnsi="Times New Roman" w:cs="Times New Roman"/>
          <w:b/>
          <w:sz w:val="20"/>
          <w:szCs w:val="20"/>
        </w:rPr>
      </w:pPr>
    </w:p>
    <w:p w14:paraId="23CACA3B" w14:textId="77777777" w:rsidR="00271777" w:rsidRDefault="00271777" w:rsidP="00271777">
      <w:pPr>
        <w:spacing w:before="120" w:line="360" w:lineRule="auto"/>
        <w:jc w:val="both"/>
        <w:rPr>
          <w:rFonts w:ascii="Times New Roman" w:hAnsi="Times New Roman" w:cs="Times New Roman"/>
          <w:b/>
        </w:rPr>
      </w:pPr>
      <w:r>
        <w:rPr>
          <w:rFonts w:ascii="Times New Roman" w:hAnsi="Times New Roman" w:cs="Times New Roman"/>
          <w:b/>
        </w:rPr>
        <w:t>Section “Questions”</w:t>
      </w:r>
    </w:p>
    <w:p w14:paraId="35BD00D7"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r w:rsidRPr="00BD66EE">
        <w:rPr>
          <w:rFonts w:ascii="Times New Roman" w:hAnsi="Times New Roman" w:cs="Times New Roman"/>
        </w:rPr>
        <w:t xml:space="preserve">According to </w:t>
      </w:r>
      <w:r>
        <w:rPr>
          <w:rFonts w:ascii="Times New Roman" w:hAnsi="Times New Roman" w:cs="Times New Roman"/>
        </w:rPr>
        <w:t xml:space="preserve">paragraph 113 and 114 of the </w:t>
      </w:r>
      <w:r w:rsidRPr="00BD66EE">
        <w:rPr>
          <w:rFonts w:ascii="Times New Roman" w:hAnsi="Times New Roman" w:cs="Times New Roman"/>
        </w:rPr>
        <w:t>EBA</w:t>
      </w:r>
      <w:r>
        <w:rPr>
          <w:rFonts w:ascii="Times New Roman" w:hAnsi="Times New Roman" w:cs="Times New Roman"/>
        </w:rPr>
        <w:t>/</w:t>
      </w:r>
      <w:r w:rsidRPr="00BD66EE">
        <w:rPr>
          <w:rFonts w:ascii="Times New Roman" w:hAnsi="Times New Roman" w:cs="Times New Roman"/>
        </w:rPr>
        <w:t>GL</w:t>
      </w:r>
      <w:r>
        <w:rPr>
          <w:rFonts w:ascii="Times New Roman" w:hAnsi="Times New Roman" w:cs="Times New Roman"/>
        </w:rPr>
        <w:t>/2018/02, institutions</w:t>
      </w:r>
      <w:r w:rsidRPr="003E1C2A">
        <w:rPr>
          <w:rFonts w:ascii="Times New Roman" w:hAnsi="Times New Roman"/>
        </w:rPr>
        <w:t xml:space="preserve"> should </w:t>
      </w:r>
      <w:r>
        <w:rPr>
          <w:rFonts w:ascii="Times New Roman" w:hAnsi="Times New Roman" w:cs="Times New Roman"/>
        </w:rPr>
        <w:t>regularly compute</w:t>
      </w:r>
      <w:r w:rsidRPr="003E1C2A">
        <w:rPr>
          <w:rFonts w:ascii="Times New Roman" w:hAnsi="Times New Roman"/>
        </w:rPr>
        <w:t xml:space="preserve"> the change in </w:t>
      </w:r>
      <w:r>
        <w:rPr>
          <w:rFonts w:ascii="Times New Roman" w:hAnsi="Times New Roman"/>
        </w:rPr>
        <w:t>EVE</w:t>
      </w:r>
      <w:r>
        <w:rPr>
          <w:rFonts w:ascii="Times New Roman" w:hAnsi="Times New Roman" w:cs="Times New Roman"/>
        </w:rPr>
        <w:t xml:space="preserve"> </w:t>
      </w:r>
      <w:r w:rsidRPr="003E1C2A">
        <w:rPr>
          <w:rFonts w:ascii="Times New Roman" w:hAnsi="Times New Roman"/>
        </w:rPr>
        <w:t xml:space="preserve">that results from calculating the outcome of the </w:t>
      </w:r>
      <w:r>
        <w:rPr>
          <w:rFonts w:ascii="Times New Roman" w:hAnsi="Times New Roman" w:cs="Times New Roman"/>
        </w:rPr>
        <w:t>two supervisory outlier tests</w:t>
      </w:r>
      <w:r w:rsidRPr="003E1C2A">
        <w:rPr>
          <w:rFonts w:ascii="Times New Roman" w:hAnsi="Times New Roman"/>
        </w:rPr>
        <w:t xml:space="preserve"> referred in </w:t>
      </w:r>
      <w:r>
        <w:rPr>
          <w:rFonts w:ascii="Times New Roman" w:hAnsi="Times New Roman" w:cs="Times New Roman"/>
        </w:rPr>
        <w:t>those paragraphs</w:t>
      </w:r>
      <w:r w:rsidRPr="00430F45">
        <w:rPr>
          <w:rFonts w:ascii="Times New Roman" w:hAnsi="Times New Roman" w:cs="Times New Roman"/>
          <w:sz w:val="16"/>
        </w:rPr>
        <w:t>.</w:t>
      </w:r>
      <w:r>
        <w:rPr>
          <w:rFonts w:ascii="Times New Roman" w:hAnsi="Times New Roman" w:cs="Times New Roman"/>
        </w:rPr>
        <w:t xml:space="preserve"> </w:t>
      </w:r>
    </w:p>
    <w:p w14:paraId="2ED615EB"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r w:rsidRPr="00BD66EE">
        <w:rPr>
          <w:rFonts w:ascii="Times New Roman" w:hAnsi="Times New Roman" w:cs="Times New Roman"/>
        </w:rPr>
        <w:t xml:space="preserve">When calculating the outcome of the </w:t>
      </w:r>
      <w:r>
        <w:rPr>
          <w:rFonts w:ascii="Times New Roman" w:hAnsi="Times New Roman" w:cs="Times New Roman"/>
        </w:rPr>
        <w:t>supervisory outlier test</w:t>
      </w:r>
      <w:r w:rsidRPr="00BD66EE">
        <w:rPr>
          <w:rFonts w:ascii="Times New Roman" w:hAnsi="Times New Roman" w:cs="Times New Roman"/>
        </w:rPr>
        <w:t xml:space="preserve">, institutions should apply </w:t>
      </w:r>
      <w:r>
        <w:rPr>
          <w:rFonts w:ascii="Times New Roman" w:hAnsi="Times New Roman" w:cs="Times New Roman"/>
        </w:rPr>
        <w:t xml:space="preserve">the principles reflected in the EBA/GL/2018/02, and </w:t>
      </w:r>
      <w:proofErr w:type="gramStart"/>
      <w:r>
        <w:rPr>
          <w:rFonts w:ascii="Times New Roman" w:hAnsi="Times New Roman" w:cs="Times New Roman"/>
        </w:rPr>
        <w:t>in particular the</w:t>
      </w:r>
      <w:proofErr w:type="gramEnd"/>
      <w:r>
        <w:rPr>
          <w:rFonts w:ascii="Times New Roman" w:hAnsi="Times New Roman" w:cs="Times New Roman"/>
        </w:rPr>
        <w:t xml:space="preserve"> ones reflected in the paragraph 115</w:t>
      </w:r>
      <w:r w:rsidRPr="00430F45">
        <w:rPr>
          <w:rFonts w:ascii="Times New Roman" w:hAnsi="Times New Roman" w:cs="Times New Roman"/>
          <w:sz w:val="16"/>
        </w:rPr>
        <w:t>.</w:t>
      </w:r>
      <w:r>
        <w:rPr>
          <w:rFonts w:ascii="Times New Roman" w:hAnsi="Times New Roman" w:cs="Times New Roman"/>
        </w:rPr>
        <w:t xml:space="preserve"> However, institutions may apply </w:t>
      </w:r>
      <w:r w:rsidRPr="00BD66EE">
        <w:rPr>
          <w:rFonts w:ascii="Times New Roman" w:hAnsi="Times New Roman" w:cs="Times New Roman"/>
        </w:rPr>
        <w:t xml:space="preserve">some </w:t>
      </w:r>
      <w:r>
        <w:rPr>
          <w:rFonts w:ascii="Times New Roman" w:hAnsi="Times New Roman" w:cs="Times New Roman"/>
        </w:rPr>
        <w:t xml:space="preserve">internal </w:t>
      </w:r>
      <w:r w:rsidRPr="00BD66EE">
        <w:rPr>
          <w:rFonts w:ascii="Times New Roman" w:hAnsi="Times New Roman" w:cs="Times New Roman"/>
        </w:rPr>
        <w:t>assumptions</w:t>
      </w:r>
      <w:r>
        <w:rPr>
          <w:rFonts w:ascii="Times New Roman" w:hAnsi="Times New Roman" w:cs="Times New Roman"/>
        </w:rPr>
        <w:t xml:space="preserve"> and different methodologies listed in the guidelines</w:t>
      </w:r>
      <w:r w:rsidRPr="00430F45">
        <w:rPr>
          <w:rFonts w:ascii="Times New Roman" w:hAnsi="Times New Roman" w:cs="Times New Roman"/>
          <w:sz w:val="16"/>
        </w:rPr>
        <w:t>.</w:t>
      </w:r>
      <w:r w:rsidRPr="00BD66EE">
        <w:rPr>
          <w:rFonts w:ascii="Times New Roman" w:hAnsi="Times New Roman" w:cs="Times New Roman"/>
        </w:rPr>
        <w:t xml:space="preserve"> </w:t>
      </w:r>
    </w:p>
    <w:p w14:paraId="66139BBB" w14:textId="77777777" w:rsidR="00271777" w:rsidRPr="00BD66EE" w:rsidRDefault="00271777" w:rsidP="00271777">
      <w:pPr>
        <w:pStyle w:val="ListParagraph"/>
        <w:numPr>
          <w:ilvl w:val="0"/>
          <w:numId w:val="2"/>
        </w:numPr>
        <w:spacing w:before="120" w:line="360" w:lineRule="auto"/>
        <w:ind w:left="426"/>
        <w:jc w:val="both"/>
        <w:rPr>
          <w:rFonts w:ascii="Times New Roman" w:hAnsi="Times New Roman" w:cs="Times New Roman"/>
        </w:rPr>
      </w:pPr>
      <w:r>
        <w:rPr>
          <w:rFonts w:ascii="Times New Roman" w:hAnsi="Times New Roman" w:cs="Times New Roman"/>
        </w:rPr>
        <w:t xml:space="preserve">When computing the NII/earnings metrics, </w:t>
      </w:r>
      <w:r w:rsidRPr="00BD66EE">
        <w:rPr>
          <w:rFonts w:ascii="Times New Roman" w:hAnsi="Times New Roman" w:cs="Times New Roman"/>
        </w:rPr>
        <w:t xml:space="preserve">institutions should apply </w:t>
      </w:r>
      <w:r>
        <w:rPr>
          <w:rFonts w:ascii="Times New Roman" w:hAnsi="Times New Roman" w:cs="Times New Roman"/>
        </w:rPr>
        <w:t>the general principles reflected in the EBA/GL/2018/02, but also their internal assumptions and different methodologies listed in the guidelines</w:t>
      </w:r>
      <w:r w:rsidRPr="00430F45">
        <w:rPr>
          <w:rFonts w:ascii="Times New Roman" w:hAnsi="Times New Roman" w:cs="Times New Roman"/>
          <w:sz w:val="16"/>
        </w:rPr>
        <w:t>.</w:t>
      </w:r>
    </w:p>
    <w:p w14:paraId="194A3A17"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proofErr w:type="gramStart"/>
      <w:r>
        <w:rPr>
          <w:rFonts w:ascii="Times New Roman" w:hAnsi="Times New Roman" w:cs="Times New Roman"/>
        </w:rPr>
        <w:t>In order to</w:t>
      </w:r>
      <w:proofErr w:type="gramEnd"/>
      <w:r>
        <w:rPr>
          <w:rFonts w:ascii="Times New Roman" w:hAnsi="Times New Roman" w:cs="Times New Roman"/>
        </w:rPr>
        <w:t xml:space="preserve"> gather critical information for understanding the calculations or the methodologies used for the calculation of the supervisory shock, institutions are required to answer a few questions included in Template “</w:t>
      </w:r>
      <w:r w:rsidRPr="003E1C2A">
        <w:rPr>
          <w:rFonts w:ascii="Times New Roman" w:hAnsi="Times New Roman"/>
          <w:b/>
          <w:color w:val="1F497D" w:themeColor="text2"/>
        </w:rPr>
        <w:t>InterestRate_</w:t>
      </w:r>
      <w:r w:rsidRPr="00C85864">
        <w:rPr>
          <w:rFonts w:ascii="Times New Roman" w:eastAsiaTheme="majorEastAsia" w:hAnsi="Times New Roman" w:cs="Times New Roman"/>
          <w:b/>
          <w:color w:val="1F497D" w:themeColor="text2"/>
          <w:szCs w:val="24"/>
        </w:rPr>
        <w:t>Additional</w:t>
      </w:r>
      <w:r>
        <w:rPr>
          <w:rFonts w:ascii="Times New Roman" w:hAnsi="Times New Roman" w:cs="Times New Roman"/>
        </w:rPr>
        <w:t>”</w:t>
      </w:r>
      <w:r w:rsidRPr="00430F45">
        <w:rPr>
          <w:rFonts w:ascii="Times New Roman" w:hAnsi="Times New Roman" w:cs="Times New Roman"/>
          <w:sz w:val="16"/>
        </w:rPr>
        <w:t>.</w:t>
      </w:r>
    </w:p>
    <w:p w14:paraId="4FA34013" w14:textId="77777777" w:rsidR="00271777" w:rsidRPr="00C85864" w:rsidRDefault="00271777" w:rsidP="00271777">
      <w:pPr>
        <w:spacing w:before="120" w:line="360" w:lineRule="auto"/>
        <w:jc w:val="both"/>
        <w:rPr>
          <w:rFonts w:ascii="Times New Roman" w:hAnsi="Times New Roman" w:cs="Times New Roman"/>
          <w:b/>
        </w:rPr>
      </w:pPr>
      <w:r w:rsidRPr="00C85864">
        <w:rPr>
          <w:rFonts w:ascii="Times New Roman" w:hAnsi="Times New Roman" w:cs="Times New Roman"/>
          <w:b/>
        </w:rPr>
        <w:t>Question 1</w:t>
      </w:r>
    </w:p>
    <w:p w14:paraId="44DDE9D3" w14:textId="77777777" w:rsidR="00271777" w:rsidRPr="003E1C2A" w:rsidRDefault="00271777" w:rsidP="00271777">
      <w:pPr>
        <w:spacing w:before="120" w:line="360" w:lineRule="auto"/>
        <w:jc w:val="both"/>
        <w:rPr>
          <w:rFonts w:ascii="Times New Roman" w:hAnsi="Times New Roman"/>
          <w:b/>
        </w:rPr>
      </w:pPr>
      <w:r w:rsidRPr="003E1C2A">
        <w:rPr>
          <w:rFonts w:ascii="Times New Roman" w:hAnsi="Times New Roman"/>
          <w:b/>
        </w:rPr>
        <w:t>“</w:t>
      </w:r>
      <w:r w:rsidRPr="00C85864">
        <w:rPr>
          <w:rFonts w:ascii="Times New Roman" w:hAnsi="Times New Roman" w:cs="Times New Roman"/>
          <w:b/>
          <w:i/>
        </w:rPr>
        <w:t xml:space="preserve">Does the institution have more than </w:t>
      </w:r>
      <w:r>
        <w:rPr>
          <w:rFonts w:ascii="Times New Roman" w:hAnsi="Times New Roman" w:cs="Times New Roman"/>
          <w:b/>
          <w:i/>
        </w:rPr>
        <w:t>four</w:t>
      </w:r>
      <w:r w:rsidRPr="00C85864">
        <w:rPr>
          <w:rFonts w:ascii="Times New Roman" w:hAnsi="Times New Roman" w:cs="Times New Roman"/>
          <w:b/>
          <w:i/>
        </w:rPr>
        <w:t xml:space="preserve"> material currencies according</w:t>
      </w:r>
      <w:r w:rsidRPr="003E1C2A">
        <w:rPr>
          <w:rFonts w:ascii="Times New Roman" w:hAnsi="Times New Roman"/>
          <w:b/>
          <w:i/>
        </w:rPr>
        <w:t xml:space="preserve"> to paragraph </w:t>
      </w:r>
      <w:r w:rsidRPr="00C85864">
        <w:rPr>
          <w:rFonts w:ascii="Times New Roman" w:hAnsi="Times New Roman" w:cs="Times New Roman"/>
          <w:b/>
          <w:i/>
        </w:rPr>
        <w:t>115(l)?</w:t>
      </w:r>
      <w:r w:rsidRPr="003E1C2A">
        <w:rPr>
          <w:rFonts w:ascii="Times New Roman" w:hAnsi="Times New Roman"/>
          <w:b/>
          <w:i/>
        </w:rPr>
        <w:t xml:space="preserve"> If </w:t>
      </w:r>
      <w:r w:rsidRPr="00C85864">
        <w:rPr>
          <w:rFonts w:ascii="Times New Roman" w:hAnsi="Times New Roman" w:cs="Times New Roman"/>
          <w:b/>
          <w:i/>
        </w:rPr>
        <w:t xml:space="preserve">yes, please provide a list of which material currencies are excluded from reporting templates IRRBB Material Currency </w:t>
      </w:r>
      <w:r>
        <w:rPr>
          <w:rFonts w:ascii="Times New Roman" w:hAnsi="Times New Roman" w:cs="Times New Roman"/>
          <w:b/>
          <w:i/>
        </w:rPr>
        <w:t xml:space="preserve">1 to 4 </w:t>
      </w:r>
      <w:r w:rsidRPr="00C85864">
        <w:rPr>
          <w:rFonts w:ascii="Times New Roman" w:hAnsi="Times New Roman" w:cs="Times New Roman"/>
          <w:b/>
          <w:i/>
        </w:rPr>
        <w:t>using the currency ISO codes, as well as the specified</w:t>
      </w:r>
      <w:r w:rsidRPr="003E1C2A">
        <w:rPr>
          <w:rFonts w:ascii="Times New Roman" w:hAnsi="Times New Roman"/>
          <w:b/>
          <w:i/>
        </w:rPr>
        <w:t xml:space="preserve"> interest rate </w:t>
      </w:r>
      <w:r w:rsidRPr="00C85864">
        <w:rPr>
          <w:rFonts w:ascii="Times New Roman" w:hAnsi="Times New Roman" w:cs="Times New Roman"/>
          <w:b/>
          <w:i/>
        </w:rPr>
        <w:t xml:space="preserve">shock used according to </w:t>
      </w:r>
      <w:r w:rsidRPr="003E1C2A">
        <w:rPr>
          <w:rFonts w:ascii="Times New Roman" w:hAnsi="Times New Roman"/>
          <w:b/>
          <w:i/>
        </w:rPr>
        <w:t xml:space="preserve">the methodology </w:t>
      </w:r>
      <w:r w:rsidRPr="00C85864">
        <w:rPr>
          <w:rFonts w:ascii="Times New Roman" w:hAnsi="Times New Roman" w:cs="Times New Roman"/>
          <w:b/>
          <w:i/>
        </w:rPr>
        <w:t>prescribed in Annex III of the EBA/GL/2018/02</w:t>
      </w:r>
      <w:r w:rsidRPr="00430F45">
        <w:rPr>
          <w:rFonts w:ascii="Times New Roman" w:hAnsi="Times New Roman" w:cs="Times New Roman"/>
          <w:b/>
          <w:i/>
          <w:sz w:val="16"/>
        </w:rPr>
        <w:t>.</w:t>
      </w:r>
      <w:r>
        <w:rPr>
          <w:rFonts w:ascii="Times New Roman" w:hAnsi="Times New Roman" w:cs="Times New Roman"/>
          <w:b/>
        </w:rPr>
        <w:t>”</w:t>
      </w:r>
    </w:p>
    <w:p w14:paraId="10602417" w14:textId="77777777" w:rsidR="00271777" w:rsidRPr="00C85864" w:rsidRDefault="00271777" w:rsidP="00271777">
      <w:pPr>
        <w:pStyle w:val="ListParagraph"/>
        <w:numPr>
          <w:ilvl w:val="0"/>
          <w:numId w:val="2"/>
        </w:numPr>
        <w:spacing w:before="120" w:line="360" w:lineRule="auto"/>
        <w:ind w:left="426"/>
        <w:jc w:val="both"/>
        <w:rPr>
          <w:rFonts w:ascii="Times New Roman" w:hAnsi="Times New Roman" w:cs="Times New Roman"/>
          <w:b/>
        </w:rPr>
      </w:pPr>
      <w:proofErr w:type="gramStart"/>
      <w:r w:rsidRPr="00CB01EF">
        <w:rPr>
          <w:rFonts w:ascii="Times New Roman" w:hAnsi="Times New Roman" w:cs="Times New Roman"/>
        </w:rPr>
        <w:t>In order to</w:t>
      </w:r>
      <w:proofErr w:type="gramEnd"/>
      <w:r w:rsidRPr="00CB01EF">
        <w:rPr>
          <w:rFonts w:ascii="Times New Roman" w:hAnsi="Times New Roman" w:cs="Times New Roman"/>
        </w:rPr>
        <w:t xml:space="preserve"> gather information on the material currencies which do not have detailed information in the </w:t>
      </w:r>
      <w:r>
        <w:rPr>
          <w:rFonts w:ascii="Times New Roman" w:hAnsi="Times New Roman" w:cs="Times New Roman"/>
        </w:rPr>
        <w:t>q</w:t>
      </w:r>
      <w:r w:rsidRPr="00CB01EF">
        <w:rPr>
          <w:rFonts w:ascii="Times New Roman" w:hAnsi="Times New Roman" w:cs="Times New Roman"/>
        </w:rPr>
        <w:t>uantitative section, institutions are invited to provide a list of the material currencies included in the main metrics of IRRBB computed, and with regards to the supervisory outlier test under paragraph 114 of the EBA/GL/2018/02, the size of the interest rate shocks applied per currency</w:t>
      </w:r>
      <w:r w:rsidRPr="00430F45">
        <w:rPr>
          <w:rFonts w:ascii="Times New Roman" w:hAnsi="Times New Roman" w:cs="Times New Roman"/>
          <w:sz w:val="16"/>
        </w:rPr>
        <w:t>.</w:t>
      </w:r>
    </w:p>
    <w:p w14:paraId="53553110" w14:textId="77777777" w:rsidR="00271777" w:rsidRPr="00A763CF" w:rsidRDefault="00271777" w:rsidP="00271777">
      <w:pPr>
        <w:spacing w:before="120" w:line="360" w:lineRule="auto"/>
        <w:jc w:val="both"/>
        <w:rPr>
          <w:rFonts w:ascii="Times New Roman" w:hAnsi="Times New Roman" w:cs="Times New Roman"/>
          <w:b/>
        </w:rPr>
      </w:pPr>
      <w:r w:rsidRPr="00A763CF">
        <w:rPr>
          <w:rFonts w:ascii="Times New Roman" w:hAnsi="Times New Roman" w:cs="Times New Roman"/>
          <w:b/>
        </w:rPr>
        <w:t xml:space="preserve">Question </w:t>
      </w:r>
      <w:r>
        <w:rPr>
          <w:rFonts w:ascii="Times New Roman" w:hAnsi="Times New Roman" w:cs="Times New Roman"/>
          <w:b/>
        </w:rPr>
        <w:t>2</w:t>
      </w:r>
    </w:p>
    <w:p w14:paraId="06482130" w14:textId="77777777" w:rsidR="00271777" w:rsidRDefault="00271777" w:rsidP="00271777">
      <w:pPr>
        <w:spacing w:before="120" w:line="360" w:lineRule="auto"/>
        <w:jc w:val="both"/>
        <w:rPr>
          <w:rFonts w:ascii="Times New Roman" w:hAnsi="Times New Roman" w:cs="Times New Roman"/>
          <w:b/>
          <w:i/>
        </w:rPr>
      </w:pPr>
      <w:r>
        <w:rPr>
          <w:rFonts w:ascii="Times New Roman" w:hAnsi="Times New Roman" w:cs="Times New Roman"/>
          <w:b/>
          <w:i/>
        </w:rPr>
        <w:t>“</w:t>
      </w:r>
      <w:r w:rsidRPr="00D25040">
        <w:rPr>
          <w:rFonts w:ascii="Times New Roman" w:hAnsi="Times New Roman" w:cs="Times New Roman"/>
          <w:b/>
          <w:i/>
        </w:rPr>
        <w:t>Which risk-free yield curves have been used in order to compute the supervisory standard shock?</w:t>
      </w:r>
      <w:r>
        <w:rPr>
          <w:rFonts w:ascii="Times New Roman" w:hAnsi="Times New Roman" w:cs="Times New Roman"/>
          <w:b/>
          <w:i/>
        </w:rPr>
        <w:t>”</w:t>
      </w:r>
    </w:p>
    <w:p w14:paraId="182DD0E8" w14:textId="77777777" w:rsidR="00271777" w:rsidRPr="00FA1A1F" w:rsidRDefault="00271777" w:rsidP="00271777">
      <w:pPr>
        <w:pStyle w:val="ListParagraph"/>
        <w:numPr>
          <w:ilvl w:val="0"/>
          <w:numId w:val="2"/>
        </w:numPr>
        <w:spacing w:before="120" w:line="360" w:lineRule="auto"/>
        <w:ind w:left="426"/>
        <w:jc w:val="both"/>
        <w:rPr>
          <w:rFonts w:ascii="Times New Roman" w:hAnsi="Times New Roman" w:cs="Times New Roman"/>
        </w:rPr>
      </w:pPr>
      <w:r w:rsidRPr="00FA1A1F">
        <w:rPr>
          <w:rFonts w:ascii="Times New Roman" w:hAnsi="Times New Roman" w:cs="Times New Roman"/>
        </w:rPr>
        <w:lastRenderedPageBreak/>
        <w:t xml:space="preserve">According to paragraph </w:t>
      </w:r>
      <w:r>
        <w:rPr>
          <w:rFonts w:ascii="Times New Roman" w:hAnsi="Times New Roman" w:cs="Times New Roman"/>
        </w:rPr>
        <w:t>115(n)</w:t>
      </w:r>
      <w:r w:rsidRPr="00FA1A1F">
        <w:rPr>
          <w:rFonts w:ascii="Times New Roman" w:hAnsi="Times New Roman" w:cs="Times New Roman"/>
        </w:rPr>
        <w:t xml:space="preserve"> of the EBA</w:t>
      </w:r>
      <w:r>
        <w:rPr>
          <w:rFonts w:ascii="Times New Roman" w:hAnsi="Times New Roman" w:cs="Times New Roman"/>
        </w:rPr>
        <w:t>/GL/2018/02</w:t>
      </w:r>
      <w:r w:rsidRPr="00FA1A1F">
        <w:rPr>
          <w:rFonts w:ascii="Times New Roman" w:hAnsi="Times New Roman" w:cs="Times New Roman"/>
        </w:rPr>
        <w:t xml:space="preserve">, an appropriate general ‘risk-free’ yield curve </w:t>
      </w:r>
      <w:r>
        <w:rPr>
          <w:rFonts w:ascii="Times New Roman" w:hAnsi="Times New Roman" w:cs="Times New Roman"/>
        </w:rPr>
        <w:t xml:space="preserve">per currency </w:t>
      </w:r>
      <w:r w:rsidRPr="00FA1A1F">
        <w:rPr>
          <w:rFonts w:ascii="Times New Roman" w:hAnsi="Times New Roman" w:cs="Times New Roman"/>
        </w:rPr>
        <w:t>should be applied</w:t>
      </w:r>
      <w:r w:rsidRPr="00430F45">
        <w:rPr>
          <w:rFonts w:ascii="Times New Roman" w:hAnsi="Times New Roman" w:cs="Times New Roman"/>
          <w:sz w:val="16"/>
        </w:rPr>
        <w:t>.</w:t>
      </w:r>
      <w:r w:rsidRPr="00FA1A1F">
        <w:rPr>
          <w:rFonts w:ascii="Times New Roman" w:hAnsi="Times New Roman" w:cs="Times New Roman"/>
        </w:rPr>
        <w:t xml:space="preserve"> That curve should </w:t>
      </w:r>
      <w:r w:rsidRPr="003E1C2A">
        <w:rPr>
          <w:rFonts w:ascii="Times New Roman" w:hAnsi="Times New Roman"/>
        </w:rPr>
        <w:t>not</w:t>
      </w:r>
      <w:r w:rsidRPr="00FA1A1F">
        <w:rPr>
          <w:rFonts w:ascii="Times New Roman" w:hAnsi="Times New Roman" w:cs="Times New Roman"/>
        </w:rPr>
        <w:t xml:space="preserve"> include instrument-specific or entity-specific </w:t>
      </w:r>
      <w:r>
        <w:rPr>
          <w:rFonts w:ascii="Times New Roman" w:hAnsi="Times New Roman" w:cs="Times New Roman"/>
        </w:rPr>
        <w:t xml:space="preserve">spreads such as </w:t>
      </w:r>
      <w:r w:rsidRPr="00FA1A1F">
        <w:rPr>
          <w:rFonts w:ascii="Times New Roman" w:hAnsi="Times New Roman" w:cs="Times New Roman"/>
        </w:rPr>
        <w:t>credit risk spreads or liquidity risk spreads</w:t>
      </w:r>
      <w:r w:rsidRPr="00430F45">
        <w:rPr>
          <w:rFonts w:ascii="Times New Roman" w:hAnsi="Times New Roman" w:cs="Times New Roman"/>
          <w:sz w:val="16"/>
        </w:rPr>
        <w:t>.</w:t>
      </w:r>
    </w:p>
    <w:p w14:paraId="30B41D0A" w14:textId="77777777" w:rsidR="00271777" w:rsidRPr="00FA1A1F" w:rsidRDefault="00271777" w:rsidP="00271777">
      <w:pPr>
        <w:pStyle w:val="ListParagraph"/>
        <w:numPr>
          <w:ilvl w:val="0"/>
          <w:numId w:val="2"/>
        </w:numPr>
        <w:spacing w:before="120" w:line="360" w:lineRule="auto"/>
        <w:ind w:left="426"/>
        <w:jc w:val="both"/>
        <w:rPr>
          <w:rFonts w:ascii="Times New Roman" w:hAnsi="Times New Roman" w:cs="Times New Roman"/>
        </w:rPr>
      </w:pPr>
      <w:r>
        <w:rPr>
          <w:rFonts w:ascii="Times New Roman" w:hAnsi="Times New Roman" w:cs="Times New Roman"/>
        </w:rPr>
        <w:t>As such, p</w:t>
      </w:r>
      <w:r w:rsidRPr="00FA1A1F">
        <w:rPr>
          <w:rFonts w:ascii="Times New Roman" w:hAnsi="Times New Roman" w:cs="Times New Roman"/>
        </w:rPr>
        <w:t xml:space="preserve">lease clarify which ‘risk-free’ yield curves have been used in the calculations of the standard shock for each of the </w:t>
      </w:r>
      <w:r>
        <w:rPr>
          <w:rFonts w:ascii="Times New Roman" w:hAnsi="Times New Roman" w:cs="Times New Roman"/>
        </w:rPr>
        <w:t>material currencies included in the computation of the standard shock, and the relevant modelling assumptions to derive specific interest rates (</w:t>
      </w:r>
      <w:proofErr w:type="gramStart"/>
      <w:r>
        <w:rPr>
          <w:rFonts w:ascii="Times New Roman" w:hAnsi="Times New Roman" w:cs="Times New Roman"/>
        </w:rPr>
        <w:t>e</w:t>
      </w:r>
      <w:r w:rsidRPr="00430F45">
        <w:rPr>
          <w:rFonts w:ascii="Times New Roman" w:hAnsi="Times New Roman" w:cs="Times New Roman"/>
          <w:sz w:val="16"/>
        </w:rPr>
        <w:t>.</w:t>
      </w:r>
      <w:r>
        <w:rPr>
          <w:rFonts w:ascii="Times New Roman" w:hAnsi="Times New Roman" w:cs="Times New Roman"/>
        </w:rPr>
        <w:t>g</w:t>
      </w:r>
      <w:r w:rsidRPr="00430F45">
        <w:rPr>
          <w:rFonts w:ascii="Times New Roman" w:hAnsi="Times New Roman" w:cs="Times New Roman"/>
          <w:sz w:val="16"/>
        </w:rPr>
        <w:t>.</w:t>
      </w:r>
      <w:proofErr w:type="gramEnd"/>
      <w:r>
        <w:rPr>
          <w:rFonts w:ascii="Times New Roman" w:hAnsi="Times New Roman" w:cs="Times New Roman"/>
        </w:rPr>
        <w:t xml:space="preserve"> interpolation methods, etc)</w:t>
      </w:r>
      <w:r w:rsidRPr="00430F45">
        <w:rPr>
          <w:rFonts w:ascii="Times New Roman" w:hAnsi="Times New Roman" w:cs="Times New Roman"/>
          <w:sz w:val="16"/>
        </w:rPr>
        <w:t>.</w:t>
      </w:r>
    </w:p>
    <w:p w14:paraId="08CACA6C" w14:textId="77777777" w:rsidR="00271777" w:rsidRPr="009149BB" w:rsidRDefault="00271777" w:rsidP="00271777">
      <w:pPr>
        <w:tabs>
          <w:tab w:val="left" w:pos="1570"/>
        </w:tabs>
        <w:spacing w:before="120" w:line="360" w:lineRule="auto"/>
        <w:jc w:val="both"/>
        <w:rPr>
          <w:rFonts w:ascii="Times New Roman" w:hAnsi="Times New Roman" w:cs="Times New Roman"/>
          <w:b/>
        </w:rPr>
      </w:pPr>
      <w:r w:rsidRPr="009149BB">
        <w:rPr>
          <w:rFonts w:ascii="Times New Roman" w:hAnsi="Times New Roman" w:cs="Times New Roman"/>
          <w:b/>
        </w:rPr>
        <w:t xml:space="preserve">Question </w:t>
      </w:r>
      <w:r>
        <w:rPr>
          <w:rFonts w:ascii="Times New Roman" w:hAnsi="Times New Roman" w:cs="Times New Roman"/>
          <w:b/>
        </w:rPr>
        <w:t>3</w:t>
      </w:r>
      <w:r>
        <w:rPr>
          <w:rFonts w:ascii="Times New Roman" w:hAnsi="Times New Roman" w:cs="Times New Roman"/>
          <w:b/>
        </w:rPr>
        <w:tab/>
      </w:r>
    </w:p>
    <w:p w14:paraId="66C45724" w14:textId="77777777" w:rsidR="00271777" w:rsidRPr="00FA1A1F" w:rsidRDefault="00271777" w:rsidP="00271777">
      <w:pPr>
        <w:spacing w:before="120" w:line="360" w:lineRule="auto"/>
        <w:jc w:val="both"/>
        <w:rPr>
          <w:rFonts w:ascii="Times New Roman" w:hAnsi="Times New Roman" w:cs="Times New Roman"/>
          <w:b/>
          <w:i/>
        </w:rPr>
      </w:pPr>
      <w:r>
        <w:rPr>
          <w:rFonts w:ascii="Times New Roman" w:hAnsi="Times New Roman" w:cs="Times New Roman"/>
          <w:b/>
          <w:i/>
        </w:rPr>
        <w:t>“</w:t>
      </w:r>
      <w:r w:rsidRPr="00FA1A1F">
        <w:rPr>
          <w:rFonts w:ascii="Times New Roman" w:hAnsi="Times New Roman" w:cs="Times New Roman"/>
          <w:b/>
          <w:i/>
        </w:rPr>
        <w:t xml:space="preserve">Which IRRBB Measurement Methods from Annexes </w:t>
      </w:r>
      <w:r>
        <w:rPr>
          <w:rFonts w:ascii="Times New Roman" w:hAnsi="Times New Roman" w:cs="Times New Roman"/>
          <w:b/>
          <w:i/>
        </w:rPr>
        <w:t>I</w:t>
      </w:r>
      <w:r w:rsidRPr="00FA1A1F">
        <w:rPr>
          <w:rFonts w:ascii="Times New Roman" w:hAnsi="Times New Roman" w:cs="Times New Roman"/>
          <w:b/>
          <w:i/>
        </w:rPr>
        <w:t xml:space="preserve"> and </w:t>
      </w:r>
      <w:r>
        <w:rPr>
          <w:rFonts w:ascii="Times New Roman" w:hAnsi="Times New Roman" w:cs="Times New Roman"/>
          <w:b/>
          <w:i/>
        </w:rPr>
        <w:t>II</w:t>
      </w:r>
      <w:r w:rsidRPr="00FA1A1F">
        <w:rPr>
          <w:rFonts w:ascii="Times New Roman" w:hAnsi="Times New Roman" w:cs="Times New Roman"/>
          <w:b/>
          <w:i/>
        </w:rPr>
        <w:t xml:space="preserve"> have been used to compute the supervisory standard shock</w:t>
      </w:r>
      <w:r>
        <w:rPr>
          <w:rFonts w:ascii="Times New Roman" w:hAnsi="Times New Roman" w:cs="Times New Roman"/>
          <w:b/>
          <w:i/>
        </w:rPr>
        <w:t xml:space="preserve"> and earning measures</w:t>
      </w:r>
      <w:r w:rsidRPr="00FA1A1F">
        <w:rPr>
          <w:rFonts w:ascii="Times New Roman" w:hAnsi="Times New Roman" w:cs="Times New Roman"/>
          <w:b/>
          <w:i/>
        </w:rPr>
        <w:t>?</w:t>
      </w:r>
      <w:r>
        <w:rPr>
          <w:rFonts w:ascii="Times New Roman" w:hAnsi="Times New Roman" w:cs="Times New Roman"/>
          <w:b/>
          <w:i/>
        </w:rPr>
        <w:t>”</w:t>
      </w:r>
    </w:p>
    <w:p w14:paraId="154FEBFA"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r w:rsidRPr="00FA1A1F">
        <w:rPr>
          <w:rFonts w:ascii="Times New Roman" w:hAnsi="Times New Roman" w:cs="Times New Roman"/>
        </w:rPr>
        <w:t xml:space="preserve">Annex </w:t>
      </w:r>
      <w:r>
        <w:rPr>
          <w:rFonts w:ascii="Times New Roman" w:hAnsi="Times New Roman" w:cs="Times New Roman"/>
        </w:rPr>
        <w:t>I</w:t>
      </w:r>
      <w:r w:rsidRPr="00FA1A1F">
        <w:rPr>
          <w:rFonts w:ascii="Times New Roman" w:hAnsi="Times New Roman" w:cs="Times New Roman"/>
        </w:rPr>
        <w:t xml:space="preserve"> of the EBA</w:t>
      </w:r>
      <w:r>
        <w:rPr>
          <w:rFonts w:ascii="Times New Roman" w:hAnsi="Times New Roman" w:cs="Times New Roman"/>
        </w:rPr>
        <w:t>/</w:t>
      </w:r>
      <w:r w:rsidRPr="00FA1A1F">
        <w:rPr>
          <w:rFonts w:ascii="Times New Roman" w:hAnsi="Times New Roman" w:cs="Times New Roman"/>
        </w:rPr>
        <w:t>GL</w:t>
      </w:r>
      <w:r>
        <w:rPr>
          <w:rFonts w:ascii="Times New Roman" w:hAnsi="Times New Roman" w:cs="Times New Roman"/>
        </w:rPr>
        <w:t>/</w:t>
      </w:r>
      <w:r w:rsidRPr="00FA1A1F">
        <w:rPr>
          <w:rFonts w:ascii="Times New Roman" w:hAnsi="Times New Roman" w:cs="Times New Roman"/>
        </w:rPr>
        <w:t>0</w:t>
      </w:r>
      <w:r>
        <w:rPr>
          <w:rFonts w:ascii="Times New Roman" w:hAnsi="Times New Roman" w:cs="Times New Roman"/>
        </w:rPr>
        <w:t>2/</w:t>
      </w:r>
      <w:r w:rsidRPr="00FA1A1F">
        <w:rPr>
          <w:rFonts w:ascii="Times New Roman" w:hAnsi="Times New Roman" w:cs="Times New Roman"/>
        </w:rPr>
        <w:t>201</w:t>
      </w:r>
      <w:r>
        <w:rPr>
          <w:rFonts w:ascii="Times New Roman" w:hAnsi="Times New Roman" w:cs="Times New Roman"/>
        </w:rPr>
        <w:t>8</w:t>
      </w:r>
      <w:r w:rsidRPr="00FA1A1F">
        <w:rPr>
          <w:rFonts w:ascii="Times New Roman" w:hAnsi="Times New Roman" w:cs="Times New Roman"/>
        </w:rPr>
        <w:t xml:space="preserve"> provide</w:t>
      </w:r>
      <w:r>
        <w:rPr>
          <w:rFonts w:ascii="Times New Roman" w:hAnsi="Times New Roman" w:cs="Times New Roman"/>
        </w:rPr>
        <w:t>s</w:t>
      </w:r>
      <w:r w:rsidRPr="00FA1A1F">
        <w:rPr>
          <w:rFonts w:ascii="Times New Roman" w:hAnsi="Times New Roman" w:cs="Times New Roman"/>
        </w:rPr>
        <w:t xml:space="preserve"> IRRBB measurement methods for measuring </w:t>
      </w:r>
      <w:r>
        <w:rPr>
          <w:rFonts w:ascii="Times New Roman" w:hAnsi="Times New Roman" w:cs="Times New Roman"/>
        </w:rPr>
        <w:t>changes in EVE and in earnings according to different yield curve scenarios</w:t>
      </w:r>
      <w:r w:rsidRPr="00430F45">
        <w:rPr>
          <w:rFonts w:ascii="Times New Roman" w:hAnsi="Times New Roman" w:cs="Times New Roman"/>
          <w:sz w:val="16"/>
        </w:rPr>
        <w:t>.</w:t>
      </w:r>
    </w:p>
    <w:p w14:paraId="361C9EE0"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r w:rsidRPr="00FA1A1F">
        <w:rPr>
          <w:rFonts w:ascii="Times New Roman" w:hAnsi="Times New Roman" w:cs="Times New Roman"/>
        </w:rPr>
        <w:t xml:space="preserve">Annex </w:t>
      </w:r>
      <w:r>
        <w:rPr>
          <w:rFonts w:ascii="Times New Roman" w:hAnsi="Times New Roman" w:cs="Times New Roman"/>
        </w:rPr>
        <w:t xml:space="preserve">II of the </w:t>
      </w:r>
      <w:r w:rsidRPr="00FA1A1F">
        <w:rPr>
          <w:rFonts w:ascii="Times New Roman" w:hAnsi="Times New Roman" w:cs="Times New Roman"/>
        </w:rPr>
        <w:t>EBA</w:t>
      </w:r>
      <w:r>
        <w:rPr>
          <w:rFonts w:ascii="Times New Roman" w:hAnsi="Times New Roman" w:cs="Times New Roman"/>
        </w:rPr>
        <w:t>/</w:t>
      </w:r>
      <w:r w:rsidRPr="00FA1A1F">
        <w:rPr>
          <w:rFonts w:ascii="Times New Roman" w:hAnsi="Times New Roman" w:cs="Times New Roman"/>
        </w:rPr>
        <w:t>GL</w:t>
      </w:r>
      <w:r>
        <w:rPr>
          <w:rFonts w:ascii="Times New Roman" w:hAnsi="Times New Roman" w:cs="Times New Roman"/>
        </w:rPr>
        <w:t>/</w:t>
      </w:r>
      <w:r w:rsidRPr="00FA1A1F">
        <w:rPr>
          <w:rFonts w:ascii="Times New Roman" w:hAnsi="Times New Roman" w:cs="Times New Roman"/>
        </w:rPr>
        <w:t>0</w:t>
      </w:r>
      <w:r>
        <w:rPr>
          <w:rFonts w:ascii="Times New Roman" w:hAnsi="Times New Roman" w:cs="Times New Roman"/>
        </w:rPr>
        <w:t>2/</w:t>
      </w:r>
      <w:r w:rsidRPr="00FA1A1F">
        <w:rPr>
          <w:rFonts w:ascii="Times New Roman" w:hAnsi="Times New Roman" w:cs="Times New Roman"/>
        </w:rPr>
        <w:t>201</w:t>
      </w:r>
      <w:r>
        <w:rPr>
          <w:rFonts w:ascii="Times New Roman" w:hAnsi="Times New Roman" w:cs="Times New Roman"/>
        </w:rPr>
        <w:t>8</w:t>
      </w:r>
      <w:r w:rsidRPr="00FA1A1F">
        <w:rPr>
          <w:rFonts w:ascii="Times New Roman" w:hAnsi="Times New Roman" w:cs="Times New Roman"/>
        </w:rPr>
        <w:t xml:space="preserve"> provides a </w:t>
      </w:r>
      <w:r>
        <w:rPr>
          <w:rFonts w:ascii="Times New Roman" w:hAnsi="Times New Roman" w:cs="Times New Roman"/>
        </w:rPr>
        <w:t>s</w:t>
      </w:r>
      <w:r w:rsidRPr="00FA1A1F">
        <w:rPr>
          <w:rFonts w:ascii="Times New Roman" w:hAnsi="Times New Roman" w:cs="Times New Roman"/>
        </w:rPr>
        <w:t xml:space="preserve">ophistication </w:t>
      </w:r>
      <w:r>
        <w:rPr>
          <w:rFonts w:ascii="Times New Roman" w:hAnsi="Times New Roman" w:cs="Times New Roman"/>
        </w:rPr>
        <w:t>m</w:t>
      </w:r>
      <w:r w:rsidRPr="00FA1A1F">
        <w:rPr>
          <w:rFonts w:ascii="Times New Roman" w:hAnsi="Times New Roman" w:cs="Times New Roman"/>
        </w:rPr>
        <w:t>atrix for IRRBB measurement</w:t>
      </w:r>
      <w:r w:rsidRPr="00430F45">
        <w:rPr>
          <w:rFonts w:ascii="Times New Roman" w:hAnsi="Times New Roman" w:cs="Times New Roman"/>
          <w:sz w:val="16"/>
        </w:rPr>
        <w:t>.</w:t>
      </w:r>
      <w:r w:rsidRPr="00FA1A1F">
        <w:rPr>
          <w:rFonts w:ascii="Times New Roman" w:hAnsi="Times New Roman" w:cs="Times New Roman"/>
        </w:rPr>
        <w:t xml:space="preserve"> Please indicate the sophistication levels of quantitative tools and models used</w:t>
      </w:r>
      <w:r w:rsidRPr="00430F45">
        <w:rPr>
          <w:rFonts w:ascii="Times New Roman" w:hAnsi="Times New Roman" w:cs="Times New Roman"/>
          <w:sz w:val="16"/>
        </w:rPr>
        <w:t>.</w:t>
      </w:r>
    </w:p>
    <w:p w14:paraId="0307D50A" w14:textId="77777777" w:rsidR="00271777" w:rsidRPr="008B17CD" w:rsidRDefault="00271777" w:rsidP="00271777">
      <w:pPr>
        <w:pStyle w:val="ListParagraph"/>
        <w:numPr>
          <w:ilvl w:val="0"/>
          <w:numId w:val="2"/>
        </w:numPr>
        <w:spacing w:before="120" w:line="360" w:lineRule="auto"/>
        <w:ind w:left="426"/>
        <w:jc w:val="both"/>
        <w:rPr>
          <w:rFonts w:ascii="Times New Roman" w:hAnsi="Times New Roman" w:cs="Times New Roman"/>
        </w:rPr>
      </w:pPr>
      <w:r w:rsidRPr="008B17CD">
        <w:rPr>
          <w:rFonts w:ascii="Times New Roman" w:hAnsi="Times New Roman" w:cs="Times New Roman"/>
        </w:rPr>
        <w:t>Please clarify which:</w:t>
      </w:r>
    </w:p>
    <w:p w14:paraId="5E84960E" w14:textId="77777777" w:rsidR="00271777" w:rsidRPr="008B17CD" w:rsidRDefault="00271777" w:rsidP="00271777">
      <w:pPr>
        <w:pStyle w:val="ListParagraph"/>
        <w:numPr>
          <w:ilvl w:val="1"/>
          <w:numId w:val="7"/>
        </w:numPr>
        <w:spacing w:before="120" w:line="360" w:lineRule="auto"/>
        <w:ind w:left="851"/>
        <w:jc w:val="both"/>
        <w:rPr>
          <w:rFonts w:ascii="Times New Roman" w:hAnsi="Times New Roman" w:cs="Times New Roman"/>
        </w:rPr>
      </w:pPr>
      <w:r>
        <w:rPr>
          <w:rFonts w:ascii="Times New Roman" w:hAnsi="Times New Roman" w:cs="Times New Roman"/>
        </w:rPr>
        <w:t>o</w:t>
      </w:r>
      <w:r w:rsidRPr="008B17CD">
        <w:rPr>
          <w:rFonts w:ascii="Times New Roman" w:hAnsi="Times New Roman" w:cs="Times New Roman"/>
        </w:rPr>
        <w:t xml:space="preserve">f the methods </w:t>
      </w:r>
      <w:r>
        <w:rPr>
          <w:rFonts w:ascii="Times New Roman" w:hAnsi="Times New Roman" w:cs="Times New Roman"/>
        </w:rPr>
        <w:t>listed</w:t>
      </w:r>
      <w:r w:rsidRPr="008B17CD">
        <w:rPr>
          <w:rFonts w:ascii="Times New Roman" w:hAnsi="Times New Roman" w:cs="Times New Roman"/>
        </w:rPr>
        <w:t xml:space="preserve"> in Annex</w:t>
      </w:r>
      <w:r>
        <w:rPr>
          <w:rFonts w:ascii="Times New Roman" w:hAnsi="Times New Roman" w:cs="Times New Roman"/>
        </w:rPr>
        <w:t xml:space="preserve"> I,</w:t>
      </w:r>
    </w:p>
    <w:p w14:paraId="1F7D847C" w14:textId="77777777" w:rsidR="00271777" w:rsidRPr="008B17CD" w:rsidRDefault="00271777" w:rsidP="00271777">
      <w:pPr>
        <w:pStyle w:val="ListParagraph"/>
        <w:numPr>
          <w:ilvl w:val="1"/>
          <w:numId w:val="7"/>
        </w:numPr>
        <w:spacing w:before="120" w:line="360" w:lineRule="auto"/>
        <w:ind w:left="851"/>
        <w:jc w:val="both"/>
        <w:rPr>
          <w:rFonts w:ascii="Times New Roman" w:hAnsi="Times New Roman" w:cs="Times New Roman"/>
        </w:rPr>
      </w:pPr>
      <w:r>
        <w:rPr>
          <w:rFonts w:ascii="Times New Roman" w:hAnsi="Times New Roman" w:cs="Times New Roman"/>
        </w:rPr>
        <w:t>l</w:t>
      </w:r>
      <w:r w:rsidRPr="008B17CD">
        <w:rPr>
          <w:rFonts w:ascii="Times New Roman" w:hAnsi="Times New Roman" w:cs="Times New Roman"/>
        </w:rPr>
        <w:t xml:space="preserve">evel of sophistication </w:t>
      </w:r>
      <w:r>
        <w:rPr>
          <w:rFonts w:ascii="Times New Roman" w:hAnsi="Times New Roman" w:cs="Times New Roman"/>
        </w:rPr>
        <w:t>listed</w:t>
      </w:r>
      <w:r w:rsidRPr="008B17CD">
        <w:rPr>
          <w:rFonts w:ascii="Times New Roman" w:hAnsi="Times New Roman" w:cs="Times New Roman"/>
        </w:rPr>
        <w:t xml:space="preserve"> in Annex </w:t>
      </w:r>
      <w:r>
        <w:rPr>
          <w:rFonts w:ascii="Times New Roman" w:hAnsi="Times New Roman" w:cs="Times New Roman"/>
        </w:rPr>
        <w:t>II,</w:t>
      </w:r>
    </w:p>
    <w:p w14:paraId="2D505B05" w14:textId="77777777" w:rsidR="00271777" w:rsidRPr="008B17CD" w:rsidRDefault="00271777" w:rsidP="00271777">
      <w:pPr>
        <w:pStyle w:val="ListParagraph"/>
        <w:spacing w:before="120" w:line="360" w:lineRule="auto"/>
        <w:ind w:left="426"/>
        <w:jc w:val="both"/>
        <w:rPr>
          <w:rFonts w:ascii="Times New Roman" w:hAnsi="Times New Roman" w:cs="Times New Roman"/>
        </w:rPr>
      </w:pPr>
      <w:r w:rsidRPr="008B17CD">
        <w:rPr>
          <w:rFonts w:ascii="Times New Roman" w:hAnsi="Times New Roman" w:cs="Times New Roman"/>
        </w:rPr>
        <w:t>have been used</w:t>
      </w:r>
      <w:r>
        <w:rPr>
          <w:rFonts w:ascii="Times New Roman" w:hAnsi="Times New Roman" w:cs="Times New Roman"/>
        </w:rPr>
        <w:t xml:space="preserve"> in the computation of the supervisory standard shock and earnings measures (and </w:t>
      </w:r>
      <w:proofErr w:type="gramStart"/>
      <w:r>
        <w:rPr>
          <w:rFonts w:ascii="Times New Roman" w:hAnsi="Times New Roman" w:cs="Times New Roman"/>
        </w:rPr>
        <w:t>in particular for</w:t>
      </w:r>
      <w:proofErr w:type="gramEnd"/>
      <w:r>
        <w:rPr>
          <w:rFonts w:ascii="Times New Roman" w:hAnsi="Times New Roman" w:cs="Times New Roman"/>
        </w:rPr>
        <w:t xml:space="preserve"> NII/earnings, what was the methodology used to aggregate the metrics across currencies)</w:t>
      </w:r>
      <w:r w:rsidRPr="00AC5785">
        <w:rPr>
          <w:rFonts w:ascii="Times New Roman" w:hAnsi="Times New Roman" w:cs="Times New Roman"/>
        </w:rPr>
        <w:t>.</w:t>
      </w:r>
    </w:p>
    <w:p w14:paraId="7EC09DB6" w14:textId="77777777" w:rsidR="00271777" w:rsidRPr="00C85864" w:rsidRDefault="00271777" w:rsidP="00271777">
      <w:pPr>
        <w:pStyle w:val="ListParagraph"/>
        <w:numPr>
          <w:ilvl w:val="0"/>
          <w:numId w:val="2"/>
        </w:numPr>
        <w:spacing w:before="120" w:line="360" w:lineRule="auto"/>
        <w:ind w:left="426"/>
        <w:jc w:val="both"/>
        <w:rPr>
          <w:rFonts w:ascii="Times New Roman" w:hAnsi="Times New Roman" w:cs="Times New Roman"/>
        </w:rPr>
      </w:pPr>
      <w:r w:rsidRPr="00FA1A1F">
        <w:rPr>
          <w:rFonts w:ascii="Times New Roman" w:hAnsi="Times New Roman" w:cs="Times New Roman"/>
        </w:rPr>
        <w:t xml:space="preserve">Please </w:t>
      </w:r>
      <w:r>
        <w:rPr>
          <w:rFonts w:ascii="Times New Roman" w:hAnsi="Times New Roman" w:cs="Times New Roman"/>
        </w:rPr>
        <w:t>use the boxes “Main assumptions” to briefly explain the methods used</w:t>
      </w:r>
      <w:r w:rsidRPr="00430F45">
        <w:rPr>
          <w:rFonts w:ascii="Times New Roman" w:hAnsi="Times New Roman" w:cs="Times New Roman"/>
          <w:sz w:val="16"/>
        </w:rPr>
        <w:t>.</w:t>
      </w:r>
    </w:p>
    <w:p w14:paraId="3E6F5996" w14:textId="77777777" w:rsidR="00271777" w:rsidRPr="003E1C2A" w:rsidRDefault="00271777" w:rsidP="00271777">
      <w:pPr>
        <w:spacing w:before="120" w:line="360" w:lineRule="auto"/>
        <w:jc w:val="both"/>
        <w:rPr>
          <w:rFonts w:ascii="Times New Roman" w:hAnsi="Times New Roman"/>
        </w:rPr>
      </w:pPr>
      <w:r w:rsidRPr="009149BB">
        <w:rPr>
          <w:rFonts w:ascii="Times New Roman" w:hAnsi="Times New Roman" w:cs="Times New Roman"/>
          <w:b/>
        </w:rPr>
        <w:t xml:space="preserve">Question </w:t>
      </w:r>
      <w:r>
        <w:rPr>
          <w:rFonts w:ascii="Times New Roman" w:hAnsi="Times New Roman" w:cs="Times New Roman"/>
          <w:b/>
        </w:rPr>
        <w:t>4</w:t>
      </w:r>
    </w:p>
    <w:p w14:paraId="50CC9CBE" w14:textId="77777777" w:rsidR="00271777" w:rsidRDefault="00271777" w:rsidP="00271777">
      <w:pPr>
        <w:spacing w:before="120" w:line="360" w:lineRule="auto"/>
        <w:jc w:val="both"/>
        <w:rPr>
          <w:rFonts w:ascii="Times New Roman" w:hAnsi="Times New Roman" w:cs="Times New Roman"/>
          <w:b/>
          <w:i/>
        </w:rPr>
      </w:pPr>
      <w:r>
        <w:rPr>
          <w:rFonts w:ascii="Times New Roman" w:hAnsi="Times New Roman" w:cs="Times New Roman"/>
          <w:b/>
          <w:i/>
        </w:rPr>
        <w:t>“</w:t>
      </w:r>
      <w:r w:rsidRPr="00152B26">
        <w:rPr>
          <w:rFonts w:ascii="Times New Roman" w:hAnsi="Times New Roman" w:cs="Times New Roman"/>
          <w:b/>
          <w:i/>
        </w:rPr>
        <w:t xml:space="preserve">Have commercial margins </w:t>
      </w:r>
      <w:r>
        <w:rPr>
          <w:rFonts w:ascii="Times New Roman" w:hAnsi="Times New Roman" w:cs="Times New Roman"/>
          <w:b/>
          <w:i/>
        </w:rPr>
        <w:t xml:space="preserve">and other spread components </w:t>
      </w:r>
      <w:r w:rsidRPr="00152B26">
        <w:rPr>
          <w:rFonts w:ascii="Times New Roman" w:hAnsi="Times New Roman" w:cs="Times New Roman"/>
          <w:b/>
          <w:i/>
        </w:rPr>
        <w:t>been excluded in the computation of the supervisory standard shock</w:t>
      </w:r>
      <w:r>
        <w:rPr>
          <w:rFonts w:ascii="Times New Roman" w:hAnsi="Times New Roman" w:cs="Times New Roman"/>
          <w:b/>
          <w:i/>
        </w:rPr>
        <w:t xml:space="preserve"> and in the reporting of data required in Templates “</w:t>
      </w:r>
      <w:r w:rsidRPr="00BD2510">
        <w:rPr>
          <w:rFonts w:ascii="Times New Roman" w:eastAsiaTheme="majorEastAsia" w:hAnsi="Times New Roman" w:cs="Times New Roman"/>
          <w:b/>
          <w:i/>
          <w:color w:val="1F497D" w:themeColor="text2"/>
          <w:szCs w:val="24"/>
        </w:rPr>
        <w:t>IRRBB_Material_Currency</w:t>
      </w:r>
      <w:r>
        <w:rPr>
          <w:rFonts w:ascii="Times New Roman" w:eastAsiaTheme="majorEastAsia" w:hAnsi="Times New Roman" w:cs="Times New Roman"/>
          <w:b/>
          <w:i/>
          <w:color w:val="1F497D" w:themeColor="text2"/>
          <w:szCs w:val="24"/>
        </w:rPr>
        <w:t>”</w:t>
      </w:r>
      <w:r w:rsidRPr="00152B26">
        <w:rPr>
          <w:rFonts w:ascii="Times New Roman" w:hAnsi="Times New Roman" w:cs="Times New Roman"/>
          <w:b/>
          <w:i/>
        </w:rPr>
        <w:t>? If yes, please provide an explanation of the methodology used to exclude them</w:t>
      </w:r>
      <w:r w:rsidRPr="00430F45">
        <w:rPr>
          <w:rFonts w:ascii="Times New Roman" w:hAnsi="Times New Roman" w:cs="Times New Roman"/>
          <w:b/>
          <w:i/>
          <w:sz w:val="16"/>
        </w:rPr>
        <w:t>.</w:t>
      </w:r>
      <w:r>
        <w:rPr>
          <w:rFonts w:ascii="Times New Roman" w:hAnsi="Times New Roman" w:cs="Times New Roman"/>
          <w:b/>
          <w:i/>
        </w:rPr>
        <w:t>”</w:t>
      </w:r>
    </w:p>
    <w:p w14:paraId="54A60947" w14:textId="77777777" w:rsidR="00271777" w:rsidRPr="00C85864" w:rsidRDefault="00271777" w:rsidP="00271777">
      <w:pPr>
        <w:pStyle w:val="ListParagraph"/>
        <w:numPr>
          <w:ilvl w:val="0"/>
          <w:numId w:val="2"/>
        </w:numPr>
        <w:spacing w:before="120" w:line="360" w:lineRule="auto"/>
        <w:ind w:left="426"/>
        <w:jc w:val="both"/>
        <w:rPr>
          <w:rFonts w:ascii="Times New Roman" w:hAnsi="Times New Roman" w:cs="Times New Roman"/>
        </w:rPr>
      </w:pPr>
      <w:r w:rsidRPr="00C85864">
        <w:rPr>
          <w:rFonts w:ascii="Times New Roman" w:hAnsi="Times New Roman" w:cs="Times New Roman"/>
        </w:rPr>
        <w:t>According to the paragraph 115(i), “</w:t>
      </w:r>
      <w:r w:rsidRPr="00BD2510">
        <w:rPr>
          <w:rFonts w:ascii="Times New Roman" w:hAnsi="Times New Roman" w:cs="Times New Roman"/>
          <w:i/>
        </w:rPr>
        <w:t>the treatment of commercial margins and other spread components in interest payments in terms of their exclusion from or inclusion in the cash flows should be in accordance with the institutions’ internal management and measurement approach for interest rate risk in the non-trading book</w:t>
      </w:r>
      <w:r w:rsidRPr="00753830">
        <w:rPr>
          <w:rFonts w:ascii="Times New Roman" w:hAnsi="Times New Roman" w:cs="Times New Roman"/>
        </w:rPr>
        <w:t>” and that institutions should “</w:t>
      </w:r>
      <w:r w:rsidRPr="00BD2510">
        <w:rPr>
          <w:rFonts w:ascii="Times New Roman" w:hAnsi="Times New Roman" w:cs="Times New Roman"/>
          <w:i/>
        </w:rPr>
        <w:t>notify the competent authority whether they exclude commercial margins and other spread components from the [supervisory outlier test] calculation or not</w:t>
      </w:r>
      <w:r w:rsidRPr="00C85864">
        <w:rPr>
          <w:rFonts w:ascii="Times New Roman" w:hAnsi="Times New Roman" w:cs="Times New Roman"/>
        </w:rPr>
        <w:t>”</w:t>
      </w:r>
      <w:r w:rsidRPr="00430F45">
        <w:rPr>
          <w:rFonts w:ascii="Times New Roman" w:hAnsi="Times New Roman" w:cs="Times New Roman"/>
          <w:sz w:val="16"/>
        </w:rPr>
        <w:t>.</w:t>
      </w:r>
    </w:p>
    <w:p w14:paraId="00BEC3FC" w14:textId="77777777" w:rsidR="00271777" w:rsidRPr="00C85864" w:rsidRDefault="00271777" w:rsidP="00271777">
      <w:pPr>
        <w:pStyle w:val="ListParagraph"/>
        <w:numPr>
          <w:ilvl w:val="0"/>
          <w:numId w:val="2"/>
        </w:numPr>
        <w:spacing w:before="120" w:line="360" w:lineRule="auto"/>
        <w:ind w:left="426"/>
        <w:jc w:val="both"/>
        <w:rPr>
          <w:rFonts w:ascii="Times New Roman" w:hAnsi="Times New Roman" w:cs="Times New Roman"/>
        </w:rPr>
      </w:pPr>
      <w:r w:rsidRPr="00C85864">
        <w:rPr>
          <w:rFonts w:ascii="Times New Roman" w:hAnsi="Times New Roman" w:cs="Times New Roman"/>
        </w:rPr>
        <w:lastRenderedPageBreak/>
        <w:t xml:space="preserve">Therefore, institutions should clarify if commercial margins </w:t>
      </w:r>
      <w:r>
        <w:rPr>
          <w:rFonts w:ascii="Times New Roman" w:hAnsi="Times New Roman" w:cs="Times New Roman"/>
        </w:rPr>
        <w:t xml:space="preserve">and other spread components </w:t>
      </w:r>
      <w:r w:rsidRPr="00C85864">
        <w:rPr>
          <w:rFonts w:ascii="Times New Roman" w:hAnsi="Times New Roman" w:cs="Times New Roman"/>
        </w:rPr>
        <w:t>have been excluded in the computation by replying “Yes” or “No”</w:t>
      </w:r>
      <w:r w:rsidRPr="00430F45">
        <w:rPr>
          <w:rFonts w:ascii="Times New Roman" w:hAnsi="Times New Roman" w:cs="Times New Roman"/>
          <w:sz w:val="16"/>
        </w:rPr>
        <w:t>.</w:t>
      </w:r>
      <w:r w:rsidRPr="00C85864">
        <w:rPr>
          <w:rFonts w:ascii="Times New Roman" w:hAnsi="Times New Roman" w:cs="Times New Roman"/>
        </w:rPr>
        <w:t xml:space="preserve"> If the answer is “Yes”, the institution should briefly explain the methodology for identifying the risk-free rate at inception of each instrument and if the methodology is applied consistently across business units and within the group (for information at a consolidated level)</w:t>
      </w:r>
      <w:r w:rsidRPr="00430F45">
        <w:rPr>
          <w:rFonts w:ascii="Times New Roman" w:hAnsi="Times New Roman" w:cs="Times New Roman"/>
          <w:sz w:val="16"/>
        </w:rPr>
        <w:t>.</w:t>
      </w:r>
    </w:p>
    <w:p w14:paraId="31715032" w14:textId="77777777" w:rsidR="00271777" w:rsidRPr="00BD66EE" w:rsidRDefault="00271777" w:rsidP="00271777">
      <w:pPr>
        <w:spacing w:before="120" w:line="360" w:lineRule="auto"/>
        <w:jc w:val="both"/>
        <w:rPr>
          <w:rFonts w:ascii="Times New Roman" w:hAnsi="Times New Roman" w:cs="Times New Roman"/>
          <w:b/>
        </w:rPr>
      </w:pPr>
      <w:r w:rsidRPr="00BD66EE">
        <w:rPr>
          <w:rFonts w:ascii="Times New Roman" w:hAnsi="Times New Roman" w:cs="Times New Roman"/>
          <w:b/>
        </w:rPr>
        <w:t xml:space="preserve">Question </w:t>
      </w:r>
      <w:r>
        <w:rPr>
          <w:rFonts w:ascii="Times New Roman" w:hAnsi="Times New Roman" w:cs="Times New Roman"/>
          <w:b/>
        </w:rPr>
        <w:t>5</w:t>
      </w:r>
    </w:p>
    <w:p w14:paraId="631E6A1A" w14:textId="77777777" w:rsidR="00271777" w:rsidRDefault="00271777" w:rsidP="00271777">
      <w:pPr>
        <w:spacing w:before="120" w:line="360" w:lineRule="auto"/>
        <w:jc w:val="both"/>
        <w:rPr>
          <w:rFonts w:ascii="Times New Roman" w:hAnsi="Times New Roman" w:cs="Times New Roman"/>
          <w:b/>
          <w:i/>
        </w:rPr>
      </w:pPr>
      <w:r w:rsidRPr="00184AD5">
        <w:rPr>
          <w:rFonts w:ascii="Times New Roman" w:hAnsi="Times New Roman" w:cs="Times New Roman"/>
          <w:b/>
          <w:i/>
        </w:rPr>
        <w:t>“</w:t>
      </w:r>
      <w:r w:rsidRPr="00152B26">
        <w:rPr>
          <w:rFonts w:ascii="Times New Roman" w:hAnsi="Times New Roman" w:cs="Times New Roman"/>
          <w:b/>
          <w:i/>
        </w:rPr>
        <w:t>Have pension obligations and pension plan assets been included in the computation of the supervisory standard shock and in earnings metrics</w:t>
      </w:r>
      <w:r>
        <w:rPr>
          <w:rFonts w:ascii="Times New Roman" w:hAnsi="Times New Roman" w:cs="Times New Roman"/>
          <w:b/>
          <w:i/>
        </w:rPr>
        <w:t>, and in the reporting of data required in Templates 1-5 “</w:t>
      </w:r>
      <w:r w:rsidRPr="00BD2510">
        <w:rPr>
          <w:rFonts w:ascii="Times New Roman" w:eastAsiaTheme="majorEastAsia" w:hAnsi="Times New Roman" w:cs="Times New Roman"/>
          <w:b/>
          <w:i/>
          <w:color w:val="1F497D" w:themeColor="text2"/>
          <w:szCs w:val="24"/>
        </w:rPr>
        <w:t>IRRBB_Material_Currency</w:t>
      </w:r>
      <w:r>
        <w:rPr>
          <w:rFonts w:ascii="Times New Roman" w:hAnsi="Times New Roman" w:cs="Times New Roman"/>
          <w:b/>
          <w:i/>
        </w:rPr>
        <w:t>”</w:t>
      </w:r>
      <w:r w:rsidRPr="00152B26">
        <w:rPr>
          <w:rFonts w:ascii="Times New Roman" w:hAnsi="Times New Roman" w:cs="Times New Roman"/>
          <w:b/>
          <w:i/>
        </w:rPr>
        <w:t>? If yes, please provide an explanation on how they were incorporated in the methodology to compute</w:t>
      </w:r>
      <w:r>
        <w:rPr>
          <w:rFonts w:ascii="Times New Roman" w:hAnsi="Times New Roman" w:cs="Times New Roman"/>
          <w:b/>
          <w:i/>
        </w:rPr>
        <w:t xml:space="preserve"> the supervisory standard shock and the NII/earnings metrics</w:t>
      </w:r>
      <w:r w:rsidRPr="00430F45">
        <w:rPr>
          <w:rFonts w:ascii="Times New Roman" w:hAnsi="Times New Roman" w:cs="Times New Roman"/>
          <w:b/>
          <w:i/>
          <w:sz w:val="16"/>
        </w:rPr>
        <w:t>.</w:t>
      </w:r>
      <w:r>
        <w:rPr>
          <w:rFonts w:ascii="Times New Roman" w:hAnsi="Times New Roman" w:cs="Times New Roman"/>
          <w:b/>
          <w:i/>
        </w:rPr>
        <w:t>”</w:t>
      </w:r>
    </w:p>
    <w:p w14:paraId="20D947EB" w14:textId="77777777" w:rsidR="00271777" w:rsidRPr="00C85864" w:rsidRDefault="00271777" w:rsidP="00271777">
      <w:pPr>
        <w:pStyle w:val="ListParagraph"/>
        <w:numPr>
          <w:ilvl w:val="0"/>
          <w:numId w:val="2"/>
        </w:numPr>
        <w:spacing w:before="120" w:line="360" w:lineRule="auto"/>
        <w:ind w:left="426"/>
        <w:jc w:val="both"/>
        <w:rPr>
          <w:rFonts w:ascii="Times New Roman" w:hAnsi="Times New Roman" w:cs="Times New Roman"/>
        </w:rPr>
      </w:pPr>
      <w:r w:rsidRPr="00C85864">
        <w:rPr>
          <w:rFonts w:ascii="Times New Roman" w:hAnsi="Times New Roman" w:cs="Times New Roman"/>
        </w:rPr>
        <w:t>According to paragraph 115(e) of the EBA/GL/2018/02 “</w:t>
      </w:r>
      <w:r w:rsidRPr="00BD2510">
        <w:rPr>
          <w:rFonts w:ascii="Times New Roman" w:hAnsi="Times New Roman" w:cs="Times New Roman"/>
          <w:i/>
        </w:rPr>
        <w:t>Pension obligations and pension plan assets should be included unless their interest rate risk is captured in another risk measure</w:t>
      </w:r>
      <w:r w:rsidRPr="00C85864">
        <w:rPr>
          <w:rFonts w:ascii="Times New Roman" w:hAnsi="Times New Roman" w:cs="Times New Roman"/>
        </w:rPr>
        <w:t>”</w:t>
      </w:r>
      <w:r w:rsidRPr="00430F45">
        <w:rPr>
          <w:rFonts w:ascii="Times New Roman" w:hAnsi="Times New Roman" w:cs="Times New Roman"/>
          <w:sz w:val="16"/>
        </w:rPr>
        <w:t>.</w:t>
      </w:r>
    </w:p>
    <w:p w14:paraId="4AA8C3C8" w14:textId="77777777" w:rsidR="00271777" w:rsidRPr="00C85864" w:rsidRDefault="00271777" w:rsidP="00271777">
      <w:pPr>
        <w:pStyle w:val="ListParagraph"/>
        <w:numPr>
          <w:ilvl w:val="0"/>
          <w:numId w:val="2"/>
        </w:numPr>
        <w:spacing w:before="120" w:line="360" w:lineRule="auto"/>
        <w:ind w:left="426"/>
        <w:jc w:val="both"/>
        <w:rPr>
          <w:rFonts w:ascii="Times New Roman" w:hAnsi="Times New Roman" w:cs="Times New Roman"/>
        </w:rPr>
      </w:pPr>
      <w:r w:rsidRPr="00C85864">
        <w:rPr>
          <w:rFonts w:ascii="Times New Roman" w:hAnsi="Times New Roman" w:cs="Times New Roman"/>
        </w:rPr>
        <w:t xml:space="preserve">Institutions should answer if they have incorporated pension obligations and pension plan assets in the computation of </w:t>
      </w:r>
      <w:r>
        <w:rPr>
          <w:rFonts w:ascii="Times New Roman" w:hAnsi="Times New Roman" w:cs="Times New Roman"/>
        </w:rPr>
        <w:t xml:space="preserve">the supervisory standard shock </w:t>
      </w:r>
      <w:r w:rsidRPr="00C85864">
        <w:rPr>
          <w:rFonts w:ascii="Times New Roman" w:hAnsi="Times New Roman" w:cs="Times New Roman"/>
        </w:rPr>
        <w:t>on EVE and/or the computation of NII/</w:t>
      </w:r>
      <w:r>
        <w:rPr>
          <w:rFonts w:ascii="Times New Roman" w:hAnsi="Times New Roman" w:cs="Times New Roman"/>
        </w:rPr>
        <w:t>e</w:t>
      </w:r>
      <w:r w:rsidRPr="00C85864">
        <w:rPr>
          <w:rFonts w:ascii="Times New Roman" w:hAnsi="Times New Roman" w:cs="Times New Roman"/>
        </w:rPr>
        <w:t>arnings measures, and if yes, they should provide a brief explanation on how they were incorporated in the methodology to compute the supervisory standard shock on EVE and/or to compute NII/Earnings measures</w:t>
      </w:r>
      <w:r w:rsidRPr="00430F45">
        <w:rPr>
          <w:rFonts w:ascii="Times New Roman" w:hAnsi="Times New Roman" w:cs="Times New Roman"/>
          <w:sz w:val="16"/>
        </w:rPr>
        <w:t>.</w:t>
      </w:r>
    </w:p>
    <w:p w14:paraId="476BBF73" w14:textId="77777777" w:rsidR="00271777" w:rsidRPr="00A763CF" w:rsidRDefault="00271777" w:rsidP="00271777">
      <w:pPr>
        <w:spacing w:before="120" w:line="360" w:lineRule="auto"/>
        <w:jc w:val="both"/>
        <w:rPr>
          <w:rFonts w:ascii="Times New Roman" w:hAnsi="Times New Roman" w:cs="Times New Roman"/>
          <w:b/>
        </w:rPr>
      </w:pPr>
      <w:r w:rsidRPr="00A763CF">
        <w:rPr>
          <w:rFonts w:ascii="Times New Roman" w:hAnsi="Times New Roman" w:cs="Times New Roman"/>
          <w:b/>
        </w:rPr>
        <w:t xml:space="preserve">Question </w:t>
      </w:r>
      <w:r>
        <w:rPr>
          <w:rFonts w:ascii="Times New Roman" w:hAnsi="Times New Roman" w:cs="Times New Roman"/>
          <w:b/>
        </w:rPr>
        <w:t>6</w:t>
      </w:r>
    </w:p>
    <w:p w14:paraId="0B9C78EB" w14:textId="77777777" w:rsidR="00271777" w:rsidRPr="00603FB1" w:rsidRDefault="00271777" w:rsidP="00271777">
      <w:pPr>
        <w:spacing w:before="120" w:line="360" w:lineRule="auto"/>
        <w:jc w:val="both"/>
        <w:rPr>
          <w:rFonts w:ascii="Times New Roman" w:hAnsi="Times New Roman" w:cs="Times New Roman"/>
          <w:b/>
          <w:i/>
        </w:rPr>
      </w:pPr>
      <w:r w:rsidRPr="00603FB1">
        <w:rPr>
          <w:rFonts w:ascii="Times New Roman" w:hAnsi="Times New Roman" w:cs="Times New Roman"/>
          <w:b/>
          <w:i/>
        </w:rPr>
        <w:t>“</w:t>
      </w:r>
      <w:r w:rsidRPr="00C57B47">
        <w:rPr>
          <w:rFonts w:ascii="Times New Roman" w:hAnsi="Times New Roman" w:cs="Times New Roman"/>
          <w:b/>
          <w:i/>
        </w:rPr>
        <w:t xml:space="preserve">Have any other material assumptions underlying the calculation of the supervisory standard shock </w:t>
      </w:r>
      <w:r>
        <w:rPr>
          <w:rFonts w:ascii="Times New Roman" w:hAnsi="Times New Roman" w:cs="Times New Roman"/>
          <w:b/>
          <w:i/>
        </w:rPr>
        <w:t>on EVE and/or those underlying the calculation of Earnings measures</w:t>
      </w:r>
      <w:r w:rsidRPr="00C57B47">
        <w:rPr>
          <w:rFonts w:ascii="Times New Roman" w:hAnsi="Times New Roman" w:cs="Times New Roman"/>
          <w:b/>
          <w:i/>
        </w:rPr>
        <w:t xml:space="preserve"> changed since the </w:t>
      </w:r>
      <w:r>
        <w:rPr>
          <w:rFonts w:ascii="Times New Roman" w:hAnsi="Times New Roman" w:cs="Times New Roman"/>
          <w:b/>
          <w:i/>
        </w:rPr>
        <w:t>STE for SREP data collection</w:t>
      </w:r>
      <w:r w:rsidRPr="00C57B47">
        <w:rPr>
          <w:rFonts w:ascii="Times New Roman" w:hAnsi="Times New Roman" w:cs="Times New Roman"/>
          <w:b/>
          <w:i/>
        </w:rPr>
        <w:t xml:space="preserve"> was last submitted</w:t>
      </w:r>
      <w:r>
        <w:rPr>
          <w:rFonts w:ascii="Times New Roman" w:hAnsi="Times New Roman" w:cs="Times New Roman"/>
          <w:b/>
          <w:i/>
        </w:rPr>
        <w:t xml:space="preserve">? </w:t>
      </w:r>
      <w:r w:rsidRPr="00C57B47">
        <w:rPr>
          <w:rFonts w:ascii="Times New Roman" w:hAnsi="Times New Roman" w:cs="Times New Roman"/>
          <w:b/>
          <w:i/>
        </w:rPr>
        <w:t xml:space="preserve">Please answer </w:t>
      </w:r>
      <w:r>
        <w:rPr>
          <w:rFonts w:ascii="Times New Roman" w:hAnsi="Times New Roman" w:cs="Times New Roman"/>
          <w:b/>
          <w:i/>
        </w:rPr>
        <w:t>with “</w:t>
      </w:r>
      <w:r w:rsidRPr="00C57B47">
        <w:rPr>
          <w:rFonts w:ascii="Times New Roman" w:hAnsi="Times New Roman" w:cs="Times New Roman"/>
          <w:b/>
          <w:i/>
        </w:rPr>
        <w:t>Yes</w:t>
      </w:r>
      <w:r>
        <w:rPr>
          <w:rFonts w:ascii="Times New Roman" w:hAnsi="Times New Roman" w:cs="Times New Roman"/>
          <w:b/>
          <w:i/>
        </w:rPr>
        <w:t>”</w:t>
      </w:r>
      <w:r w:rsidRPr="00C57B47">
        <w:rPr>
          <w:rFonts w:ascii="Times New Roman" w:hAnsi="Times New Roman" w:cs="Times New Roman"/>
          <w:b/>
          <w:i/>
        </w:rPr>
        <w:t xml:space="preserve"> or</w:t>
      </w:r>
      <w:r>
        <w:rPr>
          <w:rFonts w:ascii="Times New Roman" w:hAnsi="Times New Roman" w:cs="Times New Roman"/>
          <w:b/>
          <w:i/>
        </w:rPr>
        <w:t xml:space="preserve"> </w:t>
      </w:r>
      <w:proofErr w:type="gramStart"/>
      <w:r>
        <w:rPr>
          <w:rFonts w:ascii="Times New Roman" w:hAnsi="Times New Roman" w:cs="Times New Roman"/>
          <w:b/>
          <w:i/>
        </w:rPr>
        <w:t>“</w:t>
      </w:r>
      <w:r w:rsidRPr="00C57B47">
        <w:rPr>
          <w:rFonts w:ascii="Times New Roman" w:hAnsi="Times New Roman" w:cs="Times New Roman"/>
          <w:b/>
          <w:i/>
        </w:rPr>
        <w:t xml:space="preserve"> No</w:t>
      </w:r>
      <w:proofErr w:type="gramEnd"/>
      <w:r>
        <w:rPr>
          <w:rFonts w:ascii="Times New Roman" w:hAnsi="Times New Roman" w:cs="Times New Roman"/>
          <w:b/>
          <w:i/>
        </w:rPr>
        <w:t>”</w:t>
      </w:r>
      <w:r w:rsidRPr="00430F45">
        <w:rPr>
          <w:rFonts w:ascii="Times New Roman" w:hAnsi="Times New Roman" w:cs="Times New Roman"/>
          <w:b/>
          <w:i/>
          <w:sz w:val="16"/>
        </w:rPr>
        <w:t>.</w:t>
      </w:r>
    </w:p>
    <w:p w14:paraId="0CD7968E"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r>
        <w:rPr>
          <w:rFonts w:ascii="Times New Roman" w:hAnsi="Times New Roman" w:cs="Times New Roman"/>
        </w:rPr>
        <w:t>If yes, please list the changes</w:t>
      </w:r>
      <w:r w:rsidRPr="00430F45">
        <w:rPr>
          <w:rFonts w:ascii="Times New Roman" w:hAnsi="Times New Roman" w:cs="Times New Roman"/>
          <w:sz w:val="16"/>
        </w:rPr>
        <w:t>.</w:t>
      </w:r>
      <w:r>
        <w:rPr>
          <w:rFonts w:ascii="Times New Roman" w:hAnsi="Times New Roman" w:cs="Times New Roman"/>
        </w:rPr>
        <w:t xml:space="preserve"> </w:t>
      </w:r>
      <w:r w:rsidRPr="00FA1A1F">
        <w:rPr>
          <w:rFonts w:ascii="Times New Roman" w:hAnsi="Times New Roman" w:cs="Times New Roman"/>
        </w:rPr>
        <w:t>Please explain in your answer whether any further material changes with regards to the underlying methodology or assumptions have occurred</w:t>
      </w:r>
      <w:r w:rsidRPr="00430F45">
        <w:rPr>
          <w:rFonts w:ascii="Times New Roman" w:hAnsi="Times New Roman" w:cs="Times New Roman"/>
          <w:sz w:val="16"/>
        </w:rPr>
        <w:t>.</w:t>
      </w:r>
    </w:p>
    <w:p w14:paraId="45B78E7E" w14:textId="77777777" w:rsidR="00271777" w:rsidRPr="00A763CF" w:rsidRDefault="00271777" w:rsidP="00271777">
      <w:pPr>
        <w:spacing w:before="120" w:line="360" w:lineRule="auto"/>
        <w:jc w:val="both"/>
        <w:rPr>
          <w:rFonts w:ascii="Times New Roman" w:hAnsi="Times New Roman" w:cs="Times New Roman"/>
          <w:b/>
        </w:rPr>
      </w:pPr>
      <w:r w:rsidRPr="00A763CF">
        <w:rPr>
          <w:rFonts w:ascii="Times New Roman" w:hAnsi="Times New Roman" w:cs="Times New Roman"/>
          <w:b/>
        </w:rPr>
        <w:t xml:space="preserve">Question </w:t>
      </w:r>
      <w:r>
        <w:rPr>
          <w:rFonts w:ascii="Times New Roman" w:hAnsi="Times New Roman" w:cs="Times New Roman"/>
          <w:b/>
        </w:rPr>
        <w:t>7</w:t>
      </w:r>
    </w:p>
    <w:p w14:paraId="2DE24780" w14:textId="77777777" w:rsidR="00271777" w:rsidRPr="00603FB1" w:rsidRDefault="00271777" w:rsidP="00271777">
      <w:pPr>
        <w:spacing w:before="120" w:line="360" w:lineRule="auto"/>
        <w:jc w:val="both"/>
        <w:rPr>
          <w:rFonts w:ascii="Times New Roman" w:hAnsi="Times New Roman" w:cs="Times New Roman"/>
          <w:b/>
          <w:i/>
        </w:rPr>
      </w:pPr>
      <w:r w:rsidRPr="00603FB1">
        <w:rPr>
          <w:rFonts w:ascii="Times New Roman" w:hAnsi="Times New Roman" w:cs="Times New Roman"/>
          <w:b/>
          <w:i/>
        </w:rPr>
        <w:t>“</w:t>
      </w:r>
      <w:r w:rsidRPr="00911E4B">
        <w:rPr>
          <w:rFonts w:ascii="Times New Roman" w:hAnsi="Times New Roman" w:cs="Times New Roman"/>
          <w:b/>
          <w:i/>
        </w:rPr>
        <w:t>Which items have been included in lin</w:t>
      </w:r>
      <w:r>
        <w:rPr>
          <w:rFonts w:ascii="Times New Roman" w:hAnsi="Times New Roman" w:cs="Times New Roman"/>
          <w:b/>
          <w:i/>
        </w:rPr>
        <w:t>es "Other" in Templates 1-5 "</w:t>
      </w:r>
      <w:r w:rsidRPr="00BD2510">
        <w:rPr>
          <w:rFonts w:ascii="Times New Roman" w:eastAsiaTheme="majorEastAsia" w:hAnsi="Times New Roman" w:cs="Times New Roman"/>
          <w:b/>
          <w:i/>
          <w:color w:val="1F497D" w:themeColor="text2"/>
          <w:szCs w:val="24"/>
        </w:rPr>
        <w:t>IRRBB Material_Currency</w:t>
      </w:r>
      <w:r w:rsidRPr="007A7463">
        <w:rPr>
          <w:rFonts w:ascii="Times New Roman" w:hAnsi="Times New Roman" w:cs="Times New Roman"/>
          <w:b/>
          <w:i/>
        </w:rPr>
        <w:t>"?”</w:t>
      </w:r>
    </w:p>
    <w:p w14:paraId="5CDDB72A" w14:textId="77777777" w:rsidR="00271777" w:rsidRPr="00C7433A" w:rsidRDefault="00271777" w:rsidP="00271777">
      <w:pPr>
        <w:pStyle w:val="ListParagraph"/>
        <w:numPr>
          <w:ilvl w:val="0"/>
          <w:numId w:val="2"/>
        </w:numPr>
        <w:spacing w:before="120" w:line="360" w:lineRule="auto"/>
        <w:ind w:left="426"/>
        <w:jc w:val="both"/>
        <w:rPr>
          <w:rFonts w:ascii="Times New Roman" w:hAnsi="Times New Roman" w:cs="Times New Roman"/>
        </w:rPr>
      </w:pPr>
      <w:r w:rsidRPr="00C7433A">
        <w:rPr>
          <w:rFonts w:ascii="Times New Roman" w:hAnsi="Times New Roman" w:cs="Times New Roman"/>
        </w:rPr>
        <w:t>The lines “Other” should only comprise notional repricing cash flows associated with interest rate sensitive instruments in the banking book which have not been reported in the remaining categories</w:t>
      </w:r>
      <w:r w:rsidRPr="00430F45">
        <w:rPr>
          <w:rFonts w:ascii="Times New Roman" w:hAnsi="Times New Roman" w:cs="Times New Roman"/>
          <w:sz w:val="16"/>
        </w:rPr>
        <w:t>.</w:t>
      </w:r>
      <w:r w:rsidRPr="00C7433A">
        <w:rPr>
          <w:rFonts w:ascii="Times New Roman" w:hAnsi="Times New Roman" w:cs="Times New Roman"/>
        </w:rPr>
        <w:t xml:space="preserve"> Please enumerate the items which have been included in “</w:t>
      </w:r>
      <w:proofErr w:type="gramStart"/>
      <w:r w:rsidRPr="00C7433A">
        <w:rPr>
          <w:rFonts w:ascii="Times New Roman" w:hAnsi="Times New Roman" w:cs="Times New Roman"/>
        </w:rPr>
        <w:t>Others</w:t>
      </w:r>
      <w:proofErr w:type="gramEnd"/>
      <w:r w:rsidRPr="00C7433A">
        <w:rPr>
          <w:rFonts w:ascii="Times New Roman" w:hAnsi="Times New Roman" w:cs="Times New Roman"/>
        </w:rPr>
        <w:t xml:space="preserve"> Assets” and in “Other Liabilities”</w:t>
      </w:r>
      <w:r w:rsidRPr="00430F45">
        <w:rPr>
          <w:rFonts w:ascii="Times New Roman" w:hAnsi="Times New Roman" w:cs="Times New Roman"/>
          <w:sz w:val="16"/>
        </w:rPr>
        <w:t>.</w:t>
      </w:r>
    </w:p>
    <w:p w14:paraId="40C8B2E7" w14:textId="77777777" w:rsidR="00271777" w:rsidRDefault="00271777" w:rsidP="00271777">
      <w:pPr>
        <w:pStyle w:val="Heading2"/>
        <w:spacing w:before="120" w:line="360" w:lineRule="auto"/>
        <w:ind w:left="720"/>
        <w:rPr>
          <w:rFonts w:ascii="Times New Roman" w:hAnsi="Times New Roman" w:cs="Times New Roman"/>
          <w:color w:val="auto"/>
        </w:rPr>
      </w:pPr>
      <w:bookmarkStart w:id="23" w:name="_Ref459821016"/>
      <w:bookmarkStart w:id="24" w:name="_Toc518916496"/>
      <w:bookmarkStart w:id="25" w:name="_Toc11660166"/>
      <w:r>
        <w:rPr>
          <w:rFonts w:ascii="Times New Roman" w:hAnsi="Times New Roman" w:cs="Times New Roman"/>
          <w:color w:val="auto"/>
        </w:rPr>
        <w:lastRenderedPageBreak/>
        <w:t xml:space="preserve">Template </w:t>
      </w:r>
      <w:r w:rsidRPr="00FA1A1F">
        <w:rPr>
          <w:rFonts w:ascii="Times New Roman" w:hAnsi="Times New Roman" w:cs="Times New Roman"/>
          <w:color w:val="auto"/>
        </w:rPr>
        <w:t>“</w:t>
      </w:r>
      <w:r>
        <w:rPr>
          <w:rFonts w:ascii="Times New Roman" w:hAnsi="Times New Roman" w:cs="Times New Roman"/>
          <w:color w:val="auto"/>
        </w:rPr>
        <w:t>7_IRRBB_Assumptions</w:t>
      </w:r>
      <w:r w:rsidRPr="00FA1A1F">
        <w:rPr>
          <w:rFonts w:ascii="Times New Roman" w:hAnsi="Times New Roman" w:cs="Times New Roman"/>
          <w:color w:val="auto"/>
        </w:rPr>
        <w:t>”</w:t>
      </w:r>
      <w:bookmarkEnd w:id="23"/>
      <w:bookmarkEnd w:id="24"/>
      <w:bookmarkEnd w:id="25"/>
    </w:p>
    <w:p w14:paraId="6E84304A"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r>
        <w:rPr>
          <w:rFonts w:ascii="Times New Roman" w:hAnsi="Times New Roman" w:cs="Times New Roman"/>
        </w:rPr>
        <w:t>This template gathers additional key methodologies or assumptions regarding institutions’ IRRBB estimates and/or specific data points</w:t>
      </w:r>
      <w:r w:rsidRPr="00430F45">
        <w:rPr>
          <w:rFonts w:ascii="Times New Roman" w:hAnsi="Times New Roman" w:cs="Times New Roman"/>
          <w:sz w:val="16"/>
        </w:rPr>
        <w:t>.</w:t>
      </w:r>
    </w:p>
    <w:p w14:paraId="603D880F"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r>
        <w:rPr>
          <w:rFonts w:ascii="Times New Roman" w:hAnsi="Times New Roman" w:cs="Times New Roman"/>
        </w:rPr>
        <w:t>P</w:t>
      </w:r>
      <w:r w:rsidRPr="00515666">
        <w:rPr>
          <w:rFonts w:ascii="Times New Roman" w:hAnsi="Times New Roman" w:cs="Times New Roman"/>
        </w:rPr>
        <w:t xml:space="preserve">lease explain </w:t>
      </w:r>
      <w:r>
        <w:rPr>
          <w:rFonts w:ascii="Times New Roman" w:hAnsi="Times New Roman" w:cs="Times New Roman"/>
        </w:rPr>
        <w:t xml:space="preserve">in this template what are the main underlying assumptions </w:t>
      </w:r>
      <w:r w:rsidRPr="00515666">
        <w:rPr>
          <w:rFonts w:ascii="Times New Roman" w:hAnsi="Times New Roman" w:cs="Times New Roman"/>
        </w:rPr>
        <w:t xml:space="preserve">regarding the models in use for </w:t>
      </w:r>
      <w:r>
        <w:rPr>
          <w:rFonts w:ascii="Times New Roman" w:hAnsi="Times New Roman" w:cs="Times New Roman"/>
        </w:rPr>
        <w:t xml:space="preserve">slotting notional repricing cash flows according to time bands and for </w:t>
      </w:r>
      <w:r w:rsidRPr="00515666">
        <w:rPr>
          <w:rFonts w:ascii="Times New Roman" w:hAnsi="Times New Roman" w:cs="Times New Roman"/>
        </w:rPr>
        <w:t>calculating</w:t>
      </w:r>
      <w:r>
        <w:rPr>
          <w:rFonts w:ascii="Times New Roman" w:hAnsi="Times New Roman" w:cs="Times New Roman"/>
        </w:rPr>
        <w:t xml:space="preserve"> t</w:t>
      </w:r>
      <w:r w:rsidRPr="00515666">
        <w:rPr>
          <w:rFonts w:ascii="Times New Roman" w:hAnsi="Times New Roman" w:cs="Times New Roman"/>
        </w:rPr>
        <w:t>he risk figures in</w:t>
      </w:r>
      <w:r>
        <w:rPr>
          <w:rFonts w:ascii="Times New Roman" w:hAnsi="Times New Roman" w:cs="Times New Roman"/>
        </w:rPr>
        <w:t>:</w:t>
      </w:r>
    </w:p>
    <w:p w14:paraId="339986FC" w14:textId="77777777" w:rsidR="00271777" w:rsidRDefault="00271777" w:rsidP="00271777">
      <w:pPr>
        <w:pStyle w:val="ListParagraph"/>
        <w:numPr>
          <w:ilvl w:val="0"/>
          <w:numId w:val="9"/>
        </w:numPr>
        <w:spacing w:before="120" w:line="360" w:lineRule="auto"/>
        <w:jc w:val="both"/>
        <w:rPr>
          <w:rFonts w:ascii="Times New Roman" w:hAnsi="Times New Roman" w:cs="Times New Roman"/>
        </w:rPr>
      </w:pPr>
      <w:r w:rsidRPr="003C5DBF">
        <w:rPr>
          <w:rFonts w:ascii="Times New Roman" w:hAnsi="Times New Roman" w:cs="Times New Roman"/>
        </w:rPr>
        <w:t>Template</w:t>
      </w:r>
      <w:r>
        <w:rPr>
          <w:rFonts w:ascii="Times New Roman" w:hAnsi="Times New Roman" w:cs="Times New Roman"/>
        </w:rPr>
        <w:t>s</w:t>
      </w:r>
      <w:r w:rsidRPr="003C5DBF">
        <w:rPr>
          <w:rFonts w:ascii="Times New Roman" w:hAnsi="Times New Roman" w:cs="Times New Roman"/>
        </w:rPr>
        <w:t xml:space="preserve"> "</w:t>
      </w:r>
      <w:r w:rsidRPr="00C85864">
        <w:rPr>
          <w:rFonts w:ascii="Times New Roman" w:eastAsiaTheme="majorEastAsia" w:hAnsi="Times New Roman" w:cs="Times New Roman"/>
          <w:b/>
          <w:color w:val="1F497D" w:themeColor="text2"/>
          <w:szCs w:val="24"/>
        </w:rPr>
        <w:t>IRRBB Material Currencies</w:t>
      </w:r>
      <w:proofErr w:type="gramStart"/>
      <w:r w:rsidRPr="003C5DBF">
        <w:rPr>
          <w:rFonts w:ascii="Times New Roman" w:hAnsi="Times New Roman" w:cs="Times New Roman"/>
        </w:rPr>
        <w:t>"</w:t>
      </w:r>
      <w:r>
        <w:rPr>
          <w:rFonts w:ascii="Times New Roman" w:hAnsi="Times New Roman" w:cs="Times New Roman"/>
        </w:rPr>
        <w:t>;</w:t>
      </w:r>
      <w:proofErr w:type="gramEnd"/>
    </w:p>
    <w:p w14:paraId="23DC3BBA" w14:textId="77777777" w:rsidR="00271777" w:rsidRDefault="00271777" w:rsidP="00271777">
      <w:pPr>
        <w:pStyle w:val="ListParagraph"/>
        <w:numPr>
          <w:ilvl w:val="0"/>
          <w:numId w:val="9"/>
        </w:numPr>
        <w:spacing w:before="120" w:line="360" w:lineRule="auto"/>
        <w:jc w:val="both"/>
        <w:rPr>
          <w:rFonts w:ascii="Times New Roman" w:hAnsi="Times New Roman" w:cs="Times New Roman"/>
        </w:rPr>
      </w:pPr>
      <w:r>
        <w:rPr>
          <w:rFonts w:ascii="Times New Roman" w:hAnsi="Times New Roman" w:cs="Times New Roman"/>
        </w:rPr>
        <w:t>Template “</w:t>
      </w:r>
      <w:r w:rsidRPr="003E1C2A">
        <w:rPr>
          <w:rFonts w:ascii="Times New Roman" w:hAnsi="Times New Roman"/>
          <w:b/>
          <w:color w:val="1F497D" w:themeColor="text2"/>
        </w:rPr>
        <w:t>InterestRate_</w:t>
      </w:r>
      <w:r w:rsidRPr="00827CD3">
        <w:rPr>
          <w:rFonts w:ascii="Times New Roman" w:eastAsiaTheme="majorEastAsia" w:hAnsi="Times New Roman" w:cs="Times New Roman"/>
          <w:b/>
          <w:color w:val="1F497D" w:themeColor="text2"/>
          <w:szCs w:val="24"/>
        </w:rPr>
        <w:t>Additional</w:t>
      </w:r>
      <w:r>
        <w:rPr>
          <w:rFonts w:ascii="Times New Roman" w:hAnsi="Times New Roman" w:cs="Times New Roman"/>
        </w:rPr>
        <w:t>”</w:t>
      </w:r>
      <w:r w:rsidRPr="00515666">
        <w:rPr>
          <w:rFonts w:ascii="Times New Roman" w:hAnsi="Times New Roman" w:cs="Times New Roman"/>
        </w:rPr>
        <w:t xml:space="preserve"> for EV</w:t>
      </w:r>
      <w:r>
        <w:rPr>
          <w:rFonts w:ascii="Times New Roman" w:hAnsi="Times New Roman" w:cs="Times New Roman"/>
        </w:rPr>
        <w:t>E</w:t>
      </w:r>
      <w:r w:rsidRPr="00515666">
        <w:rPr>
          <w:rFonts w:ascii="Times New Roman" w:hAnsi="Times New Roman" w:cs="Times New Roman"/>
        </w:rPr>
        <w:t xml:space="preserve"> (according to</w:t>
      </w:r>
      <w:r>
        <w:rPr>
          <w:rFonts w:ascii="Times New Roman" w:hAnsi="Times New Roman" w:cs="Times New Roman"/>
        </w:rPr>
        <w:t xml:space="preserve"> the</w:t>
      </w:r>
      <w:r w:rsidRPr="00515666">
        <w:rPr>
          <w:rFonts w:ascii="Times New Roman" w:hAnsi="Times New Roman" w:cs="Times New Roman"/>
        </w:rPr>
        <w:t xml:space="preserve"> supervisory </w:t>
      </w:r>
      <w:r>
        <w:rPr>
          <w:rFonts w:ascii="Times New Roman" w:hAnsi="Times New Roman" w:cs="Times New Roman"/>
        </w:rPr>
        <w:t>outlier tests</w:t>
      </w:r>
      <w:r w:rsidRPr="00515666">
        <w:rPr>
          <w:rFonts w:ascii="Times New Roman" w:hAnsi="Times New Roman" w:cs="Times New Roman"/>
        </w:rPr>
        <w:t>)</w:t>
      </w:r>
      <w:r>
        <w:rPr>
          <w:rFonts w:ascii="Times New Roman" w:hAnsi="Times New Roman" w:cs="Times New Roman"/>
        </w:rPr>
        <w:t xml:space="preserve"> and for NII /Earnings (200bp parallel shift)</w:t>
      </w:r>
      <w:r w:rsidRPr="00430F45">
        <w:rPr>
          <w:rFonts w:ascii="Times New Roman" w:hAnsi="Times New Roman" w:cs="Times New Roman"/>
          <w:sz w:val="16"/>
        </w:rPr>
        <w:t>.</w:t>
      </w:r>
    </w:p>
    <w:p w14:paraId="52EC21AA"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r>
        <w:rPr>
          <w:rFonts w:ascii="Times New Roman" w:hAnsi="Times New Roman" w:cs="Times New Roman"/>
        </w:rPr>
        <w:t>The questions included in the template relate to the guidelines but not necessarily to the calculation of the supervisory standard shock</w:t>
      </w:r>
      <w:r w:rsidRPr="00430F45">
        <w:rPr>
          <w:rFonts w:ascii="Times New Roman" w:hAnsi="Times New Roman" w:cs="Times New Roman"/>
          <w:sz w:val="16"/>
        </w:rPr>
        <w:t>.</w:t>
      </w:r>
    </w:p>
    <w:p w14:paraId="47D46175" w14:textId="77777777" w:rsidR="00271777" w:rsidRPr="000E0207" w:rsidRDefault="00271777" w:rsidP="00271777">
      <w:pPr>
        <w:spacing w:before="120" w:line="360" w:lineRule="auto"/>
        <w:jc w:val="both"/>
        <w:rPr>
          <w:rFonts w:ascii="Times New Roman" w:hAnsi="Times New Roman" w:cs="Times New Roman"/>
          <w:b/>
        </w:rPr>
      </w:pPr>
      <w:r w:rsidRPr="000E0207">
        <w:rPr>
          <w:rFonts w:ascii="Times New Roman" w:hAnsi="Times New Roman" w:cs="Times New Roman"/>
          <w:b/>
        </w:rPr>
        <w:t xml:space="preserve">Question </w:t>
      </w:r>
      <w:r>
        <w:rPr>
          <w:rFonts w:ascii="Times New Roman" w:hAnsi="Times New Roman" w:cs="Times New Roman"/>
          <w:b/>
        </w:rPr>
        <w:t>1</w:t>
      </w:r>
    </w:p>
    <w:p w14:paraId="39AB9228" w14:textId="77777777" w:rsidR="00271777" w:rsidRDefault="00271777" w:rsidP="00271777">
      <w:pPr>
        <w:spacing w:before="120" w:line="360" w:lineRule="auto"/>
        <w:jc w:val="both"/>
        <w:rPr>
          <w:rFonts w:ascii="Times New Roman" w:hAnsi="Times New Roman" w:cs="Times New Roman"/>
          <w:b/>
          <w:i/>
        </w:rPr>
      </w:pPr>
      <w:r>
        <w:rPr>
          <w:rFonts w:ascii="Times New Roman" w:hAnsi="Times New Roman" w:cs="Times New Roman"/>
          <w:b/>
          <w:i/>
        </w:rPr>
        <w:t>“</w:t>
      </w:r>
      <w:r w:rsidRPr="00B80A49">
        <w:rPr>
          <w:rFonts w:ascii="Times New Roman" w:hAnsi="Times New Roman" w:cs="Times New Roman"/>
          <w:b/>
          <w:i/>
        </w:rPr>
        <w:t xml:space="preserve">What are the </w:t>
      </w:r>
      <w:r>
        <w:rPr>
          <w:rFonts w:ascii="Times New Roman" w:hAnsi="Times New Roman" w:cs="Times New Roman"/>
          <w:b/>
          <w:i/>
        </w:rPr>
        <w:t>key</w:t>
      </w:r>
      <w:r w:rsidRPr="00B80A49">
        <w:rPr>
          <w:rFonts w:ascii="Times New Roman" w:hAnsi="Times New Roman" w:cs="Times New Roman"/>
          <w:b/>
          <w:i/>
        </w:rPr>
        <w:t xml:space="preserve"> modelling assumptions underlying the modelled cas</w:t>
      </w:r>
      <w:r>
        <w:rPr>
          <w:rFonts w:ascii="Times New Roman" w:hAnsi="Times New Roman" w:cs="Times New Roman"/>
          <w:b/>
          <w:i/>
        </w:rPr>
        <w:t xml:space="preserve">h </w:t>
      </w:r>
      <w:r w:rsidRPr="00B80A49">
        <w:rPr>
          <w:rFonts w:ascii="Times New Roman" w:hAnsi="Times New Roman" w:cs="Times New Roman"/>
          <w:b/>
          <w:i/>
        </w:rPr>
        <w:t xml:space="preserve">flows by type of item? </w:t>
      </w:r>
    </w:p>
    <w:p w14:paraId="0612DB68" w14:textId="77777777" w:rsidR="00271777" w:rsidRPr="003E1C2A" w:rsidRDefault="00271777" w:rsidP="00271777">
      <w:pPr>
        <w:pStyle w:val="ListParagraph"/>
        <w:numPr>
          <w:ilvl w:val="0"/>
          <w:numId w:val="2"/>
        </w:numPr>
        <w:spacing w:before="120" w:line="360" w:lineRule="auto"/>
        <w:ind w:left="426"/>
        <w:jc w:val="both"/>
        <w:rPr>
          <w:rFonts w:ascii="Times New Roman" w:hAnsi="Times New Roman"/>
        </w:rPr>
      </w:pPr>
      <w:r w:rsidRPr="00654704">
        <w:rPr>
          <w:rFonts w:ascii="Times New Roman" w:hAnsi="Times New Roman" w:cs="Times New Roman"/>
        </w:rPr>
        <w:t xml:space="preserve">According to paragraph 68(c) of the EBA/GL/2018/02, institutions should </w:t>
      </w:r>
      <w:proofErr w:type="gramStart"/>
      <w:r w:rsidRPr="00654704">
        <w:rPr>
          <w:rFonts w:ascii="Times New Roman" w:hAnsi="Times New Roman" w:cs="Times New Roman"/>
        </w:rPr>
        <w:t>take into account</w:t>
      </w:r>
      <w:proofErr w:type="gramEnd"/>
      <w:r w:rsidRPr="00654704">
        <w:rPr>
          <w:rFonts w:ascii="Times New Roman" w:hAnsi="Times New Roman" w:cs="Times New Roman"/>
        </w:rPr>
        <w:t xml:space="preserve"> in their internal reports the “</w:t>
      </w:r>
      <w:r w:rsidRPr="00C85864">
        <w:rPr>
          <w:rFonts w:ascii="Times New Roman" w:hAnsi="Times New Roman" w:cs="Times New Roman"/>
          <w:i/>
        </w:rPr>
        <w:t>key modelling assumptions, such as characteristics of non-maturity</w:t>
      </w:r>
      <w:r w:rsidRPr="003E1C2A">
        <w:rPr>
          <w:rFonts w:ascii="Times New Roman" w:hAnsi="Times New Roman"/>
          <w:i/>
        </w:rPr>
        <w:t xml:space="preserve"> deposits</w:t>
      </w:r>
      <w:r w:rsidRPr="00C85864">
        <w:rPr>
          <w:rFonts w:ascii="Times New Roman" w:hAnsi="Times New Roman" w:cs="Times New Roman"/>
          <w:i/>
        </w:rPr>
        <w:t xml:space="preserve"> (NMDs), prepayments on fixed rate loans, early withdrawals of fixed term</w:t>
      </w:r>
      <w:r w:rsidRPr="003E1C2A">
        <w:rPr>
          <w:rFonts w:ascii="Times New Roman" w:hAnsi="Times New Roman"/>
          <w:i/>
        </w:rPr>
        <w:t xml:space="preserve"> deposits</w:t>
      </w:r>
      <w:r w:rsidRPr="00C85864">
        <w:rPr>
          <w:rFonts w:ascii="Times New Roman" w:hAnsi="Times New Roman" w:cs="Times New Roman"/>
          <w:i/>
        </w:rPr>
        <w:t>, drawing of commitments…</w:t>
      </w:r>
      <w:r w:rsidRPr="00654704">
        <w:rPr>
          <w:rFonts w:ascii="Times New Roman" w:hAnsi="Times New Roman" w:cs="Times New Roman"/>
        </w:rPr>
        <w:t>”</w:t>
      </w:r>
    </w:p>
    <w:p w14:paraId="1C77D437"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r w:rsidRPr="00654704">
        <w:rPr>
          <w:rFonts w:ascii="Times New Roman" w:hAnsi="Times New Roman" w:cs="Times New Roman"/>
        </w:rPr>
        <w:t>Please briefly explain the main modelling assumptions underlying the computation of modelled cash</w:t>
      </w:r>
      <w:r>
        <w:rPr>
          <w:rFonts w:ascii="Times New Roman" w:hAnsi="Times New Roman" w:cs="Times New Roman"/>
        </w:rPr>
        <w:t xml:space="preserve"> </w:t>
      </w:r>
      <w:r w:rsidRPr="00654704">
        <w:rPr>
          <w:rFonts w:ascii="Times New Roman" w:hAnsi="Times New Roman" w:cs="Times New Roman"/>
        </w:rPr>
        <w:t>flows aggregated by type of item or with additional granularity whenever relevant</w:t>
      </w:r>
      <w:r w:rsidRPr="00430F45">
        <w:rPr>
          <w:rFonts w:ascii="Times New Roman" w:hAnsi="Times New Roman" w:cs="Times New Roman"/>
          <w:sz w:val="16"/>
        </w:rPr>
        <w:t>.</w:t>
      </w:r>
    </w:p>
    <w:p w14:paraId="3C14F4A2" w14:textId="77777777" w:rsidR="00271777" w:rsidRDefault="00271777" w:rsidP="00271777">
      <w:pPr>
        <w:spacing w:before="120" w:line="360" w:lineRule="auto"/>
        <w:jc w:val="both"/>
        <w:rPr>
          <w:rFonts w:ascii="Times New Roman" w:hAnsi="Times New Roman" w:cs="Times New Roman"/>
          <w:b/>
        </w:rPr>
      </w:pPr>
      <w:r w:rsidRPr="00B41C22">
        <w:rPr>
          <w:rFonts w:ascii="Times New Roman" w:hAnsi="Times New Roman" w:cs="Times New Roman"/>
          <w:b/>
        </w:rPr>
        <w:t>Question</w:t>
      </w:r>
      <w:r>
        <w:rPr>
          <w:rFonts w:ascii="Times New Roman" w:hAnsi="Times New Roman" w:cs="Times New Roman"/>
          <w:b/>
        </w:rPr>
        <w:t>s</w:t>
      </w:r>
      <w:r w:rsidRPr="00B41C22">
        <w:rPr>
          <w:rFonts w:ascii="Times New Roman" w:hAnsi="Times New Roman" w:cs="Times New Roman"/>
          <w:b/>
        </w:rPr>
        <w:t xml:space="preserve"> </w:t>
      </w:r>
      <w:r>
        <w:rPr>
          <w:rFonts w:ascii="Times New Roman" w:hAnsi="Times New Roman" w:cs="Times New Roman"/>
          <w:b/>
        </w:rPr>
        <w:t>2 and 3</w:t>
      </w:r>
    </w:p>
    <w:p w14:paraId="0AF9BC9A" w14:textId="77777777" w:rsidR="00271777" w:rsidRPr="000E0207" w:rsidRDefault="00271777" w:rsidP="00271777">
      <w:pPr>
        <w:spacing w:before="120" w:line="360" w:lineRule="auto"/>
        <w:jc w:val="both"/>
        <w:rPr>
          <w:rFonts w:ascii="Times New Roman" w:hAnsi="Times New Roman" w:cs="Times New Roman"/>
          <w:b/>
          <w:i/>
        </w:rPr>
      </w:pPr>
      <w:r>
        <w:rPr>
          <w:rFonts w:ascii="Times New Roman" w:hAnsi="Times New Roman" w:cs="Times New Roman"/>
          <w:b/>
          <w:i/>
        </w:rPr>
        <w:t>“</w:t>
      </w:r>
      <w:r w:rsidRPr="000E0207">
        <w:rPr>
          <w:rFonts w:ascii="Times New Roman" w:hAnsi="Times New Roman" w:cs="Times New Roman"/>
          <w:b/>
          <w:i/>
        </w:rPr>
        <w:t>How have products with embedded automatic optionality been treated in the banking book?</w:t>
      </w:r>
      <w:r>
        <w:rPr>
          <w:rFonts w:ascii="Times New Roman" w:hAnsi="Times New Roman" w:cs="Times New Roman"/>
          <w:b/>
          <w:i/>
        </w:rPr>
        <w:t>”</w:t>
      </w:r>
      <w:r w:rsidRPr="000E0207">
        <w:rPr>
          <w:rFonts w:ascii="Times New Roman" w:hAnsi="Times New Roman" w:cs="Times New Roman"/>
          <w:b/>
          <w:i/>
        </w:rPr>
        <w:br/>
      </w:r>
      <w:r>
        <w:rPr>
          <w:rFonts w:ascii="Times New Roman" w:hAnsi="Times New Roman" w:cs="Times New Roman"/>
          <w:b/>
          <w:i/>
        </w:rPr>
        <w:t>“</w:t>
      </w:r>
      <w:r w:rsidRPr="000E0207">
        <w:rPr>
          <w:rFonts w:ascii="Times New Roman" w:hAnsi="Times New Roman" w:cs="Times New Roman"/>
          <w:b/>
          <w:i/>
        </w:rPr>
        <w:t>How have products with embedded behavioural optionality been treated in the banking book?</w:t>
      </w:r>
      <w:r>
        <w:rPr>
          <w:rFonts w:ascii="Times New Roman" w:hAnsi="Times New Roman" w:cs="Times New Roman"/>
          <w:b/>
          <w:i/>
        </w:rPr>
        <w:t>”</w:t>
      </w:r>
    </w:p>
    <w:p w14:paraId="29C519F1" w14:textId="77777777" w:rsidR="00271777" w:rsidRPr="005E047B" w:rsidRDefault="00271777" w:rsidP="00271777">
      <w:pPr>
        <w:pStyle w:val="ListParagraph"/>
        <w:numPr>
          <w:ilvl w:val="0"/>
          <w:numId w:val="2"/>
        </w:numPr>
        <w:spacing w:before="120" w:line="360" w:lineRule="auto"/>
        <w:ind w:left="426"/>
        <w:jc w:val="both"/>
        <w:rPr>
          <w:rFonts w:ascii="Times New Roman" w:hAnsi="Times New Roman" w:cs="Times New Roman"/>
        </w:rPr>
      </w:pPr>
      <w:r w:rsidRPr="005E047B">
        <w:rPr>
          <w:rFonts w:ascii="Times New Roman" w:hAnsi="Times New Roman" w:cs="Times New Roman"/>
        </w:rPr>
        <w:t xml:space="preserve">According to paragraph </w:t>
      </w:r>
      <w:r>
        <w:rPr>
          <w:rFonts w:ascii="Times New Roman" w:hAnsi="Times New Roman" w:cs="Times New Roman"/>
        </w:rPr>
        <w:t>107</w:t>
      </w:r>
      <w:r w:rsidRPr="005E047B">
        <w:rPr>
          <w:rFonts w:ascii="Times New Roman" w:hAnsi="Times New Roman" w:cs="Times New Roman"/>
        </w:rPr>
        <w:t xml:space="preserve"> of EBA</w:t>
      </w:r>
      <w:r>
        <w:rPr>
          <w:rFonts w:ascii="Times New Roman" w:hAnsi="Times New Roman" w:cs="Times New Roman"/>
        </w:rPr>
        <w:t>/</w:t>
      </w:r>
      <w:r w:rsidRPr="005E047B">
        <w:rPr>
          <w:rFonts w:ascii="Times New Roman" w:hAnsi="Times New Roman" w:cs="Times New Roman"/>
        </w:rPr>
        <w:t>GL</w:t>
      </w:r>
      <w:r>
        <w:rPr>
          <w:rFonts w:ascii="Times New Roman" w:hAnsi="Times New Roman" w:cs="Times New Roman"/>
        </w:rPr>
        <w:t>/2018/02</w:t>
      </w:r>
      <w:r w:rsidRPr="005E047B">
        <w:rPr>
          <w:rFonts w:ascii="Times New Roman" w:hAnsi="Times New Roman" w:cs="Times New Roman"/>
        </w:rPr>
        <w:t>, “</w:t>
      </w:r>
      <w:r w:rsidRPr="00BD2510">
        <w:rPr>
          <w:rFonts w:ascii="Times New Roman" w:hAnsi="Times New Roman"/>
          <w:i/>
        </w:rPr>
        <w:t>Institutions should have policies in place governing the setting of, and the regular assessment of the key assumptions for the treatment of on</w:t>
      </w:r>
      <w:r>
        <w:rPr>
          <w:rFonts w:ascii="Times New Roman" w:hAnsi="Times New Roman"/>
          <w:i/>
        </w:rPr>
        <w:t>-</w:t>
      </w:r>
      <w:r w:rsidRPr="00BD2510">
        <w:rPr>
          <w:rFonts w:ascii="Times New Roman" w:hAnsi="Times New Roman"/>
          <w:i/>
        </w:rPr>
        <w:t xml:space="preserve"> and off-balance-sheet items that have embedded options in their interest rate risk framework</w:t>
      </w:r>
      <w:r w:rsidRPr="00430F45">
        <w:rPr>
          <w:rFonts w:ascii="Times New Roman" w:hAnsi="Times New Roman"/>
          <w:i/>
          <w:sz w:val="16"/>
        </w:rPr>
        <w:t>.</w:t>
      </w:r>
      <w:r w:rsidRPr="00BD2510">
        <w:rPr>
          <w:rFonts w:ascii="Times New Roman" w:hAnsi="Times New Roman"/>
          <w:i/>
        </w:rPr>
        <w:t xml:space="preserve"> This means that institutions should: (a) identify all material products and items subject to embedded options that could affect either the interest rate charged or the behavioural repricing date (as opposed to contractual maturity date) of the relevant balances</w:t>
      </w:r>
      <w:r>
        <w:rPr>
          <w:rFonts w:ascii="Times New Roman" w:hAnsi="Times New Roman" w:cs="Times New Roman"/>
        </w:rPr>
        <w:t>”</w:t>
      </w:r>
      <w:r w:rsidRPr="00430F45">
        <w:rPr>
          <w:rFonts w:ascii="Times New Roman" w:hAnsi="Times New Roman" w:cs="Times New Roman"/>
          <w:sz w:val="16"/>
        </w:rPr>
        <w:t>.</w:t>
      </w:r>
    </w:p>
    <w:p w14:paraId="0980FCA9"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r w:rsidRPr="005B12A5">
        <w:rPr>
          <w:rFonts w:ascii="Times New Roman" w:hAnsi="Times New Roman" w:cs="Times New Roman"/>
        </w:rPr>
        <w:t xml:space="preserve">Please explain </w:t>
      </w:r>
      <w:r>
        <w:rPr>
          <w:rFonts w:ascii="Times New Roman" w:hAnsi="Times New Roman" w:cs="Times New Roman"/>
        </w:rPr>
        <w:t xml:space="preserve">how </w:t>
      </w:r>
      <w:r w:rsidRPr="005B12A5">
        <w:rPr>
          <w:rFonts w:ascii="Times New Roman" w:hAnsi="Times New Roman" w:cs="Times New Roman"/>
        </w:rPr>
        <w:t>products with embedded optionality have been treated in the banking book</w:t>
      </w:r>
      <w:r w:rsidRPr="00430F45">
        <w:rPr>
          <w:rFonts w:ascii="Times New Roman" w:hAnsi="Times New Roman" w:cs="Times New Roman"/>
          <w:sz w:val="16"/>
        </w:rPr>
        <w:t>.</w:t>
      </w:r>
      <w:r w:rsidRPr="005B12A5">
        <w:rPr>
          <w:rFonts w:ascii="Times New Roman" w:hAnsi="Times New Roman" w:cs="Times New Roman"/>
        </w:rPr>
        <w:t xml:space="preserve"> </w:t>
      </w:r>
      <w:r>
        <w:rPr>
          <w:rFonts w:ascii="Times New Roman" w:hAnsi="Times New Roman" w:cs="Times New Roman"/>
        </w:rPr>
        <w:t>Please complement the explanation with quantitative figures on the impact of the embedded optionality in the main IRRBB metrics provided in the</w:t>
      </w:r>
      <w:r w:rsidRPr="004E374A">
        <w:rPr>
          <w:rFonts w:ascii="Times New Roman" w:hAnsi="Times New Roman" w:cs="Times New Roman"/>
        </w:rPr>
        <w:t xml:space="preserve"> </w:t>
      </w:r>
      <w:r>
        <w:rPr>
          <w:rFonts w:ascii="Times New Roman" w:hAnsi="Times New Roman" w:cs="Times New Roman"/>
        </w:rPr>
        <w:t>Template 6 “</w:t>
      </w:r>
      <w:r w:rsidRPr="00827CD3">
        <w:rPr>
          <w:rFonts w:ascii="Times New Roman" w:eastAsiaTheme="majorEastAsia" w:hAnsi="Times New Roman" w:cs="Times New Roman"/>
          <w:b/>
          <w:color w:val="1F497D" w:themeColor="text2"/>
          <w:szCs w:val="24"/>
        </w:rPr>
        <w:t>I</w:t>
      </w:r>
      <w:r>
        <w:rPr>
          <w:rFonts w:ascii="Times New Roman" w:eastAsiaTheme="majorEastAsia" w:hAnsi="Times New Roman" w:cs="Times New Roman"/>
          <w:b/>
          <w:color w:val="1F497D" w:themeColor="text2"/>
          <w:szCs w:val="24"/>
        </w:rPr>
        <w:t>RRBB</w:t>
      </w:r>
      <w:r w:rsidRPr="00827CD3">
        <w:rPr>
          <w:rFonts w:ascii="Times New Roman" w:eastAsiaTheme="majorEastAsia" w:hAnsi="Times New Roman" w:cs="Times New Roman"/>
          <w:b/>
          <w:color w:val="1F497D" w:themeColor="text2"/>
          <w:szCs w:val="24"/>
        </w:rPr>
        <w:t>_Additional</w:t>
      </w:r>
      <w:r>
        <w:rPr>
          <w:rFonts w:ascii="Times New Roman" w:hAnsi="Times New Roman" w:cs="Times New Roman"/>
        </w:rPr>
        <w:t>”</w:t>
      </w:r>
      <w:r w:rsidRPr="00430F45">
        <w:rPr>
          <w:rFonts w:ascii="Times New Roman" w:hAnsi="Times New Roman" w:cs="Times New Roman"/>
          <w:sz w:val="16"/>
        </w:rPr>
        <w:t>.</w:t>
      </w:r>
    </w:p>
    <w:p w14:paraId="34698529"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r w:rsidRPr="005B12A5">
        <w:rPr>
          <w:rFonts w:ascii="Times New Roman" w:hAnsi="Times New Roman" w:cs="Times New Roman"/>
        </w:rPr>
        <w:lastRenderedPageBreak/>
        <w:t xml:space="preserve">Please </w:t>
      </w:r>
      <w:r>
        <w:rPr>
          <w:rFonts w:ascii="Times New Roman" w:hAnsi="Times New Roman" w:cs="Times New Roman"/>
        </w:rPr>
        <w:t xml:space="preserve">explain specifically </w:t>
      </w:r>
      <w:r w:rsidRPr="005B12A5">
        <w:rPr>
          <w:rFonts w:ascii="Times New Roman" w:hAnsi="Times New Roman" w:cs="Times New Roman"/>
        </w:rPr>
        <w:t>the assumptions underlying loan prepaymen</w:t>
      </w:r>
      <w:r>
        <w:rPr>
          <w:rFonts w:ascii="Times New Roman" w:hAnsi="Times New Roman" w:cs="Times New Roman"/>
        </w:rPr>
        <w:t>ts, the proportion of modelled prepayments to total loans and advances and the average maturity prior and post-prepayment assumptions assuming the current interest rate environment</w:t>
      </w:r>
      <w:r w:rsidRPr="00430F45">
        <w:rPr>
          <w:rFonts w:ascii="Times New Roman" w:hAnsi="Times New Roman" w:cs="Times New Roman"/>
          <w:sz w:val="16"/>
        </w:rPr>
        <w:t>.</w:t>
      </w:r>
    </w:p>
    <w:p w14:paraId="4F263E59"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r>
        <w:rPr>
          <w:rFonts w:ascii="Times New Roman" w:hAnsi="Times New Roman" w:cs="Times New Roman"/>
        </w:rPr>
        <w:t>Regarding the key modelling assumptions of NMDs</w:t>
      </w:r>
      <w:r w:rsidRPr="000B4FF7">
        <w:rPr>
          <w:rFonts w:ascii="Times New Roman" w:hAnsi="Times New Roman" w:cs="Times New Roman"/>
        </w:rPr>
        <w:t xml:space="preserve">, </w:t>
      </w:r>
      <w:r>
        <w:rPr>
          <w:rFonts w:ascii="Times New Roman" w:hAnsi="Times New Roman" w:cs="Times New Roman"/>
        </w:rPr>
        <w:t xml:space="preserve">in </w:t>
      </w:r>
      <w:r w:rsidRPr="00ED6470">
        <w:rPr>
          <w:rFonts w:ascii="Times New Roman" w:hAnsi="Times New Roman" w:cs="Times New Roman"/>
        </w:rPr>
        <w:t>addition to provid</w:t>
      </w:r>
      <w:r>
        <w:rPr>
          <w:rFonts w:ascii="Times New Roman" w:hAnsi="Times New Roman" w:cs="Times New Roman"/>
        </w:rPr>
        <w:t>ing</w:t>
      </w:r>
      <w:r w:rsidRPr="00ED6470">
        <w:rPr>
          <w:rFonts w:ascii="Times New Roman" w:hAnsi="Times New Roman" w:cs="Times New Roman"/>
        </w:rPr>
        <w:t xml:space="preserve"> a description on the methodology</w:t>
      </w:r>
      <w:r w:rsidRPr="003E1C2A">
        <w:rPr>
          <w:rFonts w:ascii="Times New Roman" w:hAnsi="Times New Roman"/>
        </w:rPr>
        <w:t xml:space="preserve"> to </w:t>
      </w:r>
      <w:r>
        <w:rPr>
          <w:rFonts w:ascii="Times New Roman" w:hAnsi="Times New Roman" w:cs="Times New Roman"/>
        </w:rPr>
        <w:t>slot</w:t>
      </w:r>
      <w:r w:rsidRPr="00C85864">
        <w:rPr>
          <w:rFonts w:ascii="Times New Roman" w:hAnsi="Times New Roman" w:cs="Times New Roman"/>
        </w:rPr>
        <w:t xml:space="preserve"> them into the appropriate time bucket</w:t>
      </w:r>
      <w:r w:rsidRPr="00ED6470">
        <w:rPr>
          <w:rFonts w:ascii="Times New Roman" w:hAnsi="Times New Roman" w:cs="Times New Roman"/>
        </w:rPr>
        <w:t>s</w:t>
      </w:r>
      <w:r w:rsidRPr="003E1C2A">
        <w:rPr>
          <w:rFonts w:ascii="Times New Roman" w:hAnsi="Times New Roman"/>
        </w:rPr>
        <w:t xml:space="preserve">, institutions should </w:t>
      </w:r>
      <w:r w:rsidRPr="00ED6470">
        <w:rPr>
          <w:rFonts w:ascii="Times New Roman" w:hAnsi="Times New Roman" w:cs="Times New Roman"/>
        </w:rPr>
        <w:t>also provide</w:t>
      </w:r>
      <w:r w:rsidRPr="000B4FF7">
        <w:rPr>
          <w:rFonts w:ascii="Times New Roman" w:hAnsi="Times New Roman" w:cs="Times New Roman"/>
        </w:rPr>
        <w:t xml:space="preserve"> quantitative metrics</w:t>
      </w:r>
      <w:r>
        <w:rPr>
          <w:rFonts w:ascii="Times New Roman" w:hAnsi="Times New Roman" w:cs="Times New Roman"/>
        </w:rPr>
        <w:t>, per type</w:t>
      </w:r>
      <w:r w:rsidRPr="003E1C2A">
        <w:rPr>
          <w:rFonts w:ascii="Times New Roman" w:hAnsi="Times New Roman"/>
        </w:rPr>
        <w:t xml:space="preserve"> of </w:t>
      </w:r>
      <w:r>
        <w:rPr>
          <w:rFonts w:ascii="Times New Roman" w:hAnsi="Times New Roman" w:cs="Times New Roman"/>
        </w:rPr>
        <w:t>account characteristic,</w:t>
      </w:r>
      <w:r w:rsidRPr="000B4FF7">
        <w:rPr>
          <w:rFonts w:ascii="Times New Roman" w:hAnsi="Times New Roman" w:cs="Times New Roman"/>
        </w:rPr>
        <w:t xml:space="preserve"> on the average repricing </w:t>
      </w:r>
      <w:r w:rsidRPr="003E1C2A">
        <w:rPr>
          <w:rFonts w:ascii="Times New Roman" w:hAnsi="Times New Roman"/>
        </w:rPr>
        <w:t xml:space="preserve">maturity </w:t>
      </w:r>
      <w:r w:rsidRPr="000B4FF7">
        <w:rPr>
          <w:rFonts w:ascii="Times New Roman" w:hAnsi="Times New Roman" w:cs="Times New Roman"/>
        </w:rPr>
        <w:t>assigned to NMD,</w:t>
      </w:r>
      <w:r w:rsidRPr="003E1C2A">
        <w:rPr>
          <w:rFonts w:ascii="Times New Roman" w:hAnsi="Times New Roman"/>
        </w:rPr>
        <w:t xml:space="preserve"> the </w:t>
      </w:r>
      <w:r>
        <w:rPr>
          <w:rFonts w:ascii="Times New Roman" w:hAnsi="Times New Roman" w:cs="Times New Roman"/>
        </w:rPr>
        <w:t xml:space="preserve">total stock of core deposits and </w:t>
      </w:r>
      <w:r w:rsidRPr="003E1C2A">
        <w:rPr>
          <w:rFonts w:ascii="Times New Roman" w:hAnsi="Times New Roman"/>
        </w:rPr>
        <w:t xml:space="preserve">the </w:t>
      </w:r>
      <w:r>
        <w:rPr>
          <w:rFonts w:ascii="Times New Roman" w:hAnsi="Times New Roman" w:cs="Times New Roman"/>
        </w:rPr>
        <w:t>proportion of core deposits over the total stock of NMDs</w:t>
      </w:r>
      <w:r w:rsidRPr="00430F45">
        <w:rPr>
          <w:rFonts w:ascii="Times New Roman" w:hAnsi="Times New Roman" w:cs="Times New Roman"/>
          <w:sz w:val="16"/>
        </w:rPr>
        <w:t>.</w:t>
      </w:r>
    </w:p>
    <w:p w14:paraId="0932CEFA" w14:textId="77777777" w:rsidR="00271777" w:rsidRDefault="00271777" w:rsidP="00271777">
      <w:pPr>
        <w:spacing w:before="120" w:line="360" w:lineRule="auto"/>
        <w:jc w:val="both"/>
        <w:rPr>
          <w:rFonts w:ascii="Times New Roman" w:hAnsi="Times New Roman" w:cs="Times New Roman"/>
          <w:b/>
        </w:rPr>
      </w:pPr>
      <w:r w:rsidRPr="000E0207">
        <w:rPr>
          <w:rFonts w:ascii="Times New Roman" w:hAnsi="Times New Roman" w:cs="Times New Roman"/>
          <w:b/>
        </w:rPr>
        <w:t>Question</w:t>
      </w:r>
      <w:r>
        <w:rPr>
          <w:rFonts w:ascii="Times New Roman" w:hAnsi="Times New Roman" w:cs="Times New Roman"/>
          <w:b/>
        </w:rPr>
        <w:t xml:space="preserve"> 4</w:t>
      </w:r>
    </w:p>
    <w:p w14:paraId="7D3AFCD9" w14:textId="77777777" w:rsidR="00271777" w:rsidRPr="00C85864" w:rsidRDefault="00271777" w:rsidP="00271777">
      <w:pPr>
        <w:spacing w:before="120" w:line="360" w:lineRule="auto"/>
        <w:jc w:val="both"/>
        <w:rPr>
          <w:rFonts w:ascii="Times New Roman" w:hAnsi="Times New Roman" w:cs="Times New Roman"/>
          <w:b/>
          <w:i/>
        </w:rPr>
      </w:pPr>
      <w:r w:rsidRPr="00C85864">
        <w:rPr>
          <w:rFonts w:ascii="Times New Roman" w:hAnsi="Times New Roman" w:cs="Times New Roman"/>
          <w:b/>
          <w:i/>
        </w:rPr>
        <w:t xml:space="preserve">“How have </w:t>
      </w:r>
      <w:r>
        <w:rPr>
          <w:rFonts w:ascii="Times New Roman" w:hAnsi="Times New Roman" w:cs="Times New Roman"/>
          <w:b/>
          <w:i/>
        </w:rPr>
        <w:t>n</w:t>
      </w:r>
      <w:r w:rsidRPr="00C85864">
        <w:rPr>
          <w:rFonts w:ascii="Times New Roman" w:hAnsi="Times New Roman" w:cs="Times New Roman"/>
          <w:b/>
          <w:i/>
        </w:rPr>
        <w:t>on-</w:t>
      </w:r>
      <w:r>
        <w:rPr>
          <w:rFonts w:ascii="Times New Roman" w:hAnsi="Times New Roman" w:cs="Times New Roman"/>
          <w:b/>
          <w:i/>
        </w:rPr>
        <w:t>p</w:t>
      </w:r>
      <w:r w:rsidRPr="00C85864">
        <w:rPr>
          <w:rFonts w:ascii="Times New Roman" w:hAnsi="Times New Roman" w:cs="Times New Roman"/>
          <w:b/>
          <w:i/>
        </w:rPr>
        <w:t xml:space="preserve">erforming </w:t>
      </w:r>
      <w:r>
        <w:rPr>
          <w:rFonts w:ascii="Times New Roman" w:hAnsi="Times New Roman" w:cs="Times New Roman"/>
          <w:b/>
          <w:i/>
        </w:rPr>
        <w:t>e</w:t>
      </w:r>
      <w:r w:rsidRPr="00C85864">
        <w:rPr>
          <w:rFonts w:ascii="Times New Roman" w:hAnsi="Times New Roman" w:cs="Times New Roman"/>
          <w:b/>
          <w:i/>
        </w:rPr>
        <w:t>xposures</w:t>
      </w:r>
      <w:r>
        <w:rPr>
          <w:rFonts w:ascii="Times New Roman" w:hAnsi="Times New Roman" w:cs="Times New Roman"/>
          <w:b/>
          <w:i/>
        </w:rPr>
        <w:t xml:space="preserve"> (NPE)</w:t>
      </w:r>
      <w:r w:rsidRPr="00C85864">
        <w:rPr>
          <w:rFonts w:ascii="Times New Roman" w:hAnsi="Times New Roman" w:cs="Times New Roman"/>
          <w:b/>
          <w:i/>
        </w:rPr>
        <w:t xml:space="preserve"> been treated in the calculation of figures presented in the </w:t>
      </w:r>
      <w:r w:rsidRPr="00226EC6">
        <w:rPr>
          <w:rFonts w:ascii="Times New Roman" w:hAnsi="Times New Roman" w:cs="Times New Roman"/>
          <w:b/>
          <w:i/>
        </w:rPr>
        <w:t>Template 6 “</w:t>
      </w:r>
      <w:r w:rsidRPr="00BD2510">
        <w:rPr>
          <w:rFonts w:ascii="Times New Roman" w:eastAsiaTheme="majorEastAsia" w:hAnsi="Times New Roman" w:cs="Times New Roman"/>
          <w:b/>
          <w:i/>
          <w:color w:val="1F497D" w:themeColor="text2"/>
          <w:szCs w:val="24"/>
        </w:rPr>
        <w:t>IRRBB_Additional</w:t>
      </w:r>
      <w:r>
        <w:rPr>
          <w:rFonts w:ascii="Times New Roman" w:hAnsi="Times New Roman" w:cs="Times New Roman"/>
          <w:b/>
          <w:i/>
        </w:rPr>
        <w:t>”</w:t>
      </w:r>
      <w:r w:rsidRPr="00C85864">
        <w:rPr>
          <w:rFonts w:ascii="Times New Roman" w:hAnsi="Times New Roman" w:cs="Times New Roman"/>
          <w:b/>
          <w:i/>
        </w:rPr>
        <w:t xml:space="preserve">? Please describe the methodology you have applied in the </w:t>
      </w:r>
      <w:proofErr w:type="gramStart"/>
      <w:r w:rsidRPr="007C4C43">
        <w:rPr>
          <w:rFonts w:ascii="Times New Roman" w:hAnsi="Times New Roman" w:cs="Times New Roman"/>
          <w:b/>
          <w:i/>
        </w:rPr>
        <w:t>aforementioned</w:t>
      </w:r>
      <w:r w:rsidRPr="00C85864">
        <w:rPr>
          <w:rFonts w:ascii="Times New Roman" w:hAnsi="Times New Roman" w:cs="Times New Roman"/>
          <w:b/>
          <w:i/>
        </w:rPr>
        <w:t xml:space="preserve"> calculations</w:t>
      </w:r>
      <w:proofErr w:type="gramEnd"/>
      <w:r w:rsidRPr="00C85864">
        <w:rPr>
          <w:rFonts w:ascii="Times New Roman" w:hAnsi="Times New Roman" w:cs="Times New Roman"/>
          <w:b/>
          <w:i/>
        </w:rPr>
        <w:t xml:space="preserve"> and in the </w:t>
      </w:r>
      <w:r>
        <w:rPr>
          <w:rFonts w:ascii="Times New Roman" w:hAnsi="Times New Roman" w:cs="Times New Roman"/>
          <w:b/>
          <w:i/>
        </w:rPr>
        <w:t>reporting</w:t>
      </w:r>
      <w:r w:rsidRPr="00C85864">
        <w:rPr>
          <w:rFonts w:ascii="Times New Roman" w:hAnsi="Times New Roman" w:cs="Times New Roman"/>
          <w:b/>
          <w:i/>
        </w:rPr>
        <w:t xml:space="preserve"> of data required in Templates </w:t>
      </w:r>
      <w:r>
        <w:rPr>
          <w:rFonts w:ascii="Times New Roman" w:hAnsi="Times New Roman" w:cs="Times New Roman"/>
          <w:b/>
          <w:i/>
        </w:rPr>
        <w:t xml:space="preserve">1-5 </w:t>
      </w:r>
      <w:r w:rsidRPr="00C85864">
        <w:rPr>
          <w:rFonts w:ascii="Times New Roman" w:hAnsi="Times New Roman" w:cs="Times New Roman"/>
          <w:b/>
          <w:i/>
        </w:rPr>
        <w:t>“</w:t>
      </w:r>
      <w:r w:rsidRPr="00BD2510">
        <w:rPr>
          <w:rFonts w:ascii="Times New Roman" w:eastAsiaTheme="majorEastAsia" w:hAnsi="Times New Roman" w:cs="Times New Roman"/>
          <w:b/>
          <w:i/>
          <w:color w:val="1F497D" w:themeColor="text2"/>
          <w:szCs w:val="24"/>
        </w:rPr>
        <w:t>IRRBB_Material Currency”</w:t>
      </w:r>
      <w:r>
        <w:rPr>
          <w:rFonts w:ascii="Times New Roman" w:hAnsi="Times New Roman" w:cs="Times New Roman"/>
          <w:b/>
          <w:i/>
        </w:rPr>
        <w:t xml:space="preserve"> as well</w:t>
      </w:r>
      <w:r w:rsidRPr="00430F45">
        <w:rPr>
          <w:rFonts w:ascii="Times New Roman" w:hAnsi="Times New Roman" w:cs="Times New Roman"/>
          <w:b/>
          <w:i/>
          <w:sz w:val="16"/>
        </w:rPr>
        <w:t>.</w:t>
      </w:r>
    </w:p>
    <w:p w14:paraId="5B02FB3B" w14:textId="77777777" w:rsidR="00271777" w:rsidRPr="007B1FB6" w:rsidRDefault="00271777" w:rsidP="00271777">
      <w:pPr>
        <w:pStyle w:val="ListParagraph"/>
        <w:numPr>
          <w:ilvl w:val="0"/>
          <w:numId w:val="2"/>
        </w:numPr>
        <w:spacing w:before="120" w:line="360" w:lineRule="auto"/>
        <w:ind w:left="426"/>
        <w:jc w:val="both"/>
        <w:rPr>
          <w:rFonts w:ascii="Times New Roman" w:hAnsi="Times New Roman" w:cs="Times New Roman"/>
          <w:i/>
        </w:rPr>
      </w:pPr>
      <w:r w:rsidRPr="00E346C4">
        <w:rPr>
          <w:rFonts w:ascii="Times New Roman" w:hAnsi="Times New Roman" w:cs="Times New Roman"/>
        </w:rPr>
        <w:t>According to paragraph 84 of the EBA/GL/2018/02, “institutions should consider non-performing exposures (net of provisions) as interest rate sensitive instruments reflecting expected cash flows and their timing</w:t>
      </w:r>
      <w:r w:rsidRPr="00430F45">
        <w:rPr>
          <w:rFonts w:ascii="Times New Roman" w:hAnsi="Times New Roman" w:cs="Times New Roman"/>
          <w:sz w:val="16"/>
        </w:rPr>
        <w:t>.</w:t>
      </w:r>
      <w:r w:rsidRPr="00E346C4">
        <w:rPr>
          <w:rFonts w:ascii="Times New Roman" w:hAnsi="Times New Roman" w:cs="Times New Roman"/>
        </w:rPr>
        <w:t>”</w:t>
      </w:r>
      <w:r w:rsidRPr="00D51726">
        <w:rPr>
          <w:rFonts w:ascii="Times New Roman" w:hAnsi="Times New Roman" w:cs="Times New Roman"/>
        </w:rPr>
        <w:t xml:space="preserve"> Moreover, </w:t>
      </w:r>
      <w:proofErr w:type="gramStart"/>
      <w:r w:rsidRPr="00D51726">
        <w:rPr>
          <w:rFonts w:ascii="Times New Roman" w:hAnsi="Times New Roman" w:cs="Times New Roman"/>
        </w:rPr>
        <w:t>in order to</w:t>
      </w:r>
      <w:proofErr w:type="gramEnd"/>
      <w:r w:rsidRPr="00D51726">
        <w:rPr>
          <w:rFonts w:ascii="Times New Roman" w:hAnsi="Times New Roman" w:cs="Times New Roman"/>
        </w:rPr>
        <w:t xml:space="preserve"> compute the supervisory outlier test according to paragraphs 113 and 114, </w:t>
      </w:r>
      <w:r w:rsidRPr="00E346C4">
        <w:rPr>
          <w:rFonts w:ascii="Times New Roman" w:hAnsi="Times New Roman" w:cs="Times New Roman"/>
        </w:rPr>
        <w:t>“</w:t>
      </w:r>
      <w:r w:rsidRPr="00E346C4">
        <w:rPr>
          <w:rFonts w:ascii="Times New Roman" w:hAnsi="Times New Roman" w:cs="Times New Roman"/>
          <w:i/>
        </w:rPr>
        <w:t>institutions with an NPE ratio of 2% or more should include NPEs as general interest rate sensitive instruments whose modelling should reflect expected cash flows and their timing</w:t>
      </w:r>
      <w:r w:rsidRPr="00430F45">
        <w:rPr>
          <w:rFonts w:ascii="Times New Roman" w:hAnsi="Times New Roman" w:cs="Times New Roman"/>
          <w:i/>
          <w:sz w:val="16"/>
        </w:rPr>
        <w:t>.</w:t>
      </w:r>
      <w:r w:rsidRPr="00E346C4">
        <w:rPr>
          <w:rFonts w:ascii="Times New Roman" w:hAnsi="Times New Roman" w:cs="Times New Roman"/>
          <w:i/>
        </w:rPr>
        <w:t xml:space="preserve"> NPEs should be included net of provisions</w:t>
      </w:r>
      <w:r w:rsidRPr="007B1FB6">
        <w:rPr>
          <w:rFonts w:ascii="Times New Roman" w:hAnsi="Times New Roman" w:cs="Times New Roman"/>
        </w:rPr>
        <w:t>”, as referred in paragraph 115(</w:t>
      </w:r>
      <w:r>
        <w:rPr>
          <w:rFonts w:ascii="Times New Roman" w:hAnsi="Times New Roman" w:cs="Times New Roman"/>
        </w:rPr>
        <w:t>g</w:t>
      </w:r>
      <w:r w:rsidRPr="007B1FB6">
        <w:rPr>
          <w:rFonts w:ascii="Times New Roman" w:hAnsi="Times New Roman" w:cs="Times New Roman"/>
        </w:rPr>
        <w:t>) of the EBA/GL/2018/02</w:t>
      </w:r>
      <w:r w:rsidRPr="00430F45">
        <w:rPr>
          <w:rFonts w:ascii="Times New Roman" w:hAnsi="Times New Roman" w:cs="Times New Roman"/>
          <w:sz w:val="16"/>
        </w:rPr>
        <w:t>.</w:t>
      </w:r>
      <w:r w:rsidRPr="007B1FB6">
        <w:rPr>
          <w:rFonts w:ascii="Times New Roman" w:hAnsi="Times New Roman" w:cs="Times New Roman"/>
        </w:rPr>
        <w:t xml:space="preserve"> As such, institutions should briefly </w:t>
      </w:r>
      <w:r w:rsidRPr="00C85864">
        <w:rPr>
          <w:rFonts w:ascii="Times New Roman" w:hAnsi="Times New Roman" w:cs="Times New Roman"/>
        </w:rPr>
        <w:t>describe the methodology applied t</w:t>
      </w:r>
      <w:r w:rsidRPr="007B1FB6">
        <w:rPr>
          <w:rFonts w:ascii="Times New Roman" w:hAnsi="Times New Roman" w:cs="Times New Roman"/>
        </w:rPr>
        <w:t>o the modelling of NPE expected cash flows and their timing in EVE and NII/</w:t>
      </w:r>
      <w:r>
        <w:rPr>
          <w:rFonts w:ascii="Times New Roman" w:hAnsi="Times New Roman" w:cs="Times New Roman"/>
        </w:rPr>
        <w:t>e</w:t>
      </w:r>
      <w:r w:rsidRPr="007B1FB6">
        <w:rPr>
          <w:rFonts w:ascii="Times New Roman" w:hAnsi="Times New Roman" w:cs="Times New Roman"/>
        </w:rPr>
        <w:t>arnings metrics</w:t>
      </w:r>
      <w:r w:rsidRPr="00430F45">
        <w:rPr>
          <w:rFonts w:ascii="Times New Roman" w:hAnsi="Times New Roman" w:cs="Times New Roman"/>
          <w:sz w:val="16"/>
        </w:rPr>
        <w:t>.</w:t>
      </w:r>
    </w:p>
    <w:p w14:paraId="1C6CDD94" w14:textId="77777777" w:rsidR="00271777" w:rsidRDefault="00271777" w:rsidP="00271777">
      <w:pPr>
        <w:spacing w:before="120" w:line="360" w:lineRule="auto"/>
        <w:jc w:val="both"/>
        <w:rPr>
          <w:rFonts w:ascii="Times New Roman" w:hAnsi="Times New Roman" w:cs="Times New Roman"/>
          <w:b/>
        </w:rPr>
      </w:pPr>
      <w:r w:rsidRPr="000E0207">
        <w:rPr>
          <w:rFonts w:ascii="Times New Roman" w:hAnsi="Times New Roman" w:cs="Times New Roman"/>
          <w:b/>
        </w:rPr>
        <w:t>Question</w:t>
      </w:r>
      <w:r>
        <w:rPr>
          <w:rFonts w:ascii="Times New Roman" w:hAnsi="Times New Roman" w:cs="Times New Roman"/>
          <w:b/>
        </w:rPr>
        <w:t xml:space="preserve"> 5</w:t>
      </w:r>
    </w:p>
    <w:p w14:paraId="177D33C3" w14:textId="77777777" w:rsidR="00271777" w:rsidRDefault="00271777" w:rsidP="00271777">
      <w:pPr>
        <w:spacing w:before="120" w:line="360" w:lineRule="auto"/>
        <w:jc w:val="both"/>
        <w:rPr>
          <w:rFonts w:ascii="Times New Roman" w:hAnsi="Times New Roman" w:cs="Times New Roman"/>
          <w:b/>
          <w:i/>
        </w:rPr>
      </w:pPr>
      <w:r>
        <w:rPr>
          <w:rFonts w:ascii="Times New Roman" w:hAnsi="Times New Roman" w:cs="Times New Roman"/>
          <w:b/>
          <w:i/>
        </w:rPr>
        <w:t>“</w:t>
      </w:r>
      <w:r w:rsidRPr="002E46D4">
        <w:rPr>
          <w:rFonts w:ascii="Times New Roman" w:hAnsi="Times New Roman" w:cs="Times New Roman"/>
          <w:b/>
          <w:i/>
        </w:rPr>
        <w:t xml:space="preserve">What other </w:t>
      </w:r>
      <w:r>
        <w:rPr>
          <w:rFonts w:ascii="Times New Roman" w:hAnsi="Times New Roman" w:cs="Times New Roman"/>
          <w:b/>
          <w:i/>
        </w:rPr>
        <w:t xml:space="preserve">material </w:t>
      </w:r>
      <w:r w:rsidRPr="002E46D4">
        <w:rPr>
          <w:rFonts w:ascii="Times New Roman" w:hAnsi="Times New Roman" w:cs="Times New Roman"/>
          <w:b/>
          <w:i/>
        </w:rPr>
        <w:t xml:space="preserve">assumptions have been applied in order to report </w:t>
      </w:r>
      <w:r w:rsidRPr="00C85864">
        <w:rPr>
          <w:rFonts w:ascii="Times New Roman" w:hAnsi="Times New Roman" w:cs="Times New Roman"/>
          <w:b/>
          <w:i/>
        </w:rPr>
        <w:t xml:space="preserve">Templates </w:t>
      </w:r>
      <w:r>
        <w:rPr>
          <w:rFonts w:ascii="Times New Roman" w:hAnsi="Times New Roman" w:cs="Times New Roman"/>
          <w:b/>
          <w:i/>
        </w:rPr>
        <w:t xml:space="preserve">1-5 </w:t>
      </w:r>
      <w:r w:rsidRPr="00C85864">
        <w:rPr>
          <w:rFonts w:ascii="Times New Roman" w:hAnsi="Times New Roman" w:cs="Times New Roman"/>
          <w:b/>
          <w:i/>
        </w:rPr>
        <w:t>“</w:t>
      </w:r>
      <w:r w:rsidRPr="00CA4C23">
        <w:rPr>
          <w:rFonts w:ascii="Times New Roman" w:eastAsiaTheme="majorEastAsia" w:hAnsi="Times New Roman" w:cs="Times New Roman"/>
          <w:b/>
          <w:i/>
          <w:color w:val="1F497D" w:themeColor="text2"/>
          <w:szCs w:val="24"/>
        </w:rPr>
        <w:t>IRRBB_Material Currency”</w:t>
      </w:r>
      <w:r>
        <w:rPr>
          <w:rFonts w:ascii="Times New Roman" w:hAnsi="Times New Roman" w:cs="Times New Roman"/>
          <w:b/>
          <w:i/>
        </w:rPr>
        <w:t xml:space="preserve"> and in </w:t>
      </w:r>
      <w:r w:rsidRPr="00226EC6">
        <w:rPr>
          <w:rFonts w:ascii="Times New Roman" w:hAnsi="Times New Roman" w:cs="Times New Roman"/>
          <w:b/>
          <w:i/>
        </w:rPr>
        <w:t>Template 6 “</w:t>
      </w:r>
      <w:r w:rsidRPr="00CA4C23">
        <w:rPr>
          <w:rFonts w:ascii="Times New Roman" w:eastAsiaTheme="majorEastAsia" w:hAnsi="Times New Roman" w:cs="Times New Roman"/>
          <w:b/>
          <w:i/>
          <w:color w:val="1F497D" w:themeColor="text2"/>
          <w:szCs w:val="24"/>
        </w:rPr>
        <w:t>IRRBB_Additional</w:t>
      </w:r>
      <w:r>
        <w:rPr>
          <w:rFonts w:ascii="Times New Roman" w:eastAsiaTheme="majorEastAsia" w:hAnsi="Times New Roman" w:cs="Times New Roman"/>
          <w:b/>
          <w:i/>
          <w:color w:val="1F497D" w:themeColor="text2"/>
          <w:szCs w:val="24"/>
        </w:rPr>
        <w:t>”</w:t>
      </w:r>
      <w:r w:rsidRPr="00C85864">
        <w:rPr>
          <w:rFonts w:ascii="Times New Roman" w:hAnsi="Times New Roman" w:cs="Times New Roman"/>
          <w:b/>
          <w:i/>
        </w:rPr>
        <w:t xml:space="preserve"> </w:t>
      </w:r>
      <w:r w:rsidRPr="002E46D4">
        <w:rPr>
          <w:rFonts w:ascii="Times New Roman" w:hAnsi="Times New Roman" w:cs="Times New Roman"/>
          <w:b/>
          <w:i/>
        </w:rPr>
        <w:t xml:space="preserve">that have not already been </w:t>
      </w:r>
      <w:proofErr w:type="gramStart"/>
      <w:r w:rsidRPr="002E46D4">
        <w:rPr>
          <w:rFonts w:ascii="Times New Roman" w:hAnsi="Times New Roman" w:cs="Times New Roman"/>
          <w:b/>
          <w:i/>
        </w:rPr>
        <w:t>explained</w:t>
      </w:r>
      <w:r>
        <w:rPr>
          <w:rFonts w:ascii="Times New Roman" w:hAnsi="Times New Roman" w:cs="Times New Roman"/>
          <w:b/>
          <w:i/>
        </w:rPr>
        <w:t>”</w:t>
      </w:r>
      <w:proofErr w:type="gramEnd"/>
    </w:p>
    <w:p w14:paraId="39376DC6" w14:textId="77777777" w:rsidR="00271777" w:rsidRPr="00C61387" w:rsidRDefault="00271777" w:rsidP="00271777">
      <w:pPr>
        <w:pStyle w:val="ListParagraph"/>
        <w:numPr>
          <w:ilvl w:val="0"/>
          <w:numId w:val="2"/>
        </w:numPr>
        <w:spacing w:before="120" w:line="360" w:lineRule="auto"/>
        <w:ind w:left="426" w:hanging="426"/>
        <w:jc w:val="both"/>
        <w:rPr>
          <w:rFonts w:ascii="Times New Roman" w:hAnsi="Times New Roman" w:cs="Times New Roman"/>
        </w:rPr>
      </w:pPr>
      <w:r w:rsidRPr="00C61387">
        <w:rPr>
          <w:rFonts w:ascii="Times New Roman" w:hAnsi="Times New Roman" w:cs="Times New Roman"/>
        </w:rPr>
        <w:t>Institutions can provide here any other assumptions underlying the IRRBB metrics and the slotting of notional repricing cash flows per time bands that have not already been explained</w:t>
      </w:r>
      <w:r w:rsidRPr="00430F45">
        <w:rPr>
          <w:rFonts w:ascii="Times New Roman" w:hAnsi="Times New Roman" w:cs="Times New Roman"/>
          <w:sz w:val="16"/>
        </w:rPr>
        <w:t>.</w:t>
      </w:r>
    </w:p>
    <w:p w14:paraId="1E7B05AC" w14:textId="77777777" w:rsidR="00271777" w:rsidRPr="00F76B53" w:rsidRDefault="00271777" w:rsidP="00271777"/>
    <w:p w14:paraId="00FC08BC" w14:textId="77777777" w:rsidR="00A20F4F" w:rsidRPr="00F76B53" w:rsidRDefault="00A20F4F" w:rsidP="00F76B53"/>
    <w:sectPr w:rsidR="00A20F4F" w:rsidRPr="00F76B53" w:rsidSect="002A415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2E6F0" w14:textId="77777777" w:rsidR="00616B93" w:rsidRDefault="00616B93" w:rsidP="00C65F28">
      <w:pPr>
        <w:spacing w:after="0" w:line="240" w:lineRule="auto"/>
      </w:pPr>
      <w:r>
        <w:separator/>
      </w:r>
    </w:p>
  </w:endnote>
  <w:endnote w:type="continuationSeparator" w:id="0">
    <w:p w14:paraId="6B7C4875" w14:textId="77777777" w:rsidR="00616B93" w:rsidRDefault="00616B93" w:rsidP="00C65F28">
      <w:pPr>
        <w:spacing w:after="0" w:line="240" w:lineRule="auto"/>
      </w:pPr>
      <w:r>
        <w:continuationSeparator/>
      </w:r>
    </w:p>
  </w:endnote>
  <w:endnote w:type="continuationNotice" w:id="1">
    <w:p w14:paraId="5890FF81" w14:textId="77777777" w:rsidR="00616B93" w:rsidRDefault="00616B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ndnya">
    <w:panose1 w:val="00000400000000000000"/>
    <w:charset w:val="01"/>
    <w:family w:val="roman"/>
    <w:notTrueType/>
    <w:pitch w:val="variable"/>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37F6F" w14:textId="77777777" w:rsidR="005F4857" w:rsidRDefault="005F48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784906"/>
      <w:docPartObj>
        <w:docPartGallery w:val="Page Numbers (Bottom of Page)"/>
        <w:docPartUnique/>
      </w:docPartObj>
    </w:sdtPr>
    <w:sdtEndPr>
      <w:rPr>
        <w:noProof/>
        <w:sz w:val="18"/>
      </w:rPr>
    </w:sdtEndPr>
    <w:sdtContent>
      <w:p w14:paraId="00FC08C8" w14:textId="77777777" w:rsidR="007702FD" w:rsidRPr="00C65F28" w:rsidRDefault="007702FD" w:rsidP="00C65F28">
        <w:pPr>
          <w:pStyle w:val="Footer"/>
          <w:jc w:val="center"/>
          <w:rPr>
            <w:sz w:val="18"/>
          </w:rPr>
        </w:pPr>
        <w:r w:rsidRPr="00C65F28">
          <w:rPr>
            <w:sz w:val="18"/>
          </w:rPr>
          <w:fldChar w:fldCharType="begin"/>
        </w:r>
        <w:r w:rsidRPr="00C65F28">
          <w:rPr>
            <w:sz w:val="18"/>
          </w:rPr>
          <w:instrText xml:space="preserve"> PAGE   \* MERGEFORMAT </w:instrText>
        </w:r>
        <w:r w:rsidRPr="00C65F28">
          <w:rPr>
            <w:sz w:val="18"/>
          </w:rPr>
          <w:fldChar w:fldCharType="separate"/>
        </w:r>
        <w:r w:rsidR="00022C8F">
          <w:rPr>
            <w:noProof/>
            <w:sz w:val="18"/>
          </w:rPr>
          <w:t>3</w:t>
        </w:r>
        <w:r w:rsidRPr="00C65F28">
          <w:rPr>
            <w:noProof/>
            <w:sz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2489140"/>
      <w:docPartObj>
        <w:docPartGallery w:val="Page Numbers (Bottom of Page)"/>
        <w:docPartUnique/>
      </w:docPartObj>
    </w:sdtPr>
    <w:sdtEndPr>
      <w:rPr>
        <w:noProof/>
      </w:rPr>
    </w:sdtEndPr>
    <w:sdtContent>
      <w:p w14:paraId="7605ED28" w14:textId="1E806EC6" w:rsidR="000F7C92" w:rsidRDefault="000F7C9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E64BBB" w14:textId="77777777" w:rsidR="000F7C92" w:rsidRDefault="000F7C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0816C" w14:textId="77777777" w:rsidR="00616B93" w:rsidRDefault="00616B93" w:rsidP="00C65F28">
      <w:pPr>
        <w:spacing w:after="0" w:line="240" w:lineRule="auto"/>
      </w:pPr>
      <w:r>
        <w:separator/>
      </w:r>
    </w:p>
  </w:footnote>
  <w:footnote w:type="continuationSeparator" w:id="0">
    <w:p w14:paraId="4D7C61F5" w14:textId="77777777" w:rsidR="00616B93" w:rsidRDefault="00616B93" w:rsidP="00C65F28">
      <w:pPr>
        <w:spacing w:after="0" w:line="240" w:lineRule="auto"/>
      </w:pPr>
      <w:r>
        <w:continuationSeparator/>
      </w:r>
    </w:p>
  </w:footnote>
  <w:footnote w:type="continuationNotice" w:id="1">
    <w:p w14:paraId="62F010D3" w14:textId="77777777" w:rsidR="00616B93" w:rsidRDefault="00616B93">
      <w:pPr>
        <w:spacing w:after="0" w:line="240" w:lineRule="auto"/>
      </w:pPr>
    </w:p>
  </w:footnote>
  <w:footnote w:id="2">
    <w:p w14:paraId="7095488F" w14:textId="77777777" w:rsidR="00271777" w:rsidRDefault="00271777" w:rsidP="00271777">
      <w:pPr>
        <w:pStyle w:val="FootnoteText"/>
      </w:pPr>
      <w:r>
        <w:rPr>
          <w:rStyle w:val="FootnoteReference"/>
        </w:rPr>
        <w:footnoteRef/>
      </w:r>
      <w:r>
        <w:t xml:space="preserve"> </w:t>
      </w:r>
      <w:r w:rsidRPr="00BD2510">
        <w:rPr>
          <w:rFonts w:ascii="Times New Roman" w:hAnsi="Times New Roman" w:cs="Times New Roman"/>
        </w:rPr>
        <w:t>This ratio should include on</w:t>
      </w:r>
      <w:r>
        <w:rPr>
          <w:rFonts w:ascii="Times New Roman" w:hAnsi="Times New Roman" w:cs="Times New Roman"/>
        </w:rPr>
        <w:t>-</w:t>
      </w:r>
      <w:r w:rsidRPr="00BD2510">
        <w:rPr>
          <w:rFonts w:ascii="Times New Roman" w:hAnsi="Times New Roman" w:cs="Times New Roman"/>
        </w:rPr>
        <w:t xml:space="preserve"> and off-balance sheet banking book interest-rate sensitive items</w:t>
      </w:r>
    </w:p>
  </w:footnote>
  <w:footnote w:id="3">
    <w:p w14:paraId="2A0D952E" w14:textId="77777777" w:rsidR="00271777" w:rsidRDefault="00271777" w:rsidP="00271777">
      <w:pPr>
        <w:pStyle w:val="FootnoteText"/>
        <w:jc w:val="both"/>
      </w:pPr>
      <w:r>
        <w:rPr>
          <w:rStyle w:val="FootnoteReference"/>
        </w:rPr>
        <w:footnoteRef/>
      </w:r>
      <w:r>
        <w:t xml:space="preserve"> </w:t>
      </w:r>
      <w:r>
        <w:rPr>
          <w:rFonts w:ascii="Times New Roman" w:hAnsi="Times New Roman" w:cs="Times New Roman"/>
        </w:rPr>
        <w:t>Thus, it is not expected that institutions report the notional repricing cash flows arising from the net position (hedged banking book instrument plus the derivative hedge) in the hedged instrument’s respective row.</w:t>
      </w:r>
    </w:p>
  </w:footnote>
  <w:footnote w:id="4">
    <w:p w14:paraId="6620C985" w14:textId="77777777" w:rsidR="00271777" w:rsidRDefault="00271777" w:rsidP="00271777">
      <w:pPr>
        <w:pStyle w:val="FootnoteText"/>
      </w:pPr>
      <w:r>
        <w:rPr>
          <w:rStyle w:val="FootnoteReference"/>
        </w:rPr>
        <w:footnoteRef/>
      </w:r>
      <w:r>
        <w:t xml:space="preserve"> </w:t>
      </w:r>
      <w:r w:rsidRPr="00BD2510">
        <w:rPr>
          <w:rFonts w:ascii="Times New Roman" w:hAnsi="Times New Roman" w:cs="Times New Roman"/>
        </w:rPr>
        <w:t>E.g. If the specified size of interest rate shock is 100 bps, institutions should fill the data points as “100”.</w:t>
      </w:r>
    </w:p>
  </w:footnote>
  <w:footnote w:id="5">
    <w:p w14:paraId="12DFDBEB" w14:textId="77777777" w:rsidR="00271777" w:rsidRDefault="00271777" w:rsidP="00271777">
      <w:pPr>
        <w:pStyle w:val="FootnoteText"/>
      </w:pPr>
      <w:r>
        <w:rPr>
          <w:rStyle w:val="FootnoteReference"/>
        </w:rPr>
        <w:footnoteRef/>
      </w:r>
      <w:r>
        <w:t xml:space="preserve"> </w:t>
      </w:r>
      <w:r w:rsidRPr="00A347CC">
        <w:rPr>
          <w:rFonts w:ascii="Times New Roman" w:hAnsi="Times New Roman" w:cs="Times New Roman"/>
        </w:rPr>
        <w:t>Th</w:t>
      </w:r>
      <w:r>
        <w:rPr>
          <w:rFonts w:ascii="Times New Roman" w:hAnsi="Times New Roman" w:cs="Times New Roman"/>
        </w:rPr>
        <w:t>e</w:t>
      </w:r>
      <w:r w:rsidRPr="00A347CC">
        <w:rPr>
          <w:rFonts w:ascii="Times New Roman" w:hAnsi="Times New Roman" w:cs="Times New Roman"/>
        </w:rPr>
        <w:t xml:space="preserve"> ratio</w:t>
      </w:r>
      <w:r>
        <w:rPr>
          <w:rFonts w:ascii="Times New Roman" w:hAnsi="Times New Roman" w:cs="Times New Roman"/>
        </w:rPr>
        <w:t>s below</w:t>
      </w:r>
      <w:r w:rsidRPr="00A347CC">
        <w:rPr>
          <w:rFonts w:ascii="Times New Roman" w:hAnsi="Times New Roman" w:cs="Times New Roman"/>
        </w:rPr>
        <w:t xml:space="preserve"> should include </w:t>
      </w:r>
      <w:r>
        <w:rPr>
          <w:rFonts w:ascii="Times New Roman" w:hAnsi="Times New Roman" w:cs="Times New Roman"/>
        </w:rPr>
        <w:t xml:space="preserve">in denominator only </w:t>
      </w:r>
      <w:r w:rsidRPr="00A347CC">
        <w:rPr>
          <w:rFonts w:ascii="Times New Roman" w:hAnsi="Times New Roman" w:cs="Times New Roman"/>
        </w:rPr>
        <w:t>on</w:t>
      </w:r>
      <w:r>
        <w:rPr>
          <w:rFonts w:ascii="Times New Roman" w:hAnsi="Times New Roman" w:cs="Times New Roman"/>
        </w:rPr>
        <w:t>-</w:t>
      </w:r>
      <w:r w:rsidRPr="00A347CC">
        <w:rPr>
          <w:rFonts w:ascii="Times New Roman" w:hAnsi="Times New Roman" w:cs="Times New Roman"/>
        </w:rPr>
        <w:t xml:space="preserve"> and off-balance sheet banking book interest-rate sensitive items</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84438" w14:textId="77777777" w:rsidR="005F4857" w:rsidRDefault="005F48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C08C7" w14:textId="77777777" w:rsidR="007702FD" w:rsidRDefault="007702FD" w:rsidP="002A4158">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BF290" w14:textId="1452CA3E" w:rsidR="00B94097" w:rsidRDefault="00C15AF3" w:rsidP="00C15AF3">
    <w:pPr>
      <w:pStyle w:val="Header"/>
      <w:rPr>
        <w:lang w:val="nl-BE"/>
      </w:rPr>
    </w:pPr>
    <w:r>
      <w:rPr>
        <w:lang w:val="nl-BE"/>
      </w:rPr>
      <w:t>Bijlage</w:t>
    </w:r>
    <w:r w:rsidR="005F4857">
      <w:rPr>
        <w:lang w:val="nl-BE"/>
      </w:rPr>
      <w:t xml:space="preserve"> 4</w:t>
    </w:r>
    <w:r>
      <w:rPr>
        <w:lang w:val="nl-BE"/>
      </w:rPr>
      <w:t xml:space="preserve"> bij Circulaire NBB_20</w:t>
    </w:r>
    <w:r w:rsidR="00E13222">
      <w:rPr>
        <w:lang w:val="nl-BE"/>
      </w:rPr>
      <w:t>23</w:t>
    </w:r>
    <w:r>
      <w:rPr>
        <w:lang w:val="nl-BE"/>
      </w:rPr>
      <w:t>_</w:t>
    </w:r>
    <w:r w:rsidR="00E13222">
      <w:rPr>
        <w:lang w:val="nl-BE"/>
      </w:rPr>
      <w:t>07</w:t>
    </w:r>
  </w:p>
  <w:p w14:paraId="5F71FE6B" w14:textId="0B257959" w:rsidR="00C15AF3" w:rsidRPr="00C15AF3" w:rsidRDefault="00C15AF3" w:rsidP="00C15AF3">
    <w:pPr>
      <w:pStyle w:val="Header"/>
      <w:rPr>
        <w:lang w:val="nl-BE"/>
      </w:rPr>
    </w:pPr>
    <w:r>
      <w:rPr>
        <w:lang w:val="nl-BE"/>
      </w:rPr>
      <w:t xml:space="preserve">Reporting Instructions STE </w:t>
    </w:r>
    <w:r w:rsidR="00B94097">
      <w:rPr>
        <w:lang w:val="nl-BE"/>
      </w:rPr>
      <w:t xml:space="preserve">IRRBB </w:t>
    </w:r>
    <w:r>
      <w:rPr>
        <w:lang w:val="nl-BE"/>
      </w:rPr>
      <w:t xml:space="preserve">Reporting </w:t>
    </w:r>
    <w:r w:rsidR="00B94097">
      <w:rPr>
        <w:lang w:val="nl-BE"/>
      </w:rPr>
      <w:t>T</w:t>
    </w:r>
    <w:r>
      <w:rPr>
        <w:lang w:val="nl-BE"/>
      </w:rPr>
      <w:t>emplate</w:t>
    </w:r>
    <w:r w:rsidR="00B94097">
      <w:rPr>
        <w:lang w:val="nl-BE"/>
      </w:rPr>
      <w:t>, version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4233"/>
    <w:multiLevelType w:val="hybridMultilevel"/>
    <w:tmpl w:val="C7162702"/>
    <w:lvl w:ilvl="0" w:tplc="F93C00C6">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436224"/>
    <w:multiLevelType w:val="hybridMultilevel"/>
    <w:tmpl w:val="B61853BA"/>
    <w:lvl w:ilvl="0" w:tplc="0809000F">
      <w:start w:val="1"/>
      <w:numFmt w:val="decimal"/>
      <w:lvlText w:val="%1."/>
      <w:lvlJc w:val="left"/>
      <w:pPr>
        <w:ind w:left="720" w:hanging="360"/>
      </w:pPr>
      <w:rPr>
        <w:rFonts w:hint="default"/>
      </w:rPr>
    </w:lvl>
    <w:lvl w:ilvl="1" w:tplc="F93C00C6">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7231F1"/>
    <w:multiLevelType w:val="hybridMultilevel"/>
    <w:tmpl w:val="43381A72"/>
    <w:lvl w:ilvl="0" w:tplc="0809000F">
      <w:start w:val="1"/>
      <w:numFmt w:val="decimal"/>
      <w:lvlText w:val="%1."/>
      <w:lvlJc w:val="left"/>
      <w:pPr>
        <w:ind w:left="2062" w:hanging="360"/>
      </w:pPr>
      <w:rPr>
        <w:rFonts w:hint="default"/>
      </w:rPr>
    </w:lvl>
    <w:lvl w:ilvl="1" w:tplc="08090019">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7931CA"/>
    <w:multiLevelType w:val="hybridMultilevel"/>
    <w:tmpl w:val="43381A72"/>
    <w:lvl w:ilvl="0" w:tplc="0809000F">
      <w:start w:val="1"/>
      <w:numFmt w:val="decimal"/>
      <w:lvlText w:val="%1."/>
      <w:lvlJc w:val="left"/>
      <w:pPr>
        <w:ind w:left="2062" w:hanging="360"/>
      </w:pPr>
      <w:rPr>
        <w:rFonts w:hint="default"/>
      </w:rPr>
    </w:lvl>
    <w:lvl w:ilvl="1" w:tplc="08090019">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A51EEF"/>
    <w:multiLevelType w:val="hybridMultilevel"/>
    <w:tmpl w:val="43381A72"/>
    <w:lvl w:ilvl="0" w:tplc="0809000F">
      <w:start w:val="1"/>
      <w:numFmt w:val="decimal"/>
      <w:lvlText w:val="%1."/>
      <w:lvlJc w:val="left"/>
      <w:pPr>
        <w:ind w:left="2062" w:hanging="360"/>
      </w:pPr>
      <w:rPr>
        <w:rFonts w:hint="default"/>
      </w:rPr>
    </w:lvl>
    <w:lvl w:ilvl="1" w:tplc="08090019">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871A6C"/>
    <w:multiLevelType w:val="hybridMultilevel"/>
    <w:tmpl w:val="991AE07E"/>
    <w:lvl w:ilvl="0" w:tplc="0809000F">
      <w:start w:val="1"/>
      <w:numFmt w:val="decimal"/>
      <w:lvlText w:val="%1."/>
      <w:lvlJc w:val="left"/>
      <w:pPr>
        <w:ind w:left="4330" w:hanging="360"/>
      </w:pPr>
      <w:rPr>
        <w:rFonts w:hint="default"/>
      </w:rPr>
    </w:lvl>
    <w:lvl w:ilvl="1" w:tplc="08090019">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8B4517"/>
    <w:multiLevelType w:val="hybridMultilevel"/>
    <w:tmpl w:val="6C1E31CE"/>
    <w:lvl w:ilvl="0" w:tplc="26AABBD4">
      <w:start w:val="1"/>
      <w:numFmt w:val="decimal"/>
      <w:lvlText w:val="%1."/>
      <w:lvlJc w:val="left"/>
      <w:pPr>
        <w:ind w:left="2716" w:hanging="360"/>
      </w:pPr>
      <w:rPr>
        <w:rFonts w:ascii="Times New Roman" w:hAnsi="Times New Roman" w:cs="Times New Roman" w:hint="default"/>
        <w:b w:val="0"/>
        <w:i w:val="0"/>
        <w:color w:val="auto"/>
      </w:rPr>
    </w:lvl>
    <w:lvl w:ilvl="1" w:tplc="0C0EF0EE">
      <w:start w:val="1"/>
      <w:numFmt w:val="lowerLetter"/>
      <w:lvlText w:val="%2."/>
      <w:lvlJc w:val="left"/>
      <w:pPr>
        <w:ind w:left="2094" w:hanging="360"/>
      </w:pPr>
      <w:rPr>
        <w:rFonts w:ascii="Times New Roman" w:hAnsi="Times New Roman" w:cs="Times New Roman" w:hint="default"/>
      </w:rPr>
    </w:lvl>
    <w:lvl w:ilvl="2" w:tplc="0809001B">
      <w:start w:val="1"/>
      <w:numFmt w:val="lowerRoman"/>
      <w:lvlText w:val="%3."/>
      <w:lvlJc w:val="right"/>
      <w:pPr>
        <w:ind w:left="2814" w:hanging="180"/>
      </w:pPr>
    </w:lvl>
    <w:lvl w:ilvl="3" w:tplc="0809000F" w:tentative="1">
      <w:start w:val="1"/>
      <w:numFmt w:val="decimal"/>
      <w:lvlText w:val="%4."/>
      <w:lvlJc w:val="left"/>
      <w:pPr>
        <w:ind w:left="3534" w:hanging="360"/>
      </w:pPr>
    </w:lvl>
    <w:lvl w:ilvl="4" w:tplc="08090019" w:tentative="1">
      <w:start w:val="1"/>
      <w:numFmt w:val="lowerLetter"/>
      <w:lvlText w:val="%5."/>
      <w:lvlJc w:val="left"/>
      <w:pPr>
        <w:ind w:left="4254" w:hanging="360"/>
      </w:pPr>
    </w:lvl>
    <w:lvl w:ilvl="5" w:tplc="0809001B" w:tentative="1">
      <w:start w:val="1"/>
      <w:numFmt w:val="lowerRoman"/>
      <w:lvlText w:val="%6."/>
      <w:lvlJc w:val="right"/>
      <w:pPr>
        <w:ind w:left="4974" w:hanging="180"/>
      </w:pPr>
    </w:lvl>
    <w:lvl w:ilvl="6" w:tplc="0809000F" w:tentative="1">
      <w:start w:val="1"/>
      <w:numFmt w:val="decimal"/>
      <w:lvlText w:val="%7."/>
      <w:lvlJc w:val="left"/>
      <w:pPr>
        <w:ind w:left="5694" w:hanging="360"/>
      </w:pPr>
    </w:lvl>
    <w:lvl w:ilvl="7" w:tplc="08090019" w:tentative="1">
      <w:start w:val="1"/>
      <w:numFmt w:val="lowerLetter"/>
      <w:lvlText w:val="%8."/>
      <w:lvlJc w:val="left"/>
      <w:pPr>
        <w:ind w:left="6414" w:hanging="360"/>
      </w:pPr>
    </w:lvl>
    <w:lvl w:ilvl="8" w:tplc="0809001B" w:tentative="1">
      <w:start w:val="1"/>
      <w:numFmt w:val="lowerRoman"/>
      <w:lvlText w:val="%9."/>
      <w:lvlJc w:val="right"/>
      <w:pPr>
        <w:ind w:left="7134" w:hanging="180"/>
      </w:pPr>
    </w:lvl>
  </w:abstractNum>
  <w:abstractNum w:abstractNumId="7" w15:restartNumberingAfterBreak="0">
    <w:nsid w:val="2BA34D21"/>
    <w:multiLevelType w:val="hybridMultilevel"/>
    <w:tmpl w:val="6D6C445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299531B"/>
    <w:multiLevelType w:val="hybridMultilevel"/>
    <w:tmpl w:val="78B4F24C"/>
    <w:lvl w:ilvl="0" w:tplc="07CEDC62">
      <w:start w:val="1"/>
      <w:numFmt w:val="decimal"/>
      <w:lvlText w:val="%1."/>
      <w:lvlJc w:val="left"/>
      <w:pPr>
        <w:ind w:left="2716" w:hanging="360"/>
      </w:pPr>
      <w:rPr>
        <w:rFonts w:hint="default"/>
        <w:b w:val="0"/>
      </w:rPr>
    </w:lvl>
    <w:lvl w:ilvl="1" w:tplc="08090019">
      <w:start w:val="1"/>
      <w:numFmt w:val="lowerLetter"/>
      <w:lvlText w:val="%2."/>
      <w:lvlJc w:val="left"/>
      <w:pPr>
        <w:ind w:left="2094" w:hanging="360"/>
      </w:pPr>
      <w:rPr>
        <w:rFonts w:hint="default"/>
      </w:rPr>
    </w:lvl>
    <w:lvl w:ilvl="2" w:tplc="0809001B">
      <w:start w:val="1"/>
      <w:numFmt w:val="lowerRoman"/>
      <w:lvlText w:val="%3."/>
      <w:lvlJc w:val="right"/>
      <w:pPr>
        <w:ind w:left="2814" w:hanging="180"/>
      </w:pPr>
    </w:lvl>
    <w:lvl w:ilvl="3" w:tplc="0809000F" w:tentative="1">
      <w:start w:val="1"/>
      <w:numFmt w:val="decimal"/>
      <w:lvlText w:val="%4."/>
      <w:lvlJc w:val="left"/>
      <w:pPr>
        <w:ind w:left="3534" w:hanging="360"/>
      </w:pPr>
    </w:lvl>
    <w:lvl w:ilvl="4" w:tplc="08090019" w:tentative="1">
      <w:start w:val="1"/>
      <w:numFmt w:val="lowerLetter"/>
      <w:lvlText w:val="%5."/>
      <w:lvlJc w:val="left"/>
      <w:pPr>
        <w:ind w:left="4254" w:hanging="360"/>
      </w:pPr>
    </w:lvl>
    <w:lvl w:ilvl="5" w:tplc="0809001B" w:tentative="1">
      <w:start w:val="1"/>
      <w:numFmt w:val="lowerRoman"/>
      <w:lvlText w:val="%6."/>
      <w:lvlJc w:val="right"/>
      <w:pPr>
        <w:ind w:left="4974" w:hanging="180"/>
      </w:pPr>
    </w:lvl>
    <w:lvl w:ilvl="6" w:tplc="0809000F" w:tentative="1">
      <w:start w:val="1"/>
      <w:numFmt w:val="decimal"/>
      <w:lvlText w:val="%7."/>
      <w:lvlJc w:val="left"/>
      <w:pPr>
        <w:ind w:left="5694" w:hanging="360"/>
      </w:pPr>
    </w:lvl>
    <w:lvl w:ilvl="7" w:tplc="08090019" w:tentative="1">
      <w:start w:val="1"/>
      <w:numFmt w:val="lowerLetter"/>
      <w:lvlText w:val="%8."/>
      <w:lvlJc w:val="left"/>
      <w:pPr>
        <w:ind w:left="6414" w:hanging="360"/>
      </w:pPr>
    </w:lvl>
    <w:lvl w:ilvl="8" w:tplc="0809001B" w:tentative="1">
      <w:start w:val="1"/>
      <w:numFmt w:val="lowerRoman"/>
      <w:lvlText w:val="%9."/>
      <w:lvlJc w:val="right"/>
      <w:pPr>
        <w:ind w:left="7134" w:hanging="180"/>
      </w:pPr>
    </w:lvl>
  </w:abstractNum>
  <w:abstractNum w:abstractNumId="9" w15:restartNumberingAfterBreak="0">
    <w:nsid w:val="3D094336"/>
    <w:multiLevelType w:val="hybridMultilevel"/>
    <w:tmpl w:val="43381A72"/>
    <w:lvl w:ilvl="0" w:tplc="0809000F">
      <w:start w:val="1"/>
      <w:numFmt w:val="decimal"/>
      <w:lvlText w:val="%1."/>
      <w:lvlJc w:val="left"/>
      <w:pPr>
        <w:ind w:left="2062" w:hanging="360"/>
      </w:pPr>
      <w:rPr>
        <w:rFonts w:hint="default"/>
      </w:rPr>
    </w:lvl>
    <w:lvl w:ilvl="1" w:tplc="08090019">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1005B6"/>
    <w:multiLevelType w:val="hybridMultilevel"/>
    <w:tmpl w:val="918C3BA8"/>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FD6ADA"/>
    <w:multiLevelType w:val="hybridMultilevel"/>
    <w:tmpl w:val="43381A72"/>
    <w:lvl w:ilvl="0" w:tplc="0809000F">
      <w:start w:val="1"/>
      <w:numFmt w:val="decimal"/>
      <w:lvlText w:val="%1."/>
      <w:lvlJc w:val="left"/>
      <w:pPr>
        <w:ind w:left="2062" w:hanging="360"/>
      </w:pPr>
      <w:rPr>
        <w:rFonts w:hint="default"/>
      </w:rPr>
    </w:lvl>
    <w:lvl w:ilvl="1" w:tplc="08090019">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1202FD"/>
    <w:multiLevelType w:val="hybridMultilevel"/>
    <w:tmpl w:val="ADD2C9A6"/>
    <w:lvl w:ilvl="0" w:tplc="08090019">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243926"/>
    <w:multiLevelType w:val="hybridMultilevel"/>
    <w:tmpl w:val="2B965CC2"/>
    <w:lvl w:ilvl="0" w:tplc="0809000F">
      <w:start w:val="1"/>
      <w:numFmt w:val="decimal"/>
      <w:lvlText w:val="%1."/>
      <w:lvlJc w:val="left"/>
      <w:pPr>
        <w:ind w:left="720" w:hanging="360"/>
      </w:pPr>
      <w:rPr>
        <w:rFonts w:hint="default"/>
      </w:rPr>
    </w:lvl>
    <w:lvl w:ilvl="1" w:tplc="0809000F">
      <w:start w:val="1"/>
      <w:numFmt w:val="decimal"/>
      <w:lvlText w:val="%2."/>
      <w:lvlJc w:val="left"/>
      <w:pPr>
        <w:ind w:left="1440" w:hanging="360"/>
      </w:pPr>
      <w:rPr>
        <w:rFonts w:hint="default"/>
      </w:rPr>
    </w:lvl>
    <w:lvl w:ilvl="2" w:tplc="08090005">
      <w:start w:val="1"/>
      <w:numFmt w:val="bullet"/>
      <w:lvlText w:val=""/>
      <w:lvlJc w:val="left"/>
      <w:pPr>
        <w:ind w:left="2160" w:hanging="180"/>
      </w:pPr>
      <w:rPr>
        <w:rFonts w:ascii="Wingdings" w:hAnsi="Wingding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777DC6"/>
    <w:multiLevelType w:val="hybridMultilevel"/>
    <w:tmpl w:val="D14CCF7E"/>
    <w:lvl w:ilvl="0" w:tplc="0809000F">
      <w:start w:val="1"/>
      <w:numFmt w:val="decimal"/>
      <w:lvlText w:val="%1."/>
      <w:lvlJc w:val="left"/>
      <w:pPr>
        <w:ind w:left="720" w:hanging="360"/>
      </w:pPr>
      <w:rPr>
        <w:rFonts w:hint="default"/>
      </w:rPr>
    </w:lvl>
    <w:lvl w:ilvl="1" w:tplc="F93C00C6">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BB713F"/>
    <w:multiLevelType w:val="hybridMultilevel"/>
    <w:tmpl w:val="ADD2C9A6"/>
    <w:lvl w:ilvl="0" w:tplc="08090019">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C75F93"/>
    <w:multiLevelType w:val="hybridMultilevel"/>
    <w:tmpl w:val="2EA4A9EE"/>
    <w:lvl w:ilvl="0" w:tplc="19764D92">
      <w:start w:val="5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7" w15:restartNumberingAfterBreak="0">
    <w:nsid w:val="56E142CF"/>
    <w:multiLevelType w:val="hybridMultilevel"/>
    <w:tmpl w:val="880A65D8"/>
    <w:lvl w:ilvl="0" w:tplc="0809000F">
      <w:start w:val="1"/>
      <w:numFmt w:val="decimal"/>
      <w:lvlText w:val="%1."/>
      <w:lvlJc w:val="left"/>
      <w:pPr>
        <w:ind w:left="720" w:hanging="360"/>
      </w:pPr>
      <w:rPr>
        <w:rFonts w:hint="default"/>
      </w:rPr>
    </w:lvl>
    <w:lvl w:ilvl="1" w:tplc="08090019">
      <w:start w:val="1"/>
      <w:numFmt w:val="lowerLetter"/>
      <w:lvlText w:val="%2."/>
      <w:lvlJc w:val="left"/>
      <w:pPr>
        <w:ind w:left="1353"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D06362"/>
    <w:multiLevelType w:val="hybridMultilevel"/>
    <w:tmpl w:val="B7D60816"/>
    <w:lvl w:ilvl="0" w:tplc="F93C00C6">
      <w:start w:val="1"/>
      <w:numFmt w:val="bullet"/>
      <w:lvlText w:val=""/>
      <w:lvlJc w:val="left"/>
      <w:pPr>
        <w:ind w:left="1440" w:hanging="360"/>
      </w:pPr>
      <w:rPr>
        <w:rFonts w:ascii="Symbol" w:hAnsi="Symbol"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695E0E68"/>
    <w:multiLevelType w:val="hybridMultilevel"/>
    <w:tmpl w:val="2D3A99B4"/>
    <w:lvl w:ilvl="0" w:tplc="280A5820">
      <w:start w:val="33"/>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0" w15:restartNumberingAfterBreak="0">
    <w:nsid w:val="70FE190D"/>
    <w:multiLevelType w:val="hybridMultilevel"/>
    <w:tmpl w:val="739E15CE"/>
    <w:lvl w:ilvl="0" w:tplc="F93C00C6">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205680851">
    <w:abstractNumId w:val="17"/>
  </w:num>
  <w:num w:numId="2" w16cid:durableId="1160922890">
    <w:abstractNumId w:val="6"/>
  </w:num>
  <w:num w:numId="3" w16cid:durableId="599141509">
    <w:abstractNumId w:val="7"/>
  </w:num>
  <w:num w:numId="4" w16cid:durableId="1376463989">
    <w:abstractNumId w:val="18"/>
  </w:num>
  <w:num w:numId="5" w16cid:durableId="353264993">
    <w:abstractNumId w:val="1"/>
  </w:num>
  <w:num w:numId="6" w16cid:durableId="1330982450">
    <w:abstractNumId w:val="13"/>
  </w:num>
  <w:num w:numId="7" w16cid:durableId="978462931">
    <w:abstractNumId w:val="14"/>
  </w:num>
  <w:num w:numId="8" w16cid:durableId="2143691560">
    <w:abstractNumId w:val="5"/>
  </w:num>
  <w:num w:numId="9" w16cid:durableId="2047557570">
    <w:abstractNumId w:val="20"/>
  </w:num>
  <w:num w:numId="10" w16cid:durableId="452333550">
    <w:abstractNumId w:val="10"/>
  </w:num>
  <w:num w:numId="11" w16cid:durableId="946810536">
    <w:abstractNumId w:val="0"/>
  </w:num>
  <w:num w:numId="12" w16cid:durableId="409545940">
    <w:abstractNumId w:val="12"/>
  </w:num>
  <w:num w:numId="13" w16cid:durableId="329797762">
    <w:abstractNumId w:val="15"/>
  </w:num>
  <w:num w:numId="14" w16cid:durableId="1015880939">
    <w:abstractNumId w:val="4"/>
  </w:num>
  <w:num w:numId="15" w16cid:durableId="620460325">
    <w:abstractNumId w:val="2"/>
  </w:num>
  <w:num w:numId="16" w16cid:durableId="2119248665">
    <w:abstractNumId w:val="11"/>
  </w:num>
  <w:num w:numId="17" w16cid:durableId="512694440">
    <w:abstractNumId w:val="9"/>
  </w:num>
  <w:num w:numId="18" w16cid:durableId="1311325646">
    <w:abstractNumId w:val="3"/>
  </w:num>
  <w:num w:numId="19" w16cid:durableId="1345283671">
    <w:abstractNumId w:val="19"/>
  </w:num>
  <w:num w:numId="20" w16cid:durableId="1045369315">
    <w:abstractNumId w:val="16"/>
  </w:num>
  <w:num w:numId="21" w16cid:durableId="1308629812">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D10EAE"/>
    <w:rsid w:val="0000109F"/>
    <w:rsid w:val="000012A5"/>
    <w:rsid w:val="0000260A"/>
    <w:rsid w:val="00002F06"/>
    <w:rsid w:val="00005B49"/>
    <w:rsid w:val="000066EB"/>
    <w:rsid w:val="00007DAD"/>
    <w:rsid w:val="00010C6D"/>
    <w:rsid w:val="0001109A"/>
    <w:rsid w:val="00012030"/>
    <w:rsid w:val="00012A80"/>
    <w:rsid w:val="00013004"/>
    <w:rsid w:val="000146EF"/>
    <w:rsid w:val="000155A1"/>
    <w:rsid w:val="0001671E"/>
    <w:rsid w:val="00022C8F"/>
    <w:rsid w:val="000238E5"/>
    <w:rsid w:val="000255C8"/>
    <w:rsid w:val="000258B3"/>
    <w:rsid w:val="00025B86"/>
    <w:rsid w:val="00026445"/>
    <w:rsid w:val="000272DB"/>
    <w:rsid w:val="00027852"/>
    <w:rsid w:val="000327D3"/>
    <w:rsid w:val="00032A9C"/>
    <w:rsid w:val="00032EA8"/>
    <w:rsid w:val="0003425D"/>
    <w:rsid w:val="00035492"/>
    <w:rsid w:val="000366AA"/>
    <w:rsid w:val="00037B82"/>
    <w:rsid w:val="000408F0"/>
    <w:rsid w:val="00040C76"/>
    <w:rsid w:val="0004167E"/>
    <w:rsid w:val="000425E5"/>
    <w:rsid w:val="0004338A"/>
    <w:rsid w:val="00043B6E"/>
    <w:rsid w:val="00043CB1"/>
    <w:rsid w:val="00044E87"/>
    <w:rsid w:val="00045655"/>
    <w:rsid w:val="00047449"/>
    <w:rsid w:val="000500D5"/>
    <w:rsid w:val="0005257A"/>
    <w:rsid w:val="000526EE"/>
    <w:rsid w:val="00054541"/>
    <w:rsid w:val="00057195"/>
    <w:rsid w:val="000574F1"/>
    <w:rsid w:val="000579DB"/>
    <w:rsid w:val="00057FB4"/>
    <w:rsid w:val="000601AE"/>
    <w:rsid w:val="00061653"/>
    <w:rsid w:val="00061B1D"/>
    <w:rsid w:val="00066A65"/>
    <w:rsid w:val="00066E5C"/>
    <w:rsid w:val="00070136"/>
    <w:rsid w:val="000702CD"/>
    <w:rsid w:val="0007066C"/>
    <w:rsid w:val="0007071F"/>
    <w:rsid w:val="00072E86"/>
    <w:rsid w:val="000732FD"/>
    <w:rsid w:val="00075209"/>
    <w:rsid w:val="000757A9"/>
    <w:rsid w:val="00076437"/>
    <w:rsid w:val="00080043"/>
    <w:rsid w:val="0008070F"/>
    <w:rsid w:val="00081716"/>
    <w:rsid w:val="00083B4B"/>
    <w:rsid w:val="00083B59"/>
    <w:rsid w:val="00085ADC"/>
    <w:rsid w:val="000867DB"/>
    <w:rsid w:val="00086C98"/>
    <w:rsid w:val="00087E56"/>
    <w:rsid w:val="00091D2D"/>
    <w:rsid w:val="000924B0"/>
    <w:rsid w:val="00092656"/>
    <w:rsid w:val="00092C74"/>
    <w:rsid w:val="000938DA"/>
    <w:rsid w:val="00096287"/>
    <w:rsid w:val="00096663"/>
    <w:rsid w:val="00096B0B"/>
    <w:rsid w:val="00096E7C"/>
    <w:rsid w:val="0009757D"/>
    <w:rsid w:val="000A0E77"/>
    <w:rsid w:val="000A20E0"/>
    <w:rsid w:val="000A3D55"/>
    <w:rsid w:val="000A464C"/>
    <w:rsid w:val="000A4F46"/>
    <w:rsid w:val="000A6AF1"/>
    <w:rsid w:val="000A6BD6"/>
    <w:rsid w:val="000A7021"/>
    <w:rsid w:val="000B0D79"/>
    <w:rsid w:val="000B21E2"/>
    <w:rsid w:val="000B2A91"/>
    <w:rsid w:val="000B2FEB"/>
    <w:rsid w:val="000B32E4"/>
    <w:rsid w:val="000B4FF7"/>
    <w:rsid w:val="000B62D9"/>
    <w:rsid w:val="000B6705"/>
    <w:rsid w:val="000B6F1D"/>
    <w:rsid w:val="000B74BC"/>
    <w:rsid w:val="000C5C3D"/>
    <w:rsid w:val="000C6488"/>
    <w:rsid w:val="000C68A3"/>
    <w:rsid w:val="000C6F32"/>
    <w:rsid w:val="000C6F4E"/>
    <w:rsid w:val="000D1753"/>
    <w:rsid w:val="000D204C"/>
    <w:rsid w:val="000D2AD4"/>
    <w:rsid w:val="000D2D92"/>
    <w:rsid w:val="000D44F6"/>
    <w:rsid w:val="000D4B00"/>
    <w:rsid w:val="000D4B4F"/>
    <w:rsid w:val="000D6608"/>
    <w:rsid w:val="000E0207"/>
    <w:rsid w:val="000E02CC"/>
    <w:rsid w:val="000E2365"/>
    <w:rsid w:val="000E2EFA"/>
    <w:rsid w:val="000E3A4E"/>
    <w:rsid w:val="000E400C"/>
    <w:rsid w:val="000E6383"/>
    <w:rsid w:val="000F03EC"/>
    <w:rsid w:val="000F1E09"/>
    <w:rsid w:val="000F2903"/>
    <w:rsid w:val="000F2A04"/>
    <w:rsid w:val="000F37A4"/>
    <w:rsid w:val="000F3F14"/>
    <w:rsid w:val="000F6613"/>
    <w:rsid w:val="000F7C92"/>
    <w:rsid w:val="00101BCC"/>
    <w:rsid w:val="0010263E"/>
    <w:rsid w:val="00103D7A"/>
    <w:rsid w:val="00104493"/>
    <w:rsid w:val="00105481"/>
    <w:rsid w:val="0010569E"/>
    <w:rsid w:val="00105D66"/>
    <w:rsid w:val="00107708"/>
    <w:rsid w:val="00111506"/>
    <w:rsid w:val="00111E1E"/>
    <w:rsid w:val="001123BD"/>
    <w:rsid w:val="00112896"/>
    <w:rsid w:val="00112A59"/>
    <w:rsid w:val="00112DEC"/>
    <w:rsid w:val="001144A9"/>
    <w:rsid w:val="00114B09"/>
    <w:rsid w:val="00117002"/>
    <w:rsid w:val="001173BC"/>
    <w:rsid w:val="001201D0"/>
    <w:rsid w:val="001216AC"/>
    <w:rsid w:val="00123CAC"/>
    <w:rsid w:val="00124C2A"/>
    <w:rsid w:val="00127CC7"/>
    <w:rsid w:val="00130750"/>
    <w:rsid w:val="00133013"/>
    <w:rsid w:val="001336F0"/>
    <w:rsid w:val="001350D4"/>
    <w:rsid w:val="00135811"/>
    <w:rsid w:val="00135BDA"/>
    <w:rsid w:val="001377C0"/>
    <w:rsid w:val="001402F4"/>
    <w:rsid w:val="00140753"/>
    <w:rsid w:val="00142B95"/>
    <w:rsid w:val="0014357E"/>
    <w:rsid w:val="0014455D"/>
    <w:rsid w:val="00145CD2"/>
    <w:rsid w:val="00146B11"/>
    <w:rsid w:val="0014763D"/>
    <w:rsid w:val="00151A1B"/>
    <w:rsid w:val="00151C0B"/>
    <w:rsid w:val="00152751"/>
    <w:rsid w:val="00152B26"/>
    <w:rsid w:val="00154049"/>
    <w:rsid w:val="00154BCF"/>
    <w:rsid w:val="00155070"/>
    <w:rsid w:val="00155A46"/>
    <w:rsid w:val="001564AA"/>
    <w:rsid w:val="0015654B"/>
    <w:rsid w:val="0015662F"/>
    <w:rsid w:val="00160897"/>
    <w:rsid w:val="00162DAA"/>
    <w:rsid w:val="001630BE"/>
    <w:rsid w:val="001630DE"/>
    <w:rsid w:val="00165A1F"/>
    <w:rsid w:val="00165C9A"/>
    <w:rsid w:val="00166AC2"/>
    <w:rsid w:val="00167B4E"/>
    <w:rsid w:val="00167E4F"/>
    <w:rsid w:val="00172CF3"/>
    <w:rsid w:val="00173513"/>
    <w:rsid w:val="00173E4A"/>
    <w:rsid w:val="00174CA4"/>
    <w:rsid w:val="001802F8"/>
    <w:rsid w:val="0018186A"/>
    <w:rsid w:val="00184821"/>
    <w:rsid w:val="00184AD5"/>
    <w:rsid w:val="00184D0F"/>
    <w:rsid w:val="00185322"/>
    <w:rsid w:val="001900D4"/>
    <w:rsid w:val="0019019A"/>
    <w:rsid w:val="00190476"/>
    <w:rsid w:val="001917A0"/>
    <w:rsid w:val="00192899"/>
    <w:rsid w:val="0019404A"/>
    <w:rsid w:val="00194EFB"/>
    <w:rsid w:val="00195240"/>
    <w:rsid w:val="001972F4"/>
    <w:rsid w:val="0019734C"/>
    <w:rsid w:val="001A09CD"/>
    <w:rsid w:val="001A324B"/>
    <w:rsid w:val="001A3FF1"/>
    <w:rsid w:val="001A463C"/>
    <w:rsid w:val="001A4833"/>
    <w:rsid w:val="001A501B"/>
    <w:rsid w:val="001A6E10"/>
    <w:rsid w:val="001B0A50"/>
    <w:rsid w:val="001B12F7"/>
    <w:rsid w:val="001B24A8"/>
    <w:rsid w:val="001B2CA1"/>
    <w:rsid w:val="001B55B7"/>
    <w:rsid w:val="001B5886"/>
    <w:rsid w:val="001B6C42"/>
    <w:rsid w:val="001B7805"/>
    <w:rsid w:val="001C1243"/>
    <w:rsid w:val="001C3A02"/>
    <w:rsid w:val="001C7DE3"/>
    <w:rsid w:val="001D06F5"/>
    <w:rsid w:val="001D2739"/>
    <w:rsid w:val="001D2BDE"/>
    <w:rsid w:val="001D3B7D"/>
    <w:rsid w:val="001D463E"/>
    <w:rsid w:val="001D523C"/>
    <w:rsid w:val="001D5D08"/>
    <w:rsid w:val="001D7034"/>
    <w:rsid w:val="001E1007"/>
    <w:rsid w:val="001E1C6D"/>
    <w:rsid w:val="001E210F"/>
    <w:rsid w:val="001E3D7F"/>
    <w:rsid w:val="001E43C2"/>
    <w:rsid w:val="001E6340"/>
    <w:rsid w:val="001E6BE8"/>
    <w:rsid w:val="001F083C"/>
    <w:rsid w:val="001F40E1"/>
    <w:rsid w:val="001F4D2D"/>
    <w:rsid w:val="001F5413"/>
    <w:rsid w:val="001F578E"/>
    <w:rsid w:val="001F6E46"/>
    <w:rsid w:val="001F7185"/>
    <w:rsid w:val="00201530"/>
    <w:rsid w:val="002020DD"/>
    <w:rsid w:val="00202ACD"/>
    <w:rsid w:val="00203BC8"/>
    <w:rsid w:val="00203CA9"/>
    <w:rsid w:val="0020560D"/>
    <w:rsid w:val="00207332"/>
    <w:rsid w:val="00207848"/>
    <w:rsid w:val="00207D7E"/>
    <w:rsid w:val="00210483"/>
    <w:rsid w:val="00213310"/>
    <w:rsid w:val="0021472D"/>
    <w:rsid w:val="00214EC8"/>
    <w:rsid w:val="00214F7D"/>
    <w:rsid w:val="0021535A"/>
    <w:rsid w:val="00215CEA"/>
    <w:rsid w:val="00215E97"/>
    <w:rsid w:val="00216BD5"/>
    <w:rsid w:val="00216E2F"/>
    <w:rsid w:val="0022252E"/>
    <w:rsid w:val="002232AA"/>
    <w:rsid w:val="0022395C"/>
    <w:rsid w:val="0022395E"/>
    <w:rsid w:val="00225339"/>
    <w:rsid w:val="00226EC6"/>
    <w:rsid w:val="0022709F"/>
    <w:rsid w:val="00230257"/>
    <w:rsid w:val="002314BD"/>
    <w:rsid w:val="00233587"/>
    <w:rsid w:val="002338A9"/>
    <w:rsid w:val="00235159"/>
    <w:rsid w:val="002379C4"/>
    <w:rsid w:val="002434B4"/>
    <w:rsid w:val="002435D2"/>
    <w:rsid w:val="0024471A"/>
    <w:rsid w:val="002449BB"/>
    <w:rsid w:val="0024541C"/>
    <w:rsid w:val="00245ED1"/>
    <w:rsid w:val="00246162"/>
    <w:rsid w:val="002471C5"/>
    <w:rsid w:val="002477BE"/>
    <w:rsid w:val="0024782B"/>
    <w:rsid w:val="00247A59"/>
    <w:rsid w:val="002513FE"/>
    <w:rsid w:val="00252DDC"/>
    <w:rsid w:val="00252DEB"/>
    <w:rsid w:val="00254646"/>
    <w:rsid w:val="00256B89"/>
    <w:rsid w:val="00256F15"/>
    <w:rsid w:val="00257AFC"/>
    <w:rsid w:val="00262036"/>
    <w:rsid w:val="002640DE"/>
    <w:rsid w:val="00266CA7"/>
    <w:rsid w:val="00270862"/>
    <w:rsid w:val="00271286"/>
    <w:rsid w:val="002713A3"/>
    <w:rsid w:val="00271522"/>
    <w:rsid w:val="00271777"/>
    <w:rsid w:val="0027263F"/>
    <w:rsid w:val="00273B2F"/>
    <w:rsid w:val="00274D7E"/>
    <w:rsid w:val="0027622D"/>
    <w:rsid w:val="0027687A"/>
    <w:rsid w:val="00281309"/>
    <w:rsid w:val="0028157B"/>
    <w:rsid w:val="00281609"/>
    <w:rsid w:val="00281961"/>
    <w:rsid w:val="002833DA"/>
    <w:rsid w:val="0028343E"/>
    <w:rsid w:val="00284DC2"/>
    <w:rsid w:val="0028676D"/>
    <w:rsid w:val="00291C8C"/>
    <w:rsid w:val="00294752"/>
    <w:rsid w:val="00294CDE"/>
    <w:rsid w:val="002952A5"/>
    <w:rsid w:val="00295FA5"/>
    <w:rsid w:val="00297A5D"/>
    <w:rsid w:val="002A4090"/>
    <w:rsid w:val="002A4158"/>
    <w:rsid w:val="002A48F1"/>
    <w:rsid w:val="002A5B75"/>
    <w:rsid w:val="002B3BB6"/>
    <w:rsid w:val="002B3C4B"/>
    <w:rsid w:val="002B48D6"/>
    <w:rsid w:val="002B4DC1"/>
    <w:rsid w:val="002B51AD"/>
    <w:rsid w:val="002C08F6"/>
    <w:rsid w:val="002C143E"/>
    <w:rsid w:val="002C1ADF"/>
    <w:rsid w:val="002C3887"/>
    <w:rsid w:val="002C3BBB"/>
    <w:rsid w:val="002C401D"/>
    <w:rsid w:val="002C41D0"/>
    <w:rsid w:val="002C452D"/>
    <w:rsid w:val="002C4DC7"/>
    <w:rsid w:val="002D0AE2"/>
    <w:rsid w:val="002D2178"/>
    <w:rsid w:val="002D4088"/>
    <w:rsid w:val="002D43DF"/>
    <w:rsid w:val="002D526D"/>
    <w:rsid w:val="002E20DD"/>
    <w:rsid w:val="002E2883"/>
    <w:rsid w:val="002E2BF1"/>
    <w:rsid w:val="002E3DB1"/>
    <w:rsid w:val="002E3FDC"/>
    <w:rsid w:val="002E46D4"/>
    <w:rsid w:val="002E4D2C"/>
    <w:rsid w:val="002E6402"/>
    <w:rsid w:val="002E7BE4"/>
    <w:rsid w:val="002F1C70"/>
    <w:rsid w:val="002F1D75"/>
    <w:rsid w:val="002F3BD0"/>
    <w:rsid w:val="002F51C2"/>
    <w:rsid w:val="002F5E33"/>
    <w:rsid w:val="00300F8D"/>
    <w:rsid w:val="00303456"/>
    <w:rsid w:val="003046C4"/>
    <w:rsid w:val="0030518A"/>
    <w:rsid w:val="0030519C"/>
    <w:rsid w:val="00305F73"/>
    <w:rsid w:val="00310ABE"/>
    <w:rsid w:val="00311059"/>
    <w:rsid w:val="003111AD"/>
    <w:rsid w:val="00312C5E"/>
    <w:rsid w:val="00313806"/>
    <w:rsid w:val="00314DF4"/>
    <w:rsid w:val="00316261"/>
    <w:rsid w:val="003164A3"/>
    <w:rsid w:val="0031679C"/>
    <w:rsid w:val="00317153"/>
    <w:rsid w:val="0031716D"/>
    <w:rsid w:val="00317AEF"/>
    <w:rsid w:val="00321075"/>
    <w:rsid w:val="00322B1C"/>
    <w:rsid w:val="003246ED"/>
    <w:rsid w:val="00324EE0"/>
    <w:rsid w:val="00326F8A"/>
    <w:rsid w:val="003308E0"/>
    <w:rsid w:val="00330A1D"/>
    <w:rsid w:val="00330E5A"/>
    <w:rsid w:val="00331035"/>
    <w:rsid w:val="003314F4"/>
    <w:rsid w:val="00331E30"/>
    <w:rsid w:val="003322D6"/>
    <w:rsid w:val="003334DA"/>
    <w:rsid w:val="00333F1C"/>
    <w:rsid w:val="00341B0B"/>
    <w:rsid w:val="003420D8"/>
    <w:rsid w:val="00343C0F"/>
    <w:rsid w:val="003446E3"/>
    <w:rsid w:val="00350B38"/>
    <w:rsid w:val="00351F0E"/>
    <w:rsid w:val="00352170"/>
    <w:rsid w:val="00352366"/>
    <w:rsid w:val="00352B25"/>
    <w:rsid w:val="00352F0A"/>
    <w:rsid w:val="00353AD7"/>
    <w:rsid w:val="00353FF0"/>
    <w:rsid w:val="00354AA1"/>
    <w:rsid w:val="0035542F"/>
    <w:rsid w:val="00357163"/>
    <w:rsid w:val="003574A3"/>
    <w:rsid w:val="00357F31"/>
    <w:rsid w:val="0036027D"/>
    <w:rsid w:val="00361270"/>
    <w:rsid w:val="003614A3"/>
    <w:rsid w:val="00361F23"/>
    <w:rsid w:val="00361FB3"/>
    <w:rsid w:val="00362CD4"/>
    <w:rsid w:val="00364429"/>
    <w:rsid w:val="0036585E"/>
    <w:rsid w:val="003662A6"/>
    <w:rsid w:val="0037057D"/>
    <w:rsid w:val="00371040"/>
    <w:rsid w:val="00371249"/>
    <w:rsid w:val="00372274"/>
    <w:rsid w:val="00372654"/>
    <w:rsid w:val="00372ED5"/>
    <w:rsid w:val="003731CC"/>
    <w:rsid w:val="00373EAE"/>
    <w:rsid w:val="00375805"/>
    <w:rsid w:val="00376410"/>
    <w:rsid w:val="00376607"/>
    <w:rsid w:val="00376E62"/>
    <w:rsid w:val="00377CFC"/>
    <w:rsid w:val="003805D8"/>
    <w:rsid w:val="00380C4B"/>
    <w:rsid w:val="00380C6E"/>
    <w:rsid w:val="003815BB"/>
    <w:rsid w:val="003836CA"/>
    <w:rsid w:val="003848D9"/>
    <w:rsid w:val="0038722E"/>
    <w:rsid w:val="00390078"/>
    <w:rsid w:val="00390D2F"/>
    <w:rsid w:val="00390F05"/>
    <w:rsid w:val="003940D8"/>
    <w:rsid w:val="0039426D"/>
    <w:rsid w:val="0039479C"/>
    <w:rsid w:val="00397007"/>
    <w:rsid w:val="00397CBD"/>
    <w:rsid w:val="003A04CE"/>
    <w:rsid w:val="003A0816"/>
    <w:rsid w:val="003A08A6"/>
    <w:rsid w:val="003A0C75"/>
    <w:rsid w:val="003A12B6"/>
    <w:rsid w:val="003A1A18"/>
    <w:rsid w:val="003A1DB6"/>
    <w:rsid w:val="003A36DC"/>
    <w:rsid w:val="003A4A6F"/>
    <w:rsid w:val="003A50E3"/>
    <w:rsid w:val="003A5A9C"/>
    <w:rsid w:val="003A7A3E"/>
    <w:rsid w:val="003B25DC"/>
    <w:rsid w:val="003B37E2"/>
    <w:rsid w:val="003B6320"/>
    <w:rsid w:val="003B6C69"/>
    <w:rsid w:val="003B7EC0"/>
    <w:rsid w:val="003C026E"/>
    <w:rsid w:val="003C1C6D"/>
    <w:rsid w:val="003C2ABD"/>
    <w:rsid w:val="003C2CEA"/>
    <w:rsid w:val="003C2D0C"/>
    <w:rsid w:val="003C301C"/>
    <w:rsid w:val="003C337E"/>
    <w:rsid w:val="003C3FD8"/>
    <w:rsid w:val="003C4978"/>
    <w:rsid w:val="003C54DA"/>
    <w:rsid w:val="003C5DBF"/>
    <w:rsid w:val="003C5E99"/>
    <w:rsid w:val="003C7AA8"/>
    <w:rsid w:val="003D1046"/>
    <w:rsid w:val="003D1AA9"/>
    <w:rsid w:val="003D2946"/>
    <w:rsid w:val="003D2B66"/>
    <w:rsid w:val="003D2E18"/>
    <w:rsid w:val="003D2E72"/>
    <w:rsid w:val="003D337C"/>
    <w:rsid w:val="003D3658"/>
    <w:rsid w:val="003D3EB9"/>
    <w:rsid w:val="003D5EAA"/>
    <w:rsid w:val="003D7A9F"/>
    <w:rsid w:val="003E0F2F"/>
    <w:rsid w:val="003E1C2A"/>
    <w:rsid w:val="003E3213"/>
    <w:rsid w:val="003E5530"/>
    <w:rsid w:val="003E63BB"/>
    <w:rsid w:val="003E663B"/>
    <w:rsid w:val="003F048A"/>
    <w:rsid w:val="003F1D0E"/>
    <w:rsid w:val="003F32C6"/>
    <w:rsid w:val="003F34CF"/>
    <w:rsid w:val="003F3E69"/>
    <w:rsid w:val="003F5F54"/>
    <w:rsid w:val="003F7F24"/>
    <w:rsid w:val="00403012"/>
    <w:rsid w:val="00405B75"/>
    <w:rsid w:val="004060A6"/>
    <w:rsid w:val="00410AF6"/>
    <w:rsid w:val="00410E0D"/>
    <w:rsid w:val="004120E7"/>
    <w:rsid w:val="004123AD"/>
    <w:rsid w:val="00413148"/>
    <w:rsid w:val="004145D9"/>
    <w:rsid w:val="00414659"/>
    <w:rsid w:val="004157BE"/>
    <w:rsid w:val="00415F1F"/>
    <w:rsid w:val="00424A0F"/>
    <w:rsid w:val="00426550"/>
    <w:rsid w:val="00427D80"/>
    <w:rsid w:val="00430641"/>
    <w:rsid w:val="00430F45"/>
    <w:rsid w:val="00431692"/>
    <w:rsid w:val="00431D36"/>
    <w:rsid w:val="0043333E"/>
    <w:rsid w:val="00436219"/>
    <w:rsid w:val="004365BB"/>
    <w:rsid w:val="00441A07"/>
    <w:rsid w:val="00441C99"/>
    <w:rsid w:val="00443562"/>
    <w:rsid w:val="0044462C"/>
    <w:rsid w:val="00445A36"/>
    <w:rsid w:val="00446C42"/>
    <w:rsid w:val="00447B45"/>
    <w:rsid w:val="004511A7"/>
    <w:rsid w:val="00451F0E"/>
    <w:rsid w:val="0045284A"/>
    <w:rsid w:val="00454369"/>
    <w:rsid w:val="004556B4"/>
    <w:rsid w:val="00457198"/>
    <w:rsid w:val="0045782B"/>
    <w:rsid w:val="00460BD0"/>
    <w:rsid w:val="0046296F"/>
    <w:rsid w:val="0046327D"/>
    <w:rsid w:val="00464EC8"/>
    <w:rsid w:val="0046592B"/>
    <w:rsid w:val="00466CF6"/>
    <w:rsid w:val="00467505"/>
    <w:rsid w:val="00470FE9"/>
    <w:rsid w:val="004722F1"/>
    <w:rsid w:val="004729B2"/>
    <w:rsid w:val="0047312C"/>
    <w:rsid w:val="00474275"/>
    <w:rsid w:val="00474479"/>
    <w:rsid w:val="0047501C"/>
    <w:rsid w:val="0047502D"/>
    <w:rsid w:val="0048127A"/>
    <w:rsid w:val="004815AD"/>
    <w:rsid w:val="004815ED"/>
    <w:rsid w:val="00481D9D"/>
    <w:rsid w:val="00481F8F"/>
    <w:rsid w:val="00482581"/>
    <w:rsid w:val="00484300"/>
    <w:rsid w:val="0048598E"/>
    <w:rsid w:val="00486B3D"/>
    <w:rsid w:val="00492F10"/>
    <w:rsid w:val="00492F51"/>
    <w:rsid w:val="00494055"/>
    <w:rsid w:val="00496F1E"/>
    <w:rsid w:val="004A01C5"/>
    <w:rsid w:val="004A02FF"/>
    <w:rsid w:val="004A0C9C"/>
    <w:rsid w:val="004A10E0"/>
    <w:rsid w:val="004A210C"/>
    <w:rsid w:val="004A2998"/>
    <w:rsid w:val="004A34F0"/>
    <w:rsid w:val="004A3A41"/>
    <w:rsid w:val="004A3A4C"/>
    <w:rsid w:val="004A3FAD"/>
    <w:rsid w:val="004A46AA"/>
    <w:rsid w:val="004A4F38"/>
    <w:rsid w:val="004A53DC"/>
    <w:rsid w:val="004A55A0"/>
    <w:rsid w:val="004B1143"/>
    <w:rsid w:val="004B1C10"/>
    <w:rsid w:val="004B1E07"/>
    <w:rsid w:val="004B1EAB"/>
    <w:rsid w:val="004B27A4"/>
    <w:rsid w:val="004B40B6"/>
    <w:rsid w:val="004B7359"/>
    <w:rsid w:val="004C1187"/>
    <w:rsid w:val="004C165D"/>
    <w:rsid w:val="004C2ADB"/>
    <w:rsid w:val="004C4721"/>
    <w:rsid w:val="004C4FA0"/>
    <w:rsid w:val="004C5619"/>
    <w:rsid w:val="004C6232"/>
    <w:rsid w:val="004C663F"/>
    <w:rsid w:val="004C66E7"/>
    <w:rsid w:val="004C702A"/>
    <w:rsid w:val="004D043D"/>
    <w:rsid w:val="004D0F18"/>
    <w:rsid w:val="004D17A0"/>
    <w:rsid w:val="004D1A6B"/>
    <w:rsid w:val="004D1BD0"/>
    <w:rsid w:val="004D1FBD"/>
    <w:rsid w:val="004D288F"/>
    <w:rsid w:val="004D457E"/>
    <w:rsid w:val="004D4DAE"/>
    <w:rsid w:val="004D5D6A"/>
    <w:rsid w:val="004D5FAD"/>
    <w:rsid w:val="004D6232"/>
    <w:rsid w:val="004D65D2"/>
    <w:rsid w:val="004D70A1"/>
    <w:rsid w:val="004D7AD0"/>
    <w:rsid w:val="004D7B7A"/>
    <w:rsid w:val="004D7CBF"/>
    <w:rsid w:val="004E0604"/>
    <w:rsid w:val="004E2122"/>
    <w:rsid w:val="004E374A"/>
    <w:rsid w:val="004E379E"/>
    <w:rsid w:val="004E57B6"/>
    <w:rsid w:val="004E7A13"/>
    <w:rsid w:val="004E7AC3"/>
    <w:rsid w:val="004E7FBF"/>
    <w:rsid w:val="004F00CD"/>
    <w:rsid w:val="004F2876"/>
    <w:rsid w:val="004F2CA3"/>
    <w:rsid w:val="004F2FAE"/>
    <w:rsid w:val="004F3830"/>
    <w:rsid w:val="004F49E1"/>
    <w:rsid w:val="004F4DDE"/>
    <w:rsid w:val="004F5530"/>
    <w:rsid w:val="00500178"/>
    <w:rsid w:val="00501FCF"/>
    <w:rsid w:val="00502092"/>
    <w:rsid w:val="005020A9"/>
    <w:rsid w:val="005023B1"/>
    <w:rsid w:val="00503B6E"/>
    <w:rsid w:val="005049D3"/>
    <w:rsid w:val="00505E8F"/>
    <w:rsid w:val="00507118"/>
    <w:rsid w:val="00507BF1"/>
    <w:rsid w:val="00510E79"/>
    <w:rsid w:val="005113B6"/>
    <w:rsid w:val="00513E10"/>
    <w:rsid w:val="00514F13"/>
    <w:rsid w:val="00515666"/>
    <w:rsid w:val="005157DD"/>
    <w:rsid w:val="005162F2"/>
    <w:rsid w:val="0051711F"/>
    <w:rsid w:val="0052067C"/>
    <w:rsid w:val="00520932"/>
    <w:rsid w:val="005221A9"/>
    <w:rsid w:val="00523751"/>
    <w:rsid w:val="00525982"/>
    <w:rsid w:val="00526012"/>
    <w:rsid w:val="00526192"/>
    <w:rsid w:val="00527650"/>
    <w:rsid w:val="00531B6A"/>
    <w:rsid w:val="0053441A"/>
    <w:rsid w:val="005352B0"/>
    <w:rsid w:val="0053605F"/>
    <w:rsid w:val="005362D9"/>
    <w:rsid w:val="00536469"/>
    <w:rsid w:val="00536E7A"/>
    <w:rsid w:val="00537BE8"/>
    <w:rsid w:val="0054058E"/>
    <w:rsid w:val="00540787"/>
    <w:rsid w:val="00541092"/>
    <w:rsid w:val="00542DF1"/>
    <w:rsid w:val="0054386F"/>
    <w:rsid w:val="0054422B"/>
    <w:rsid w:val="0054470C"/>
    <w:rsid w:val="005468F0"/>
    <w:rsid w:val="00546F8C"/>
    <w:rsid w:val="005479E3"/>
    <w:rsid w:val="00547EF8"/>
    <w:rsid w:val="00550016"/>
    <w:rsid w:val="00550A83"/>
    <w:rsid w:val="00550E72"/>
    <w:rsid w:val="0055283E"/>
    <w:rsid w:val="0055327D"/>
    <w:rsid w:val="00553F7F"/>
    <w:rsid w:val="00554EB1"/>
    <w:rsid w:val="005556E6"/>
    <w:rsid w:val="005576F9"/>
    <w:rsid w:val="005606C0"/>
    <w:rsid w:val="00561601"/>
    <w:rsid w:val="00561848"/>
    <w:rsid w:val="00561DBA"/>
    <w:rsid w:val="00563C0F"/>
    <w:rsid w:val="00564893"/>
    <w:rsid w:val="005713CD"/>
    <w:rsid w:val="005731A0"/>
    <w:rsid w:val="0057437A"/>
    <w:rsid w:val="00574547"/>
    <w:rsid w:val="00574731"/>
    <w:rsid w:val="0057475B"/>
    <w:rsid w:val="00574BF3"/>
    <w:rsid w:val="00575194"/>
    <w:rsid w:val="00575698"/>
    <w:rsid w:val="00576571"/>
    <w:rsid w:val="00577518"/>
    <w:rsid w:val="00577D1A"/>
    <w:rsid w:val="00582573"/>
    <w:rsid w:val="00582A3B"/>
    <w:rsid w:val="00584EF0"/>
    <w:rsid w:val="00585012"/>
    <w:rsid w:val="00585C67"/>
    <w:rsid w:val="00586B7F"/>
    <w:rsid w:val="00586BB3"/>
    <w:rsid w:val="005870EF"/>
    <w:rsid w:val="0058734D"/>
    <w:rsid w:val="00590969"/>
    <w:rsid w:val="005917A8"/>
    <w:rsid w:val="00591F68"/>
    <w:rsid w:val="00592186"/>
    <w:rsid w:val="005942A2"/>
    <w:rsid w:val="0059459B"/>
    <w:rsid w:val="005974BD"/>
    <w:rsid w:val="00597F0C"/>
    <w:rsid w:val="005A0376"/>
    <w:rsid w:val="005A0DA5"/>
    <w:rsid w:val="005A6D51"/>
    <w:rsid w:val="005B12A5"/>
    <w:rsid w:val="005B35B4"/>
    <w:rsid w:val="005B40BB"/>
    <w:rsid w:val="005B601E"/>
    <w:rsid w:val="005B6268"/>
    <w:rsid w:val="005B7343"/>
    <w:rsid w:val="005C04B8"/>
    <w:rsid w:val="005C0F13"/>
    <w:rsid w:val="005C0F1E"/>
    <w:rsid w:val="005C1627"/>
    <w:rsid w:val="005C1E1F"/>
    <w:rsid w:val="005C3350"/>
    <w:rsid w:val="005C6654"/>
    <w:rsid w:val="005C6744"/>
    <w:rsid w:val="005D0BE8"/>
    <w:rsid w:val="005D25C3"/>
    <w:rsid w:val="005D5526"/>
    <w:rsid w:val="005D5D30"/>
    <w:rsid w:val="005D5ED1"/>
    <w:rsid w:val="005D5EEA"/>
    <w:rsid w:val="005D6C39"/>
    <w:rsid w:val="005D745A"/>
    <w:rsid w:val="005E047B"/>
    <w:rsid w:val="005E1FAC"/>
    <w:rsid w:val="005E51FF"/>
    <w:rsid w:val="005E5520"/>
    <w:rsid w:val="005E5B02"/>
    <w:rsid w:val="005E63C3"/>
    <w:rsid w:val="005E727E"/>
    <w:rsid w:val="005F0126"/>
    <w:rsid w:val="005F1D51"/>
    <w:rsid w:val="005F412A"/>
    <w:rsid w:val="005F4857"/>
    <w:rsid w:val="005F614B"/>
    <w:rsid w:val="00600259"/>
    <w:rsid w:val="00603FB1"/>
    <w:rsid w:val="006048C5"/>
    <w:rsid w:val="00605075"/>
    <w:rsid w:val="00605212"/>
    <w:rsid w:val="00606ADB"/>
    <w:rsid w:val="00606D8B"/>
    <w:rsid w:val="00610B8F"/>
    <w:rsid w:val="006123E1"/>
    <w:rsid w:val="0061248D"/>
    <w:rsid w:val="0061284D"/>
    <w:rsid w:val="00616985"/>
    <w:rsid w:val="00616B93"/>
    <w:rsid w:val="006173DA"/>
    <w:rsid w:val="00620EC1"/>
    <w:rsid w:val="00622FA4"/>
    <w:rsid w:val="006233D5"/>
    <w:rsid w:val="006235C1"/>
    <w:rsid w:val="00623D02"/>
    <w:rsid w:val="00625882"/>
    <w:rsid w:val="00625C63"/>
    <w:rsid w:val="0063137C"/>
    <w:rsid w:val="006316A9"/>
    <w:rsid w:val="0063170F"/>
    <w:rsid w:val="00631E86"/>
    <w:rsid w:val="006326B8"/>
    <w:rsid w:val="006328A8"/>
    <w:rsid w:val="006344F2"/>
    <w:rsid w:val="00634FC3"/>
    <w:rsid w:val="006376CC"/>
    <w:rsid w:val="00637953"/>
    <w:rsid w:val="0064012F"/>
    <w:rsid w:val="00641603"/>
    <w:rsid w:val="00643399"/>
    <w:rsid w:val="00643891"/>
    <w:rsid w:val="00643AF2"/>
    <w:rsid w:val="00643CDD"/>
    <w:rsid w:val="00644DAB"/>
    <w:rsid w:val="006456CB"/>
    <w:rsid w:val="00645916"/>
    <w:rsid w:val="00645FE6"/>
    <w:rsid w:val="00646EA4"/>
    <w:rsid w:val="006521B5"/>
    <w:rsid w:val="00652EE9"/>
    <w:rsid w:val="00654704"/>
    <w:rsid w:val="00654FF9"/>
    <w:rsid w:val="00655645"/>
    <w:rsid w:val="006557B6"/>
    <w:rsid w:val="00655D98"/>
    <w:rsid w:val="006564D3"/>
    <w:rsid w:val="00656849"/>
    <w:rsid w:val="00656AEE"/>
    <w:rsid w:val="00656FB1"/>
    <w:rsid w:val="0066027D"/>
    <w:rsid w:val="0066205A"/>
    <w:rsid w:val="00664076"/>
    <w:rsid w:val="0066469B"/>
    <w:rsid w:val="00665DC9"/>
    <w:rsid w:val="00666576"/>
    <w:rsid w:val="00666987"/>
    <w:rsid w:val="00667A56"/>
    <w:rsid w:val="006703B3"/>
    <w:rsid w:val="00670A02"/>
    <w:rsid w:val="006711C5"/>
    <w:rsid w:val="0067158D"/>
    <w:rsid w:val="00671EC4"/>
    <w:rsid w:val="0067304D"/>
    <w:rsid w:val="00673E17"/>
    <w:rsid w:val="006755B6"/>
    <w:rsid w:val="00675C7A"/>
    <w:rsid w:val="00675E22"/>
    <w:rsid w:val="00676D15"/>
    <w:rsid w:val="00676E50"/>
    <w:rsid w:val="00677BC9"/>
    <w:rsid w:val="006804E7"/>
    <w:rsid w:val="00680B28"/>
    <w:rsid w:val="00680F60"/>
    <w:rsid w:val="0068278B"/>
    <w:rsid w:val="00682957"/>
    <w:rsid w:val="00682F13"/>
    <w:rsid w:val="00684463"/>
    <w:rsid w:val="00686037"/>
    <w:rsid w:val="00686999"/>
    <w:rsid w:val="00687C4B"/>
    <w:rsid w:val="00687FDF"/>
    <w:rsid w:val="00691733"/>
    <w:rsid w:val="00692088"/>
    <w:rsid w:val="006954A7"/>
    <w:rsid w:val="00696B35"/>
    <w:rsid w:val="00696FFC"/>
    <w:rsid w:val="006970EE"/>
    <w:rsid w:val="006A0D0D"/>
    <w:rsid w:val="006A1E30"/>
    <w:rsid w:val="006A3EE5"/>
    <w:rsid w:val="006A5149"/>
    <w:rsid w:val="006A6D0C"/>
    <w:rsid w:val="006B0133"/>
    <w:rsid w:val="006B0DD1"/>
    <w:rsid w:val="006B13A6"/>
    <w:rsid w:val="006B1D44"/>
    <w:rsid w:val="006B1F7B"/>
    <w:rsid w:val="006B2357"/>
    <w:rsid w:val="006B2C0B"/>
    <w:rsid w:val="006B2DFD"/>
    <w:rsid w:val="006B4A02"/>
    <w:rsid w:val="006B5A2F"/>
    <w:rsid w:val="006B5D5E"/>
    <w:rsid w:val="006C007A"/>
    <w:rsid w:val="006C16D6"/>
    <w:rsid w:val="006C1F4A"/>
    <w:rsid w:val="006C2FB9"/>
    <w:rsid w:val="006C4C25"/>
    <w:rsid w:val="006C5AF3"/>
    <w:rsid w:val="006C619A"/>
    <w:rsid w:val="006C7204"/>
    <w:rsid w:val="006C721A"/>
    <w:rsid w:val="006C7D00"/>
    <w:rsid w:val="006D1133"/>
    <w:rsid w:val="006D115E"/>
    <w:rsid w:val="006D228B"/>
    <w:rsid w:val="006D255F"/>
    <w:rsid w:val="006D3AA3"/>
    <w:rsid w:val="006D4CC5"/>
    <w:rsid w:val="006D5318"/>
    <w:rsid w:val="006D5A52"/>
    <w:rsid w:val="006D5D38"/>
    <w:rsid w:val="006D71B2"/>
    <w:rsid w:val="006E0210"/>
    <w:rsid w:val="006E04D6"/>
    <w:rsid w:val="006E1480"/>
    <w:rsid w:val="006E1A64"/>
    <w:rsid w:val="006E220F"/>
    <w:rsid w:val="006E3642"/>
    <w:rsid w:val="006E5162"/>
    <w:rsid w:val="006E5A4E"/>
    <w:rsid w:val="006E6EE3"/>
    <w:rsid w:val="006E7B83"/>
    <w:rsid w:val="006F0238"/>
    <w:rsid w:val="006F0E26"/>
    <w:rsid w:val="006F0FB2"/>
    <w:rsid w:val="006F118D"/>
    <w:rsid w:val="006F153B"/>
    <w:rsid w:val="006F3931"/>
    <w:rsid w:val="006F4198"/>
    <w:rsid w:val="006F42D6"/>
    <w:rsid w:val="006F4BB0"/>
    <w:rsid w:val="006F6022"/>
    <w:rsid w:val="006F62F2"/>
    <w:rsid w:val="006F6724"/>
    <w:rsid w:val="006F6EEB"/>
    <w:rsid w:val="006F73D6"/>
    <w:rsid w:val="006F78DC"/>
    <w:rsid w:val="00700074"/>
    <w:rsid w:val="0070074B"/>
    <w:rsid w:val="00700AD7"/>
    <w:rsid w:val="007017DD"/>
    <w:rsid w:val="00701D51"/>
    <w:rsid w:val="00701F90"/>
    <w:rsid w:val="0070479D"/>
    <w:rsid w:val="00705605"/>
    <w:rsid w:val="00706A2A"/>
    <w:rsid w:val="00706D1C"/>
    <w:rsid w:val="007077B2"/>
    <w:rsid w:val="007100EA"/>
    <w:rsid w:val="00710417"/>
    <w:rsid w:val="007110A2"/>
    <w:rsid w:val="00712525"/>
    <w:rsid w:val="00712BD3"/>
    <w:rsid w:val="007138AA"/>
    <w:rsid w:val="00713FC4"/>
    <w:rsid w:val="00715D39"/>
    <w:rsid w:val="00715D8C"/>
    <w:rsid w:val="0071652C"/>
    <w:rsid w:val="0072137B"/>
    <w:rsid w:val="00722EB9"/>
    <w:rsid w:val="0072322C"/>
    <w:rsid w:val="00724730"/>
    <w:rsid w:val="007247BA"/>
    <w:rsid w:val="00725999"/>
    <w:rsid w:val="0072737C"/>
    <w:rsid w:val="00733437"/>
    <w:rsid w:val="00736B36"/>
    <w:rsid w:val="00740A36"/>
    <w:rsid w:val="00744459"/>
    <w:rsid w:val="007448ED"/>
    <w:rsid w:val="00745934"/>
    <w:rsid w:val="007461DE"/>
    <w:rsid w:val="00747E7D"/>
    <w:rsid w:val="00750719"/>
    <w:rsid w:val="007508C2"/>
    <w:rsid w:val="00750AF1"/>
    <w:rsid w:val="00752DC5"/>
    <w:rsid w:val="0075337E"/>
    <w:rsid w:val="00753830"/>
    <w:rsid w:val="00754A1C"/>
    <w:rsid w:val="00754E16"/>
    <w:rsid w:val="0075555B"/>
    <w:rsid w:val="007558CE"/>
    <w:rsid w:val="00755EF0"/>
    <w:rsid w:val="00761AA7"/>
    <w:rsid w:val="00763AFA"/>
    <w:rsid w:val="00764650"/>
    <w:rsid w:val="00765753"/>
    <w:rsid w:val="00765B1D"/>
    <w:rsid w:val="007702FD"/>
    <w:rsid w:val="00770935"/>
    <w:rsid w:val="00771CEF"/>
    <w:rsid w:val="00771E1A"/>
    <w:rsid w:val="00772EEE"/>
    <w:rsid w:val="007735BE"/>
    <w:rsid w:val="00773B3E"/>
    <w:rsid w:val="007746AF"/>
    <w:rsid w:val="0077499D"/>
    <w:rsid w:val="00775A3C"/>
    <w:rsid w:val="00777AD9"/>
    <w:rsid w:val="00777C0F"/>
    <w:rsid w:val="00777E51"/>
    <w:rsid w:val="00781EFF"/>
    <w:rsid w:val="00783F11"/>
    <w:rsid w:val="0078593A"/>
    <w:rsid w:val="0078686C"/>
    <w:rsid w:val="00786E16"/>
    <w:rsid w:val="007872CF"/>
    <w:rsid w:val="007911DF"/>
    <w:rsid w:val="00791EC6"/>
    <w:rsid w:val="00795285"/>
    <w:rsid w:val="0079603A"/>
    <w:rsid w:val="00796AA6"/>
    <w:rsid w:val="00797EE6"/>
    <w:rsid w:val="007A2B08"/>
    <w:rsid w:val="007A4AD4"/>
    <w:rsid w:val="007A502F"/>
    <w:rsid w:val="007A53AC"/>
    <w:rsid w:val="007A6536"/>
    <w:rsid w:val="007A6CCF"/>
    <w:rsid w:val="007A70B0"/>
    <w:rsid w:val="007A7463"/>
    <w:rsid w:val="007A76D3"/>
    <w:rsid w:val="007B0BC4"/>
    <w:rsid w:val="007B1FB6"/>
    <w:rsid w:val="007B2A76"/>
    <w:rsid w:val="007B35A4"/>
    <w:rsid w:val="007C0CE2"/>
    <w:rsid w:val="007C173A"/>
    <w:rsid w:val="007C20DD"/>
    <w:rsid w:val="007C3092"/>
    <w:rsid w:val="007C3C01"/>
    <w:rsid w:val="007C4C43"/>
    <w:rsid w:val="007C5DC7"/>
    <w:rsid w:val="007C6F79"/>
    <w:rsid w:val="007C7358"/>
    <w:rsid w:val="007D06D5"/>
    <w:rsid w:val="007D079E"/>
    <w:rsid w:val="007D2104"/>
    <w:rsid w:val="007D417B"/>
    <w:rsid w:val="007D4BB0"/>
    <w:rsid w:val="007D607E"/>
    <w:rsid w:val="007D6922"/>
    <w:rsid w:val="007E1167"/>
    <w:rsid w:val="007E15BD"/>
    <w:rsid w:val="007E2778"/>
    <w:rsid w:val="007E2919"/>
    <w:rsid w:val="007E40A8"/>
    <w:rsid w:val="007E619E"/>
    <w:rsid w:val="007E6AC3"/>
    <w:rsid w:val="007E6DB6"/>
    <w:rsid w:val="007F1DE6"/>
    <w:rsid w:val="007F39FA"/>
    <w:rsid w:val="007F3E00"/>
    <w:rsid w:val="00800300"/>
    <w:rsid w:val="00800645"/>
    <w:rsid w:val="0080167F"/>
    <w:rsid w:val="00805D69"/>
    <w:rsid w:val="008064E9"/>
    <w:rsid w:val="00812D38"/>
    <w:rsid w:val="008156F6"/>
    <w:rsid w:val="00817E83"/>
    <w:rsid w:val="00820416"/>
    <w:rsid w:val="00821749"/>
    <w:rsid w:val="00821B4C"/>
    <w:rsid w:val="00821EA6"/>
    <w:rsid w:val="00823187"/>
    <w:rsid w:val="008231C7"/>
    <w:rsid w:val="008263A0"/>
    <w:rsid w:val="00826C52"/>
    <w:rsid w:val="008271D9"/>
    <w:rsid w:val="00827B6D"/>
    <w:rsid w:val="00827D71"/>
    <w:rsid w:val="00830141"/>
    <w:rsid w:val="008307B5"/>
    <w:rsid w:val="00832123"/>
    <w:rsid w:val="0083254B"/>
    <w:rsid w:val="008343F7"/>
    <w:rsid w:val="00834E82"/>
    <w:rsid w:val="0083629D"/>
    <w:rsid w:val="00836632"/>
    <w:rsid w:val="00840043"/>
    <w:rsid w:val="00840E41"/>
    <w:rsid w:val="0084133E"/>
    <w:rsid w:val="008419FF"/>
    <w:rsid w:val="00844117"/>
    <w:rsid w:val="0084443F"/>
    <w:rsid w:val="00844F3E"/>
    <w:rsid w:val="008463E5"/>
    <w:rsid w:val="00850DC0"/>
    <w:rsid w:val="00852504"/>
    <w:rsid w:val="00852A2F"/>
    <w:rsid w:val="0085449D"/>
    <w:rsid w:val="00855357"/>
    <w:rsid w:val="008579B8"/>
    <w:rsid w:val="008608DC"/>
    <w:rsid w:val="00860F99"/>
    <w:rsid w:val="0086134C"/>
    <w:rsid w:val="008614B2"/>
    <w:rsid w:val="0086167B"/>
    <w:rsid w:val="00861A20"/>
    <w:rsid w:val="00861B0A"/>
    <w:rsid w:val="0086279E"/>
    <w:rsid w:val="00862808"/>
    <w:rsid w:val="00863374"/>
    <w:rsid w:val="00866321"/>
    <w:rsid w:val="00866960"/>
    <w:rsid w:val="00867C52"/>
    <w:rsid w:val="0087066B"/>
    <w:rsid w:val="0087135F"/>
    <w:rsid w:val="00871D7F"/>
    <w:rsid w:val="00873096"/>
    <w:rsid w:val="00874510"/>
    <w:rsid w:val="008750AA"/>
    <w:rsid w:val="00881312"/>
    <w:rsid w:val="008825A9"/>
    <w:rsid w:val="00882EF2"/>
    <w:rsid w:val="00883908"/>
    <w:rsid w:val="00886585"/>
    <w:rsid w:val="008901CA"/>
    <w:rsid w:val="00890F66"/>
    <w:rsid w:val="0089101F"/>
    <w:rsid w:val="0089115E"/>
    <w:rsid w:val="00891610"/>
    <w:rsid w:val="00893666"/>
    <w:rsid w:val="00893E41"/>
    <w:rsid w:val="008940F1"/>
    <w:rsid w:val="00894A42"/>
    <w:rsid w:val="00894FDF"/>
    <w:rsid w:val="008955D8"/>
    <w:rsid w:val="00895C23"/>
    <w:rsid w:val="00897F6F"/>
    <w:rsid w:val="008A0A13"/>
    <w:rsid w:val="008A0AEB"/>
    <w:rsid w:val="008A1BC8"/>
    <w:rsid w:val="008A522C"/>
    <w:rsid w:val="008A52A1"/>
    <w:rsid w:val="008A5A13"/>
    <w:rsid w:val="008A5BB9"/>
    <w:rsid w:val="008A64D8"/>
    <w:rsid w:val="008A6932"/>
    <w:rsid w:val="008A7EEF"/>
    <w:rsid w:val="008B17CD"/>
    <w:rsid w:val="008B2912"/>
    <w:rsid w:val="008B3914"/>
    <w:rsid w:val="008B39F2"/>
    <w:rsid w:val="008B4FA3"/>
    <w:rsid w:val="008C06BE"/>
    <w:rsid w:val="008C12FA"/>
    <w:rsid w:val="008C15F3"/>
    <w:rsid w:val="008C190B"/>
    <w:rsid w:val="008C27E5"/>
    <w:rsid w:val="008C3A0D"/>
    <w:rsid w:val="008C3DF8"/>
    <w:rsid w:val="008C3EF2"/>
    <w:rsid w:val="008C4F06"/>
    <w:rsid w:val="008C64C7"/>
    <w:rsid w:val="008D0BD1"/>
    <w:rsid w:val="008D4784"/>
    <w:rsid w:val="008E01A7"/>
    <w:rsid w:val="008E0207"/>
    <w:rsid w:val="008E1D3C"/>
    <w:rsid w:val="008E3D64"/>
    <w:rsid w:val="008E4187"/>
    <w:rsid w:val="008E613D"/>
    <w:rsid w:val="008E6531"/>
    <w:rsid w:val="008E7606"/>
    <w:rsid w:val="008F0BB2"/>
    <w:rsid w:val="008F0DD5"/>
    <w:rsid w:val="008F27BC"/>
    <w:rsid w:val="008F2CCF"/>
    <w:rsid w:val="008F2F52"/>
    <w:rsid w:val="008F3D37"/>
    <w:rsid w:val="008F447C"/>
    <w:rsid w:val="008F4494"/>
    <w:rsid w:val="008F6329"/>
    <w:rsid w:val="008F736E"/>
    <w:rsid w:val="008F7450"/>
    <w:rsid w:val="00900258"/>
    <w:rsid w:val="0090112A"/>
    <w:rsid w:val="0090297D"/>
    <w:rsid w:val="009030F2"/>
    <w:rsid w:val="00905CF0"/>
    <w:rsid w:val="00911E4B"/>
    <w:rsid w:val="00913C8B"/>
    <w:rsid w:val="009149BB"/>
    <w:rsid w:val="00914BC3"/>
    <w:rsid w:val="00915AC5"/>
    <w:rsid w:val="00916B80"/>
    <w:rsid w:val="00917B5A"/>
    <w:rsid w:val="00920120"/>
    <w:rsid w:val="009207A5"/>
    <w:rsid w:val="00920BCA"/>
    <w:rsid w:val="00921515"/>
    <w:rsid w:val="00921D07"/>
    <w:rsid w:val="009244CE"/>
    <w:rsid w:val="00924715"/>
    <w:rsid w:val="00924F1E"/>
    <w:rsid w:val="00925197"/>
    <w:rsid w:val="0092607D"/>
    <w:rsid w:val="009268BB"/>
    <w:rsid w:val="0092768F"/>
    <w:rsid w:val="00927F2C"/>
    <w:rsid w:val="009303A8"/>
    <w:rsid w:val="00933D1E"/>
    <w:rsid w:val="00935922"/>
    <w:rsid w:val="009361DA"/>
    <w:rsid w:val="0094036C"/>
    <w:rsid w:val="009413C6"/>
    <w:rsid w:val="00941855"/>
    <w:rsid w:val="00942DA2"/>
    <w:rsid w:val="009437E4"/>
    <w:rsid w:val="00945150"/>
    <w:rsid w:val="00945295"/>
    <w:rsid w:val="00945D86"/>
    <w:rsid w:val="00947089"/>
    <w:rsid w:val="00951646"/>
    <w:rsid w:val="0095176B"/>
    <w:rsid w:val="009526A3"/>
    <w:rsid w:val="009569C1"/>
    <w:rsid w:val="009573CE"/>
    <w:rsid w:val="009577B6"/>
    <w:rsid w:val="009578A7"/>
    <w:rsid w:val="00957A44"/>
    <w:rsid w:val="009619F2"/>
    <w:rsid w:val="00962403"/>
    <w:rsid w:val="00962927"/>
    <w:rsid w:val="00963C20"/>
    <w:rsid w:val="009645E0"/>
    <w:rsid w:val="009645E4"/>
    <w:rsid w:val="00965C96"/>
    <w:rsid w:val="00966A8A"/>
    <w:rsid w:val="00967424"/>
    <w:rsid w:val="009677D9"/>
    <w:rsid w:val="00970BAF"/>
    <w:rsid w:val="00970C93"/>
    <w:rsid w:val="00973609"/>
    <w:rsid w:val="00973949"/>
    <w:rsid w:val="00977815"/>
    <w:rsid w:val="00977B1B"/>
    <w:rsid w:val="0098318E"/>
    <w:rsid w:val="00985B8B"/>
    <w:rsid w:val="00987205"/>
    <w:rsid w:val="00991814"/>
    <w:rsid w:val="00991ADF"/>
    <w:rsid w:val="00993269"/>
    <w:rsid w:val="009940E0"/>
    <w:rsid w:val="00994673"/>
    <w:rsid w:val="00994C76"/>
    <w:rsid w:val="00995325"/>
    <w:rsid w:val="00995902"/>
    <w:rsid w:val="009972FE"/>
    <w:rsid w:val="009A0400"/>
    <w:rsid w:val="009A6804"/>
    <w:rsid w:val="009A6F51"/>
    <w:rsid w:val="009A725E"/>
    <w:rsid w:val="009A76E3"/>
    <w:rsid w:val="009A7AD9"/>
    <w:rsid w:val="009B27B1"/>
    <w:rsid w:val="009B330B"/>
    <w:rsid w:val="009B360F"/>
    <w:rsid w:val="009B534A"/>
    <w:rsid w:val="009B5C8D"/>
    <w:rsid w:val="009B67C2"/>
    <w:rsid w:val="009B7E1C"/>
    <w:rsid w:val="009C0674"/>
    <w:rsid w:val="009C2C98"/>
    <w:rsid w:val="009C59FC"/>
    <w:rsid w:val="009C6739"/>
    <w:rsid w:val="009C7D3F"/>
    <w:rsid w:val="009D0C10"/>
    <w:rsid w:val="009D24C9"/>
    <w:rsid w:val="009D4F8E"/>
    <w:rsid w:val="009D5C67"/>
    <w:rsid w:val="009E05BE"/>
    <w:rsid w:val="009E0B14"/>
    <w:rsid w:val="009E0DE4"/>
    <w:rsid w:val="009E2858"/>
    <w:rsid w:val="009E37C4"/>
    <w:rsid w:val="009E3E18"/>
    <w:rsid w:val="009E4225"/>
    <w:rsid w:val="009E58D8"/>
    <w:rsid w:val="009F3282"/>
    <w:rsid w:val="009F3DE6"/>
    <w:rsid w:val="009F58D3"/>
    <w:rsid w:val="009F7AB8"/>
    <w:rsid w:val="009F7D0C"/>
    <w:rsid w:val="00A00314"/>
    <w:rsid w:val="00A031BF"/>
    <w:rsid w:val="00A04465"/>
    <w:rsid w:val="00A11439"/>
    <w:rsid w:val="00A128BD"/>
    <w:rsid w:val="00A135BF"/>
    <w:rsid w:val="00A136E8"/>
    <w:rsid w:val="00A15081"/>
    <w:rsid w:val="00A20EF9"/>
    <w:rsid w:val="00A20F4F"/>
    <w:rsid w:val="00A2289F"/>
    <w:rsid w:val="00A23ABC"/>
    <w:rsid w:val="00A2490A"/>
    <w:rsid w:val="00A24DF3"/>
    <w:rsid w:val="00A31567"/>
    <w:rsid w:val="00A3159E"/>
    <w:rsid w:val="00A3190C"/>
    <w:rsid w:val="00A33D2A"/>
    <w:rsid w:val="00A34B7F"/>
    <w:rsid w:val="00A35DAA"/>
    <w:rsid w:val="00A36CFE"/>
    <w:rsid w:val="00A37A5B"/>
    <w:rsid w:val="00A43792"/>
    <w:rsid w:val="00A4436F"/>
    <w:rsid w:val="00A445C9"/>
    <w:rsid w:val="00A45779"/>
    <w:rsid w:val="00A45F42"/>
    <w:rsid w:val="00A47005"/>
    <w:rsid w:val="00A50AAA"/>
    <w:rsid w:val="00A50B1A"/>
    <w:rsid w:val="00A53347"/>
    <w:rsid w:val="00A539E7"/>
    <w:rsid w:val="00A53BE9"/>
    <w:rsid w:val="00A53D06"/>
    <w:rsid w:val="00A54CD8"/>
    <w:rsid w:val="00A54DF2"/>
    <w:rsid w:val="00A552F1"/>
    <w:rsid w:val="00A555C6"/>
    <w:rsid w:val="00A565D7"/>
    <w:rsid w:val="00A56F0B"/>
    <w:rsid w:val="00A573E6"/>
    <w:rsid w:val="00A60486"/>
    <w:rsid w:val="00A6105B"/>
    <w:rsid w:val="00A6150A"/>
    <w:rsid w:val="00A61E71"/>
    <w:rsid w:val="00A6259B"/>
    <w:rsid w:val="00A631C5"/>
    <w:rsid w:val="00A63F53"/>
    <w:rsid w:val="00A63FDE"/>
    <w:rsid w:val="00A6428B"/>
    <w:rsid w:val="00A65E0B"/>
    <w:rsid w:val="00A676E9"/>
    <w:rsid w:val="00A67A3E"/>
    <w:rsid w:val="00A702B4"/>
    <w:rsid w:val="00A7055D"/>
    <w:rsid w:val="00A70661"/>
    <w:rsid w:val="00A71A99"/>
    <w:rsid w:val="00A71CEA"/>
    <w:rsid w:val="00A74880"/>
    <w:rsid w:val="00A749E3"/>
    <w:rsid w:val="00A75B1F"/>
    <w:rsid w:val="00A763CF"/>
    <w:rsid w:val="00A76593"/>
    <w:rsid w:val="00A76BA9"/>
    <w:rsid w:val="00A77381"/>
    <w:rsid w:val="00A77DC3"/>
    <w:rsid w:val="00A82524"/>
    <w:rsid w:val="00A8296D"/>
    <w:rsid w:val="00A82A51"/>
    <w:rsid w:val="00A833CB"/>
    <w:rsid w:val="00A83A30"/>
    <w:rsid w:val="00A83E60"/>
    <w:rsid w:val="00A86754"/>
    <w:rsid w:val="00A873D2"/>
    <w:rsid w:val="00A901C9"/>
    <w:rsid w:val="00A908E9"/>
    <w:rsid w:val="00A930FE"/>
    <w:rsid w:val="00A93BDB"/>
    <w:rsid w:val="00A94052"/>
    <w:rsid w:val="00A94B03"/>
    <w:rsid w:val="00A94B3C"/>
    <w:rsid w:val="00A952E9"/>
    <w:rsid w:val="00A96F03"/>
    <w:rsid w:val="00A977FB"/>
    <w:rsid w:val="00AA0CE3"/>
    <w:rsid w:val="00AA0D0C"/>
    <w:rsid w:val="00AA11DB"/>
    <w:rsid w:val="00AA1524"/>
    <w:rsid w:val="00AA16BC"/>
    <w:rsid w:val="00AA3EBC"/>
    <w:rsid w:val="00AA4427"/>
    <w:rsid w:val="00AB782A"/>
    <w:rsid w:val="00AC0166"/>
    <w:rsid w:val="00AC0DBF"/>
    <w:rsid w:val="00AC1FC6"/>
    <w:rsid w:val="00AC3C23"/>
    <w:rsid w:val="00AC4F0F"/>
    <w:rsid w:val="00AC5785"/>
    <w:rsid w:val="00AC5E80"/>
    <w:rsid w:val="00AC609B"/>
    <w:rsid w:val="00AC6A45"/>
    <w:rsid w:val="00AC6B3F"/>
    <w:rsid w:val="00AC6D2A"/>
    <w:rsid w:val="00AC7DE6"/>
    <w:rsid w:val="00AD1579"/>
    <w:rsid w:val="00AD1974"/>
    <w:rsid w:val="00AD1F0C"/>
    <w:rsid w:val="00AD3DD2"/>
    <w:rsid w:val="00AD5E7A"/>
    <w:rsid w:val="00AD6448"/>
    <w:rsid w:val="00AD6FC9"/>
    <w:rsid w:val="00AD730E"/>
    <w:rsid w:val="00AD7ED3"/>
    <w:rsid w:val="00AE0BF6"/>
    <w:rsid w:val="00AE49DA"/>
    <w:rsid w:val="00AE4A92"/>
    <w:rsid w:val="00AE70B5"/>
    <w:rsid w:val="00AE71D5"/>
    <w:rsid w:val="00AE78D5"/>
    <w:rsid w:val="00AF31A2"/>
    <w:rsid w:val="00AF3BC8"/>
    <w:rsid w:val="00B0063E"/>
    <w:rsid w:val="00B02488"/>
    <w:rsid w:val="00B031C4"/>
    <w:rsid w:val="00B032E4"/>
    <w:rsid w:val="00B03770"/>
    <w:rsid w:val="00B05239"/>
    <w:rsid w:val="00B05421"/>
    <w:rsid w:val="00B11803"/>
    <w:rsid w:val="00B11BFB"/>
    <w:rsid w:val="00B1251E"/>
    <w:rsid w:val="00B1547A"/>
    <w:rsid w:val="00B17A15"/>
    <w:rsid w:val="00B26249"/>
    <w:rsid w:val="00B30B65"/>
    <w:rsid w:val="00B31684"/>
    <w:rsid w:val="00B33733"/>
    <w:rsid w:val="00B34303"/>
    <w:rsid w:val="00B34662"/>
    <w:rsid w:val="00B36D46"/>
    <w:rsid w:val="00B36E0F"/>
    <w:rsid w:val="00B401EB"/>
    <w:rsid w:val="00B4033D"/>
    <w:rsid w:val="00B404C5"/>
    <w:rsid w:val="00B40D65"/>
    <w:rsid w:val="00B419FE"/>
    <w:rsid w:val="00B41C22"/>
    <w:rsid w:val="00B43D5C"/>
    <w:rsid w:val="00B46091"/>
    <w:rsid w:val="00B46D31"/>
    <w:rsid w:val="00B46E29"/>
    <w:rsid w:val="00B46FA3"/>
    <w:rsid w:val="00B47373"/>
    <w:rsid w:val="00B50CA8"/>
    <w:rsid w:val="00B51CC0"/>
    <w:rsid w:val="00B51CCD"/>
    <w:rsid w:val="00B52E9E"/>
    <w:rsid w:val="00B53125"/>
    <w:rsid w:val="00B53AF1"/>
    <w:rsid w:val="00B53BD5"/>
    <w:rsid w:val="00B53E87"/>
    <w:rsid w:val="00B550C0"/>
    <w:rsid w:val="00B575DE"/>
    <w:rsid w:val="00B609FA"/>
    <w:rsid w:val="00B60ECB"/>
    <w:rsid w:val="00B60F7B"/>
    <w:rsid w:val="00B61B9C"/>
    <w:rsid w:val="00B63909"/>
    <w:rsid w:val="00B639AB"/>
    <w:rsid w:val="00B640B9"/>
    <w:rsid w:val="00B64DE8"/>
    <w:rsid w:val="00B658D6"/>
    <w:rsid w:val="00B661EE"/>
    <w:rsid w:val="00B66EAB"/>
    <w:rsid w:val="00B720B1"/>
    <w:rsid w:val="00B720C3"/>
    <w:rsid w:val="00B73238"/>
    <w:rsid w:val="00B7373D"/>
    <w:rsid w:val="00B737E6"/>
    <w:rsid w:val="00B7496E"/>
    <w:rsid w:val="00B800FA"/>
    <w:rsid w:val="00B80912"/>
    <w:rsid w:val="00B80A49"/>
    <w:rsid w:val="00B80A65"/>
    <w:rsid w:val="00B81499"/>
    <w:rsid w:val="00B81835"/>
    <w:rsid w:val="00B81D82"/>
    <w:rsid w:val="00B82134"/>
    <w:rsid w:val="00B827F2"/>
    <w:rsid w:val="00B83188"/>
    <w:rsid w:val="00B8424A"/>
    <w:rsid w:val="00B84DC2"/>
    <w:rsid w:val="00B90D84"/>
    <w:rsid w:val="00B91E28"/>
    <w:rsid w:val="00B92070"/>
    <w:rsid w:val="00B94097"/>
    <w:rsid w:val="00B95664"/>
    <w:rsid w:val="00B96111"/>
    <w:rsid w:val="00B962F1"/>
    <w:rsid w:val="00BA0056"/>
    <w:rsid w:val="00BA0CBC"/>
    <w:rsid w:val="00BA328B"/>
    <w:rsid w:val="00BA34C4"/>
    <w:rsid w:val="00BA3C92"/>
    <w:rsid w:val="00BA3FD7"/>
    <w:rsid w:val="00BA64B3"/>
    <w:rsid w:val="00BB190E"/>
    <w:rsid w:val="00BB1A8F"/>
    <w:rsid w:val="00BB26FE"/>
    <w:rsid w:val="00BC019D"/>
    <w:rsid w:val="00BC070E"/>
    <w:rsid w:val="00BC1A6D"/>
    <w:rsid w:val="00BC35B7"/>
    <w:rsid w:val="00BC7644"/>
    <w:rsid w:val="00BD1FC7"/>
    <w:rsid w:val="00BD21B5"/>
    <w:rsid w:val="00BD244B"/>
    <w:rsid w:val="00BD2510"/>
    <w:rsid w:val="00BD3EC2"/>
    <w:rsid w:val="00BD442E"/>
    <w:rsid w:val="00BD5033"/>
    <w:rsid w:val="00BD66EE"/>
    <w:rsid w:val="00BD67F0"/>
    <w:rsid w:val="00BD7E19"/>
    <w:rsid w:val="00BE0637"/>
    <w:rsid w:val="00BE0E6C"/>
    <w:rsid w:val="00BE31C6"/>
    <w:rsid w:val="00BE3629"/>
    <w:rsid w:val="00BE3A85"/>
    <w:rsid w:val="00BE47CD"/>
    <w:rsid w:val="00BE6B3C"/>
    <w:rsid w:val="00BE72EE"/>
    <w:rsid w:val="00BE7351"/>
    <w:rsid w:val="00BF0EE7"/>
    <w:rsid w:val="00BF2881"/>
    <w:rsid w:val="00BF3F92"/>
    <w:rsid w:val="00BF4470"/>
    <w:rsid w:val="00BF468D"/>
    <w:rsid w:val="00BF580B"/>
    <w:rsid w:val="00BF5CC2"/>
    <w:rsid w:val="00BF6C46"/>
    <w:rsid w:val="00C00A0D"/>
    <w:rsid w:val="00C01008"/>
    <w:rsid w:val="00C04445"/>
    <w:rsid w:val="00C0445F"/>
    <w:rsid w:val="00C04BD1"/>
    <w:rsid w:val="00C05BBA"/>
    <w:rsid w:val="00C1282A"/>
    <w:rsid w:val="00C144AE"/>
    <w:rsid w:val="00C15AF3"/>
    <w:rsid w:val="00C16290"/>
    <w:rsid w:val="00C16343"/>
    <w:rsid w:val="00C16B09"/>
    <w:rsid w:val="00C173F5"/>
    <w:rsid w:val="00C17A22"/>
    <w:rsid w:val="00C20E3D"/>
    <w:rsid w:val="00C2307E"/>
    <w:rsid w:val="00C234C5"/>
    <w:rsid w:val="00C23DDF"/>
    <w:rsid w:val="00C24D3A"/>
    <w:rsid w:val="00C24E65"/>
    <w:rsid w:val="00C2631E"/>
    <w:rsid w:val="00C278F7"/>
    <w:rsid w:val="00C300E8"/>
    <w:rsid w:val="00C32A71"/>
    <w:rsid w:val="00C3489E"/>
    <w:rsid w:val="00C34FD9"/>
    <w:rsid w:val="00C4253E"/>
    <w:rsid w:val="00C4348B"/>
    <w:rsid w:val="00C43F5C"/>
    <w:rsid w:val="00C44A73"/>
    <w:rsid w:val="00C44BAF"/>
    <w:rsid w:val="00C44D5D"/>
    <w:rsid w:val="00C45003"/>
    <w:rsid w:val="00C46407"/>
    <w:rsid w:val="00C47C85"/>
    <w:rsid w:val="00C47F1E"/>
    <w:rsid w:val="00C50922"/>
    <w:rsid w:val="00C51897"/>
    <w:rsid w:val="00C53975"/>
    <w:rsid w:val="00C547C4"/>
    <w:rsid w:val="00C56A95"/>
    <w:rsid w:val="00C5730B"/>
    <w:rsid w:val="00C57580"/>
    <w:rsid w:val="00C575B6"/>
    <w:rsid w:val="00C57B47"/>
    <w:rsid w:val="00C61387"/>
    <w:rsid w:val="00C61DB2"/>
    <w:rsid w:val="00C641D0"/>
    <w:rsid w:val="00C65161"/>
    <w:rsid w:val="00C65F28"/>
    <w:rsid w:val="00C66899"/>
    <w:rsid w:val="00C66C90"/>
    <w:rsid w:val="00C709C5"/>
    <w:rsid w:val="00C713A3"/>
    <w:rsid w:val="00C72AB6"/>
    <w:rsid w:val="00C7433A"/>
    <w:rsid w:val="00C745E8"/>
    <w:rsid w:val="00C75CB4"/>
    <w:rsid w:val="00C76E2B"/>
    <w:rsid w:val="00C77456"/>
    <w:rsid w:val="00C77A9B"/>
    <w:rsid w:val="00C77AE8"/>
    <w:rsid w:val="00C805F1"/>
    <w:rsid w:val="00C82073"/>
    <w:rsid w:val="00C83283"/>
    <w:rsid w:val="00C83A99"/>
    <w:rsid w:val="00C8485C"/>
    <w:rsid w:val="00C84D8A"/>
    <w:rsid w:val="00C850A8"/>
    <w:rsid w:val="00C85864"/>
    <w:rsid w:val="00C86BA2"/>
    <w:rsid w:val="00C8717E"/>
    <w:rsid w:val="00C87BC9"/>
    <w:rsid w:val="00C9072E"/>
    <w:rsid w:val="00C917EA"/>
    <w:rsid w:val="00C92ADB"/>
    <w:rsid w:val="00C94553"/>
    <w:rsid w:val="00C94E1C"/>
    <w:rsid w:val="00C9658F"/>
    <w:rsid w:val="00C96ED2"/>
    <w:rsid w:val="00C97375"/>
    <w:rsid w:val="00C97CD1"/>
    <w:rsid w:val="00CA0D9E"/>
    <w:rsid w:val="00CA1160"/>
    <w:rsid w:val="00CA1F2B"/>
    <w:rsid w:val="00CA2537"/>
    <w:rsid w:val="00CA3C77"/>
    <w:rsid w:val="00CA6F68"/>
    <w:rsid w:val="00CB01EF"/>
    <w:rsid w:val="00CB050F"/>
    <w:rsid w:val="00CB07C1"/>
    <w:rsid w:val="00CB25C6"/>
    <w:rsid w:val="00CB3BF5"/>
    <w:rsid w:val="00CB5229"/>
    <w:rsid w:val="00CC0626"/>
    <w:rsid w:val="00CC15F8"/>
    <w:rsid w:val="00CC213E"/>
    <w:rsid w:val="00CC2F45"/>
    <w:rsid w:val="00CC32D5"/>
    <w:rsid w:val="00CC37B8"/>
    <w:rsid w:val="00CC3D65"/>
    <w:rsid w:val="00CC581A"/>
    <w:rsid w:val="00CC63B6"/>
    <w:rsid w:val="00CC6539"/>
    <w:rsid w:val="00CD1008"/>
    <w:rsid w:val="00CD3664"/>
    <w:rsid w:val="00CD4BD4"/>
    <w:rsid w:val="00CD50A1"/>
    <w:rsid w:val="00CE130A"/>
    <w:rsid w:val="00CE27EE"/>
    <w:rsid w:val="00CE288C"/>
    <w:rsid w:val="00CE2CC3"/>
    <w:rsid w:val="00CE2DA6"/>
    <w:rsid w:val="00CE5CA8"/>
    <w:rsid w:val="00CE5EC5"/>
    <w:rsid w:val="00CE61A1"/>
    <w:rsid w:val="00CE7139"/>
    <w:rsid w:val="00CF16A3"/>
    <w:rsid w:val="00CF16D2"/>
    <w:rsid w:val="00CF176C"/>
    <w:rsid w:val="00CF24E9"/>
    <w:rsid w:val="00CF3CAF"/>
    <w:rsid w:val="00CF548B"/>
    <w:rsid w:val="00CF6874"/>
    <w:rsid w:val="00CF711C"/>
    <w:rsid w:val="00D035F7"/>
    <w:rsid w:val="00D06572"/>
    <w:rsid w:val="00D10EAE"/>
    <w:rsid w:val="00D11B84"/>
    <w:rsid w:val="00D12AAE"/>
    <w:rsid w:val="00D13B7F"/>
    <w:rsid w:val="00D13E96"/>
    <w:rsid w:val="00D143B3"/>
    <w:rsid w:val="00D156A9"/>
    <w:rsid w:val="00D17E4C"/>
    <w:rsid w:val="00D20B8B"/>
    <w:rsid w:val="00D21F3B"/>
    <w:rsid w:val="00D223BC"/>
    <w:rsid w:val="00D227FD"/>
    <w:rsid w:val="00D23E89"/>
    <w:rsid w:val="00D2429D"/>
    <w:rsid w:val="00D25040"/>
    <w:rsid w:val="00D26B7E"/>
    <w:rsid w:val="00D2724C"/>
    <w:rsid w:val="00D277AA"/>
    <w:rsid w:val="00D30FFC"/>
    <w:rsid w:val="00D31D1E"/>
    <w:rsid w:val="00D31EFA"/>
    <w:rsid w:val="00D32119"/>
    <w:rsid w:val="00D333A6"/>
    <w:rsid w:val="00D345D7"/>
    <w:rsid w:val="00D357A7"/>
    <w:rsid w:val="00D35F87"/>
    <w:rsid w:val="00D400AA"/>
    <w:rsid w:val="00D418A1"/>
    <w:rsid w:val="00D42297"/>
    <w:rsid w:val="00D435D7"/>
    <w:rsid w:val="00D472E4"/>
    <w:rsid w:val="00D478B5"/>
    <w:rsid w:val="00D47EDB"/>
    <w:rsid w:val="00D50F38"/>
    <w:rsid w:val="00D51650"/>
    <w:rsid w:val="00D51726"/>
    <w:rsid w:val="00D51D64"/>
    <w:rsid w:val="00D52202"/>
    <w:rsid w:val="00D52E39"/>
    <w:rsid w:val="00D5449F"/>
    <w:rsid w:val="00D556FB"/>
    <w:rsid w:val="00D55F6D"/>
    <w:rsid w:val="00D560A0"/>
    <w:rsid w:val="00D56601"/>
    <w:rsid w:val="00D60F2B"/>
    <w:rsid w:val="00D7011A"/>
    <w:rsid w:val="00D70490"/>
    <w:rsid w:val="00D71328"/>
    <w:rsid w:val="00D72615"/>
    <w:rsid w:val="00D74F38"/>
    <w:rsid w:val="00D75515"/>
    <w:rsid w:val="00D77B53"/>
    <w:rsid w:val="00D80B51"/>
    <w:rsid w:val="00D81149"/>
    <w:rsid w:val="00D811EB"/>
    <w:rsid w:val="00D81742"/>
    <w:rsid w:val="00D823D7"/>
    <w:rsid w:val="00D82B62"/>
    <w:rsid w:val="00D84F6E"/>
    <w:rsid w:val="00D8572C"/>
    <w:rsid w:val="00D866C7"/>
    <w:rsid w:val="00D86BAD"/>
    <w:rsid w:val="00D90C12"/>
    <w:rsid w:val="00D90E34"/>
    <w:rsid w:val="00D926BA"/>
    <w:rsid w:val="00D92F50"/>
    <w:rsid w:val="00D941FB"/>
    <w:rsid w:val="00D94825"/>
    <w:rsid w:val="00D96AE4"/>
    <w:rsid w:val="00D975E4"/>
    <w:rsid w:val="00D9793B"/>
    <w:rsid w:val="00DA053E"/>
    <w:rsid w:val="00DA224D"/>
    <w:rsid w:val="00DA415C"/>
    <w:rsid w:val="00DA4FE8"/>
    <w:rsid w:val="00DA54BB"/>
    <w:rsid w:val="00DA6201"/>
    <w:rsid w:val="00DA724C"/>
    <w:rsid w:val="00DB1635"/>
    <w:rsid w:val="00DB16D0"/>
    <w:rsid w:val="00DB5195"/>
    <w:rsid w:val="00DB5FCA"/>
    <w:rsid w:val="00DB6479"/>
    <w:rsid w:val="00DB761C"/>
    <w:rsid w:val="00DC236D"/>
    <w:rsid w:val="00DC2B88"/>
    <w:rsid w:val="00DC7105"/>
    <w:rsid w:val="00DD151C"/>
    <w:rsid w:val="00DD3DDE"/>
    <w:rsid w:val="00DD41E4"/>
    <w:rsid w:val="00DD4915"/>
    <w:rsid w:val="00DD499B"/>
    <w:rsid w:val="00DD5463"/>
    <w:rsid w:val="00DD5509"/>
    <w:rsid w:val="00DD5670"/>
    <w:rsid w:val="00DD604E"/>
    <w:rsid w:val="00DD6256"/>
    <w:rsid w:val="00DE03C0"/>
    <w:rsid w:val="00DE2311"/>
    <w:rsid w:val="00DE2F46"/>
    <w:rsid w:val="00DE3F97"/>
    <w:rsid w:val="00DE4838"/>
    <w:rsid w:val="00DE6D12"/>
    <w:rsid w:val="00DE79BD"/>
    <w:rsid w:val="00DF0237"/>
    <w:rsid w:val="00DF0AC9"/>
    <w:rsid w:val="00DF17BF"/>
    <w:rsid w:val="00DF2886"/>
    <w:rsid w:val="00DF3355"/>
    <w:rsid w:val="00DF3DB3"/>
    <w:rsid w:val="00DF40BE"/>
    <w:rsid w:val="00DF416D"/>
    <w:rsid w:val="00DF4288"/>
    <w:rsid w:val="00DF4B20"/>
    <w:rsid w:val="00DF56D8"/>
    <w:rsid w:val="00DF5BF9"/>
    <w:rsid w:val="00DF7457"/>
    <w:rsid w:val="00DF7B4A"/>
    <w:rsid w:val="00E00620"/>
    <w:rsid w:val="00E02ECE"/>
    <w:rsid w:val="00E03B3B"/>
    <w:rsid w:val="00E04718"/>
    <w:rsid w:val="00E0626B"/>
    <w:rsid w:val="00E06E90"/>
    <w:rsid w:val="00E07580"/>
    <w:rsid w:val="00E118CB"/>
    <w:rsid w:val="00E11DD4"/>
    <w:rsid w:val="00E13222"/>
    <w:rsid w:val="00E13C5B"/>
    <w:rsid w:val="00E1465F"/>
    <w:rsid w:val="00E15536"/>
    <w:rsid w:val="00E155F5"/>
    <w:rsid w:val="00E15D76"/>
    <w:rsid w:val="00E16094"/>
    <w:rsid w:val="00E16857"/>
    <w:rsid w:val="00E203E5"/>
    <w:rsid w:val="00E20BB5"/>
    <w:rsid w:val="00E230BD"/>
    <w:rsid w:val="00E24046"/>
    <w:rsid w:val="00E24BF2"/>
    <w:rsid w:val="00E25FF2"/>
    <w:rsid w:val="00E261E1"/>
    <w:rsid w:val="00E2647B"/>
    <w:rsid w:val="00E27317"/>
    <w:rsid w:val="00E27B6D"/>
    <w:rsid w:val="00E3058C"/>
    <w:rsid w:val="00E30E74"/>
    <w:rsid w:val="00E3271A"/>
    <w:rsid w:val="00E33196"/>
    <w:rsid w:val="00E33F22"/>
    <w:rsid w:val="00E34070"/>
    <w:rsid w:val="00E346C4"/>
    <w:rsid w:val="00E36A6E"/>
    <w:rsid w:val="00E37728"/>
    <w:rsid w:val="00E415FA"/>
    <w:rsid w:val="00E41DA7"/>
    <w:rsid w:val="00E426BE"/>
    <w:rsid w:val="00E4351A"/>
    <w:rsid w:val="00E47E90"/>
    <w:rsid w:val="00E517AA"/>
    <w:rsid w:val="00E55B7D"/>
    <w:rsid w:val="00E60268"/>
    <w:rsid w:val="00E608D2"/>
    <w:rsid w:val="00E6188A"/>
    <w:rsid w:val="00E63463"/>
    <w:rsid w:val="00E6432A"/>
    <w:rsid w:val="00E647CE"/>
    <w:rsid w:val="00E65BC3"/>
    <w:rsid w:val="00E66358"/>
    <w:rsid w:val="00E66911"/>
    <w:rsid w:val="00E70331"/>
    <w:rsid w:val="00E7273B"/>
    <w:rsid w:val="00E72E79"/>
    <w:rsid w:val="00E745EB"/>
    <w:rsid w:val="00E7460B"/>
    <w:rsid w:val="00E749C2"/>
    <w:rsid w:val="00E74D5F"/>
    <w:rsid w:val="00E765E0"/>
    <w:rsid w:val="00E81EB0"/>
    <w:rsid w:val="00E821FE"/>
    <w:rsid w:val="00E82DB7"/>
    <w:rsid w:val="00E83509"/>
    <w:rsid w:val="00E843BE"/>
    <w:rsid w:val="00E84B77"/>
    <w:rsid w:val="00E856D9"/>
    <w:rsid w:val="00E86C5E"/>
    <w:rsid w:val="00E87FBF"/>
    <w:rsid w:val="00E902AE"/>
    <w:rsid w:val="00E91277"/>
    <w:rsid w:val="00E92C09"/>
    <w:rsid w:val="00E936BC"/>
    <w:rsid w:val="00E94DFF"/>
    <w:rsid w:val="00E95610"/>
    <w:rsid w:val="00E95964"/>
    <w:rsid w:val="00E965DB"/>
    <w:rsid w:val="00E97313"/>
    <w:rsid w:val="00EA05E4"/>
    <w:rsid w:val="00EA2E81"/>
    <w:rsid w:val="00EA3912"/>
    <w:rsid w:val="00EA48F3"/>
    <w:rsid w:val="00EA5EBA"/>
    <w:rsid w:val="00EA7236"/>
    <w:rsid w:val="00EA73AD"/>
    <w:rsid w:val="00EA7FDC"/>
    <w:rsid w:val="00EB084A"/>
    <w:rsid w:val="00EB0C27"/>
    <w:rsid w:val="00EB2172"/>
    <w:rsid w:val="00EB22D8"/>
    <w:rsid w:val="00EB3A8B"/>
    <w:rsid w:val="00EB41DD"/>
    <w:rsid w:val="00EB4302"/>
    <w:rsid w:val="00EB5483"/>
    <w:rsid w:val="00EB6FB8"/>
    <w:rsid w:val="00EC08F7"/>
    <w:rsid w:val="00EC090C"/>
    <w:rsid w:val="00EC2A48"/>
    <w:rsid w:val="00EC2DBA"/>
    <w:rsid w:val="00EC3661"/>
    <w:rsid w:val="00EC5251"/>
    <w:rsid w:val="00EC7FF3"/>
    <w:rsid w:val="00ED00B3"/>
    <w:rsid w:val="00ED03D3"/>
    <w:rsid w:val="00ED05BD"/>
    <w:rsid w:val="00ED0EBC"/>
    <w:rsid w:val="00ED104D"/>
    <w:rsid w:val="00ED130E"/>
    <w:rsid w:val="00ED19E2"/>
    <w:rsid w:val="00ED1AE2"/>
    <w:rsid w:val="00ED3BF4"/>
    <w:rsid w:val="00ED40AF"/>
    <w:rsid w:val="00ED4B4D"/>
    <w:rsid w:val="00ED5E30"/>
    <w:rsid w:val="00ED6470"/>
    <w:rsid w:val="00ED7747"/>
    <w:rsid w:val="00ED7F39"/>
    <w:rsid w:val="00EE1091"/>
    <w:rsid w:val="00EE227F"/>
    <w:rsid w:val="00EE35B4"/>
    <w:rsid w:val="00EE3BA2"/>
    <w:rsid w:val="00EE4A0C"/>
    <w:rsid w:val="00EF1424"/>
    <w:rsid w:val="00EF2164"/>
    <w:rsid w:val="00EF4310"/>
    <w:rsid w:val="00EF4A54"/>
    <w:rsid w:val="00EF531A"/>
    <w:rsid w:val="00F02F1F"/>
    <w:rsid w:val="00F052AF"/>
    <w:rsid w:val="00F05B30"/>
    <w:rsid w:val="00F0726A"/>
    <w:rsid w:val="00F0761F"/>
    <w:rsid w:val="00F1063A"/>
    <w:rsid w:val="00F10878"/>
    <w:rsid w:val="00F112E3"/>
    <w:rsid w:val="00F11902"/>
    <w:rsid w:val="00F11A64"/>
    <w:rsid w:val="00F14B57"/>
    <w:rsid w:val="00F15CBB"/>
    <w:rsid w:val="00F163B6"/>
    <w:rsid w:val="00F1669F"/>
    <w:rsid w:val="00F16DB3"/>
    <w:rsid w:val="00F17A00"/>
    <w:rsid w:val="00F212B9"/>
    <w:rsid w:val="00F22530"/>
    <w:rsid w:val="00F231CF"/>
    <w:rsid w:val="00F23B42"/>
    <w:rsid w:val="00F246DD"/>
    <w:rsid w:val="00F255E2"/>
    <w:rsid w:val="00F315EF"/>
    <w:rsid w:val="00F31F5E"/>
    <w:rsid w:val="00F3329F"/>
    <w:rsid w:val="00F353FE"/>
    <w:rsid w:val="00F35521"/>
    <w:rsid w:val="00F35CD3"/>
    <w:rsid w:val="00F35FAF"/>
    <w:rsid w:val="00F40989"/>
    <w:rsid w:val="00F42821"/>
    <w:rsid w:val="00F436FF"/>
    <w:rsid w:val="00F46DC4"/>
    <w:rsid w:val="00F50575"/>
    <w:rsid w:val="00F50BD8"/>
    <w:rsid w:val="00F51710"/>
    <w:rsid w:val="00F52662"/>
    <w:rsid w:val="00F52700"/>
    <w:rsid w:val="00F532DD"/>
    <w:rsid w:val="00F53D2B"/>
    <w:rsid w:val="00F54459"/>
    <w:rsid w:val="00F55EC8"/>
    <w:rsid w:val="00F560F6"/>
    <w:rsid w:val="00F5742D"/>
    <w:rsid w:val="00F57D9E"/>
    <w:rsid w:val="00F57FA4"/>
    <w:rsid w:val="00F60BFA"/>
    <w:rsid w:val="00F615F4"/>
    <w:rsid w:val="00F630D1"/>
    <w:rsid w:val="00F65159"/>
    <w:rsid w:val="00F66B34"/>
    <w:rsid w:val="00F66C93"/>
    <w:rsid w:val="00F70084"/>
    <w:rsid w:val="00F72517"/>
    <w:rsid w:val="00F72D11"/>
    <w:rsid w:val="00F745C2"/>
    <w:rsid w:val="00F7505D"/>
    <w:rsid w:val="00F75F24"/>
    <w:rsid w:val="00F76B53"/>
    <w:rsid w:val="00F805C6"/>
    <w:rsid w:val="00F8196E"/>
    <w:rsid w:val="00F83E34"/>
    <w:rsid w:val="00F8628A"/>
    <w:rsid w:val="00F86353"/>
    <w:rsid w:val="00F87F6E"/>
    <w:rsid w:val="00F90316"/>
    <w:rsid w:val="00F907B2"/>
    <w:rsid w:val="00F90A61"/>
    <w:rsid w:val="00F90AD0"/>
    <w:rsid w:val="00F9192A"/>
    <w:rsid w:val="00F92307"/>
    <w:rsid w:val="00F95738"/>
    <w:rsid w:val="00F963CE"/>
    <w:rsid w:val="00F975F6"/>
    <w:rsid w:val="00FA0448"/>
    <w:rsid w:val="00FA09C8"/>
    <w:rsid w:val="00FA1345"/>
    <w:rsid w:val="00FA1A1F"/>
    <w:rsid w:val="00FA3563"/>
    <w:rsid w:val="00FA3F15"/>
    <w:rsid w:val="00FA4860"/>
    <w:rsid w:val="00FA55C6"/>
    <w:rsid w:val="00FA59D5"/>
    <w:rsid w:val="00FA60EE"/>
    <w:rsid w:val="00FA7157"/>
    <w:rsid w:val="00FA7373"/>
    <w:rsid w:val="00FB08A7"/>
    <w:rsid w:val="00FB0E50"/>
    <w:rsid w:val="00FB15BB"/>
    <w:rsid w:val="00FB1CBB"/>
    <w:rsid w:val="00FB2046"/>
    <w:rsid w:val="00FB2782"/>
    <w:rsid w:val="00FB29C5"/>
    <w:rsid w:val="00FB2D0F"/>
    <w:rsid w:val="00FB2D1F"/>
    <w:rsid w:val="00FB3B7A"/>
    <w:rsid w:val="00FB5547"/>
    <w:rsid w:val="00FB5674"/>
    <w:rsid w:val="00FB600F"/>
    <w:rsid w:val="00FB740B"/>
    <w:rsid w:val="00FC0B16"/>
    <w:rsid w:val="00FC18A1"/>
    <w:rsid w:val="00FC2C7A"/>
    <w:rsid w:val="00FC37E6"/>
    <w:rsid w:val="00FC3AB4"/>
    <w:rsid w:val="00FC4482"/>
    <w:rsid w:val="00FC5613"/>
    <w:rsid w:val="00FC573F"/>
    <w:rsid w:val="00FC5A2D"/>
    <w:rsid w:val="00FC6BC6"/>
    <w:rsid w:val="00FC6F94"/>
    <w:rsid w:val="00FC7AD1"/>
    <w:rsid w:val="00FD0A01"/>
    <w:rsid w:val="00FD1CD1"/>
    <w:rsid w:val="00FD2C9E"/>
    <w:rsid w:val="00FD5083"/>
    <w:rsid w:val="00FD50A4"/>
    <w:rsid w:val="00FD5433"/>
    <w:rsid w:val="00FD66DC"/>
    <w:rsid w:val="00FD7559"/>
    <w:rsid w:val="00FE1B75"/>
    <w:rsid w:val="00FE22AF"/>
    <w:rsid w:val="00FE6743"/>
    <w:rsid w:val="00FE7D5E"/>
    <w:rsid w:val="00FF06D0"/>
    <w:rsid w:val="00FF264E"/>
    <w:rsid w:val="00FF39EE"/>
    <w:rsid w:val="00FF4E12"/>
    <w:rsid w:val="00FF55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FC078E"/>
  <w15:docId w15:val="{F12BF5B6-2131-4DBF-8E9B-8128F7AE9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777"/>
  </w:style>
  <w:style w:type="paragraph" w:styleId="Heading1">
    <w:name w:val="heading 1"/>
    <w:basedOn w:val="Normal"/>
    <w:next w:val="Normal"/>
    <w:link w:val="Heading1Char"/>
    <w:qFormat/>
    <w:rsid w:val="00773B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73B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054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EAE"/>
    <w:pPr>
      <w:ind w:left="720"/>
      <w:contextualSpacing/>
    </w:pPr>
  </w:style>
  <w:style w:type="character" w:styleId="CommentReference">
    <w:name w:val="annotation reference"/>
    <w:basedOn w:val="DefaultParagraphFont"/>
    <w:uiPriority w:val="99"/>
    <w:semiHidden/>
    <w:unhideWhenUsed/>
    <w:rsid w:val="00C84D8A"/>
    <w:rPr>
      <w:sz w:val="16"/>
      <w:szCs w:val="16"/>
    </w:rPr>
  </w:style>
  <w:style w:type="paragraph" w:styleId="CommentText">
    <w:name w:val="annotation text"/>
    <w:basedOn w:val="Normal"/>
    <w:link w:val="CommentTextChar"/>
    <w:uiPriority w:val="99"/>
    <w:unhideWhenUsed/>
    <w:rsid w:val="00364429"/>
    <w:pPr>
      <w:spacing w:line="240" w:lineRule="auto"/>
    </w:pPr>
    <w:rPr>
      <w:sz w:val="20"/>
      <w:szCs w:val="20"/>
    </w:rPr>
  </w:style>
  <w:style w:type="character" w:customStyle="1" w:styleId="CommentTextChar">
    <w:name w:val="Comment Text Char"/>
    <w:basedOn w:val="DefaultParagraphFont"/>
    <w:link w:val="CommentText"/>
    <w:uiPriority w:val="99"/>
    <w:rsid w:val="00C84D8A"/>
    <w:rPr>
      <w:sz w:val="20"/>
      <w:szCs w:val="20"/>
    </w:rPr>
  </w:style>
  <w:style w:type="paragraph" w:styleId="CommentSubject">
    <w:name w:val="annotation subject"/>
    <w:basedOn w:val="CommentText"/>
    <w:next w:val="CommentText"/>
    <w:link w:val="CommentSubjectChar"/>
    <w:uiPriority w:val="99"/>
    <w:semiHidden/>
    <w:unhideWhenUsed/>
    <w:rsid w:val="00C84D8A"/>
    <w:rPr>
      <w:b/>
      <w:bCs/>
    </w:rPr>
  </w:style>
  <w:style w:type="character" w:customStyle="1" w:styleId="CommentSubjectChar">
    <w:name w:val="Comment Subject Char"/>
    <w:basedOn w:val="CommentTextChar"/>
    <w:link w:val="CommentSubject"/>
    <w:uiPriority w:val="99"/>
    <w:semiHidden/>
    <w:rsid w:val="00C84D8A"/>
    <w:rPr>
      <w:b/>
      <w:bCs/>
      <w:sz w:val="20"/>
      <w:szCs w:val="20"/>
    </w:rPr>
  </w:style>
  <w:style w:type="paragraph" w:styleId="BalloonText">
    <w:name w:val="Balloon Text"/>
    <w:basedOn w:val="Normal"/>
    <w:link w:val="BalloonTextChar"/>
    <w:uiPriority w:val="99"/>
    <w:semiHidden/>
    <w:unhideWhenUsed/>
    <w:rsid w:val="00C84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D8A"/>
    <w:rPr>
      <w:rFonts w:ascii="Tahoma" w:hAnsi="Tahoma" w:cs="Tahoma"/>
      <w:sz w:val="16"/>
      <w:szCs w:val="16"/>
    </w:rPr>
  </w:style>
  <w:style w:type="character" w:customStyle="1" w:styleId="Heading1Char">
    <w:name w:val="Heading 1 Char"/>
    <w:basedOn w:val="DefaultParagraphFont"/>
    <w:link w:val="Heading1"/>
    <w:rsid w:val="00773B3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73B3E"/>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773B3E"/>
    <w:pPr>
      <w:outlineLvl w:val="9"/>
    </w:pPr>
    <w:rPr>
      <w:lang w:val="en-US" w:eastAsia="ja-JP"/>
    </w:rPr>
  </w:style>
  <w:style w:type="paragraph" w:styleId="TOC1">
    <w:name w:val="toc 1"/>
    <w:basedOn w:val="Normal"/>
    <w:next w:val="Normal"/>
    <w:autoRedefine/>
    <w:uiPriority w:val="39"/>
    <w:unhideWhenUsed/>
    <w:qFormat/>
    <w:rsid w:val="00773B3E"/>
    <w:pPr>
      <w:spacing w:after="100"/>
    </w:pPr>
  </w:style>
  <w:style w:type="paragraph" w:styleId="TOC2">
    <w:name w:val="toc 2"/>
    <w:basedOn w:val="Normal"/>
    <w:next w:val="Normal"/>
    <w:autoRedefine/>
    <w:uiPriority w:val="39"/>
    <w:unhideWhenUsed/>
    <w:qFormat/>
    <w:rsid w:val="00773B3E"/>
    <w:pPr>
      <w:spacing w:after="100"/>
      <w:ind w:left="220"/>
    </w:pPr>
  </w:style>
  <w:style w:type="character" w:styleId="Hyperlink">
    <w:name w:val="Hyperlink"/>
    <w:basedOn w:val="DefaultParagraphFont"/>
    <w:uiPriority w:val="99"/>
    <w:unhideWhenUsed/>
    <w:rsid w:val="00773B3E"/>
    <w:rPr>
      <w:color w:val="0000FF" w:themeColor="hyperlink"/>
      <w:u w:val="single"/>
    </w:rPr>
  </w:style>
  <w:style w:type="paragraph" w:styleId="TOC3">
    <w:name w:val="toc 3"/>
    <w:basedOn w:val="Normal"/>
    <w:next w:val="Normal"/>
    <w:autoRedefine/>
    <w:uiPriority w:val="39"/>
    <w:unhideWhenUsed/>
    <w:qFormat/>
    <w:rsid w:val="000F6613"/>
    <w:pPr>
      <w:tabs>
        <w:tab w:val="right" w:leader="dot" w:pos="9016"/>
      </w:tabs>
      <w:spacing w:after="100" w:line="240" w:lineRule="auto"/>
      <w:ind w:left="442"/>
    </w:pPr>
    <w:rPr>
      <w:rFonts w:eastAsiaTheme="minorEastAsia"/>
      <w:lang w:val="en-US" w:eastAsia="ja-JP"/>
    </w:rPr>
  </w:style>
  <w:style w:type="character" w:customStyle="1" w:styleId="Heading3Char">
    <w:name w:val="Heading 3 Char"/>
    <w:basedOn w:val="DefaultParagraphFont"/>
    <w:link w:val="Heading3"/>
    <w:uiPriority w:val="9"/>
    <w:rsid w:val="00B0542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C65F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F28"/>
  </w:style>
  <w:style w:type="paragraph" w:styleId="Footer">
    <w:name w:val="footer"/>
    <w:basedOn w:val="Normal"/>
    <w:link w:val="FooterChar"/>
    <w:uiPriority w:val="99"/>
    <w:unhideWhenUsed/>
    <w:rsid w:val="00C65F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F28"/>
  </w:style>
  <w:style w:type="paragraph" w:customStyle="1" w:styleId="DocTitle">
    <w:name w:val="Doc Title"/>
    <w:basedOn w:val="Normal"/>
    <w:next w:val="Heading1"/>
    <w:rsid w:val="00E4351A"/>
    <w:pPr>
      <w:tabs>
        <w:tab w:val="left" w:pos="851"/>
        <w:tab w:val="right" w:pos="9356"/>
      </w:tabs>
      <w:spacing w:before="480" w:after="240" w:line="480" w:lineRule="exact"/>
      <w:jc w:val="center"/>
    </w:pPr>
    <w:rPr>
      <w:rFonts w:ascii="Times New Roman" w:eastAsia="Times New Roman" w:hAnsi="Times New Roman" w:cs="Sendnya"/>
      <w:b/>
      <w:bCs/>
      <w:caps/>
      <w:sz w:val="32"/>
      <w:szCs w:val="32"/>
      <w:lang w:eastAsia="en-GB"/>
    </w:rPr>
  </w:style>
  <w:style w:type="character" w:styleId="BookTitle">
    <w:name w:val="Book Title"/>
    <w:uiPriority w:val="33"/>
    <w:qFormat/>
    <w:rsid w:val="00E4351A"/>
    <w:rPr>
      <w:b/>
      <w:bCs/>
      <w:smallCaps/>
      <w:spacing w:val="5"/>
    </w:rPr>
  </w:style>
  <w:style w:type="table" w:styleId="TableGrid">
    <w:name w:val="Table Grid"/>
    <w:basedOn w:val="TableNormal"/>
    <w:uiPriority w:val="59"/>
    <w:rsid w:val="00DF0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82A3B"/>
    <w:rPr>
      <w:color w:val="808080"/>
    </w:rPr>
  </w:style>
  <w:style w:type="paragraph" w:styleId="FootnoteText">
    <w:name w:val="footnote text"/>
    <w:basedOn w:val="Normal"/>
    <w:link w:val="FootnoteTextChar"/>
    <w:uiPriority w:val="99"/>
    <w:semiHidden/>
    <w:unhideWhenUsed/>
    <w:rsid w:val="009E0D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0DE4"/>
    <w:rPr>
      <w:sz w:val="20"/>
      <w:szCs w:val="20"/>
    </w:rPr>
  </w:style>
  <w:style w:type="character" w:styleId="FootnoteReference">
    <w:name w:val="footnote reference"/>
    <w:basedOn w:val="DefaultParagraphFont"/>
    <w:uiPriority w:val="99"/>
    <w:semiHidden/>
    <w:unhideWhenUsed/>
    <w:rsid w:val="009E0DE4"/>
    <w:rPr>
      <w:vertAlign w:val="superscript"/>
    </w:rPr>
  </w:style>
  <w:style w:type="paragraph" w:styleId="Revision">
    <w:name w:val="Revision"/>
    <w:hidden/>
    <w:uiPriority w:val="99"/>
    <w:semiHidden/>
    <w:rsid w:val="001F6E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7212">
      <w:bodyDiv w:val="1"/>
      <w:marLeft w:val="0"/>
      <w:marRight w:val="0"/>
      <w:marTop w:val="0"/>
      <w:marBottom w:val="0"/>
      <w:divBdr>
        <w:top w:val="none" w:sz="0" w:space="0" w:color="auto"/>
        <w:left w:val="none" w:sz="0" w:space="0" w:color="auto"/>
        <w:bottom w:val="none" w:sz="0" w:space="0" w:color="auto"/>
        <w:right w:val="none" w:sz="0" w:space="0" w:color="auto"/>
      </w:divBdr>
    </w:div>
    <w:div w:id="204412734">
      <w:bodyDiv w:val="1"/>
      <w:marLeft w:val="0"/>
      <w:marRight w:val="0"/>
      <w:marTop w:val="0"/>
      <w:marBottom w:val="0"/>
      <w:divBdr>
        <w:top w:val="none" w:sz="0" w:space="0" w:color="auto"/>
        <w:left w:val="none" w:sz="0" w:space="0" w:color="auto"/>
        <w:bottom w:val="none" w:sz="0" w:space="0" w:color="auto"/>
        <w:right w:val="none" w:sz="0" w:space="0" w:color="auto"/>
      </w:divBdr>
    </w:div>
    <w:div w:id="1631666633">
      <w:bodyDiv w:val="1"/>
      <w:marLeft w:val="0"/>
      <w:marRight w:val="0"/>
      <w:marTop w:val="0"/>
      <w:marBottom w:val="0"/>
      <w:divBdr>
        <w:top w:val="none" w:sz="0" w:space="0" w:color="auto"/>
        <w:left w:val="none" w:sz="0" w:space="0" w:color="auto"/>
        <w:bottom w:val="none" w:sz="0" w:space="0" w:color="auto"/>
        <w:right w:val="none" w:sz="0" w:space="0" w:color="auto"/>
      </w:divBdr>
    </w:div>
    <w:div w:id="1655715927">
      <w:bodyDiv w:val="1"/>
      <w:marLeft w:val="0"/>
      <w:marRight w:val="0"/>
      <w:marTop w:val="0"/>
      <w:marBottom w:val="0"/>
      <w:divBdr>
        <w:top w:val="none" w:sz="0" w:space="0" w:color="auto"/>
        <w:left w:val="none" w:sz="0" w:space="0" w:color="auto"/>
        <w:bottom w:val="none" w:sz="0" w:space="0" w:color="auto"/>
        <w:right w:val="none" w:sz="0" w:space="0" w:color="auto"/>
      </w:divBdr>
    </w:div>
    <w:div w:id="1784685770">
      <w:bodyDiv w:val="1"/>
      <w:marLeft w:val="0"/>
      <w:marRight w:val="0"/>
      <w:marTop w:val="0"/>
      <w:marBottom w:val="0"/>
      <w:divBdr>
        <w:top w:val="none" w:sz="0" w:space="0" w:color="auto"/>
        <w:left w:val="none" w:sz="0" w:space="0" w:color="auto"/>
        <w:bottom w:val="none" w:sz="0" w:space="0" w:color="auto"/>
        <w:right w:val="none" w:sz="0" w:space="0" w:color="auto"/>
      </w:divBdr>
    </w:div>
    <w:div w:id="181235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FAB93-C065-4F84-B32B-95A4B201C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6865</Words>
  <Characters>37760</Characters>
  <Application>Microsoft Office Word</Application>
  <DocSecurity>0</DocSecurity>
  <Lines>314</Lines>
  <Paragraphs>89</Paragraphs>
  <ScaleCrop>false</ScaleCrop>
  <HeadingPairs>
    <vt:vector size="6" baseType="variant">
      <vt:variant>
        <vt:lpstr>Title</vt:lpstr>
      </vt:variant>
      <vt:variant>
        <vt:i4>1</vt:i4>
      </vt:variant>
      <vt:variant>
        <vt:lpstr>Titolo</vt:lpstr>
      </vt:variant>
      <vt:variant>
        <vt:i4>1</vt:i4>
      </vt:variant>
      <vt:variant>
        <vt:lpstr>Titre</vt:lpstr>
      </vt:variant>
      <vt:variant>
        <vt:i4>1</vt:i4>
      </vt:variant>
    </vt:vector>
  </HeadingPairs>
  <TitlesOfParts>
    <vt:vector size="3" baseType="lpstr">
      <vt:lpstr/>
      <vt:lpstr/>
      <vt:lpstr/>
    </vt:vector>
  </TitlesOfParts>
  <Company>European Central Bank</Company>
  <LinksUpToDate>false</LinksUpToDate>
  <CharactersWithSpaces>44536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Peralta, Joana</dc:creator>
  <cp:lastModifiedBy>Casteur Geertrui</cp:lastModifiedBy>
  <cp:revision>4</cp:revision>
  <cp:lastPrinted>2019-12-10T16:00:00Z</cp:lastPrinted>
  <dcterms:created xsi:type="dcterms:W3CDTF">2019-12-11T09:30:00Z</dcterms:created>
  <dcterms:modified xsi:type="dcterms:W3CDTF">2023-06-29T07:07:00Z</dcterms:modified>
</cp:coreProperties>
</file>