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183" w:rsidRPr="00B12C4E" w:rsidRDefault="00E35183" w:rsidP="00E35183">
      <w:pPr>
        <w:ind w:left="720"/>
        <w:jc w:val="both"/>
        <w:rPr>
          <w:sz w:val="2"/>
          <w:szCs w:val="2"/>
        </w:rPr>
      </w:pPr>
    </w:p>
    <w:p w:rsidR="00E35183" w:rsidRPr="00D95113" w:rsidRDefault="00E35183" w:rsidP="00E35183">
      <w:pPr>
        <w:pStyle w:val="Heading1"/>
        <w:keepNext w:val="0"/>
        <w:pBdr>
          <w:top w:val="single" w:sz="4" w:space="1" w:color="auto"/>
          <w:left w:val="single" w:sz="4" w:space="4" w:color="auto"/>
          <w:bottom w:val="single" w:sz="4" w:space="1" w:color="auto"/>
          <w:right w:val="single" w:sz="4" w:space="4" w:color="auto"/>
        </w:pBdr>
        <w:shd w:val="clear" w:color="auto" w:fill="D9D9D9"/>
        <w:spacing w:before="0" w:after="0"/>
        <w:jc w:val="both"/>
        <w:rPr>
          <w:sz w:val="36"/>
          <w:szCs w:val="36"/>
        </w:rPr>
      </w:pPr>
      <w:r w:rsidRPr="00D95113">
        <w:rPr>
          <w:sz w:val="36"/>
        </w:rPr>
        <w:t>4. Lijst van de bijlagen die in het kader van Fase 1 bij het vergunningsmemorandum moeten worden gevoegd</w:t>
      </w:r>
    </w:p>
    <w:p w:rsidR="00E35183" w:rsidRPr="00D95113" w:rsidRDefault="00E35183" w:rsidP="00E35183">
      <w:pPr>
        <w:jc w:val="both"/>
        <w:rPr>
          <w:rFonts w:ascii="Arial" w:hAnsi="Arial" w:cs="Arial"/>
          <w:sz w:val="22"/>
          <w:szCs w:val="22"/>
        </w:rPr>
      </w:pPr>
    </w:p>
    <w:p w:rsidR="00E35183" w:rsidRPr="00D95113" w:rsidRDefault="00E35183" w:rsidP="00E35183">
      <w:pPr>
        <w:jc w:val="both"/>
        <w:rPr>
          <w:rFonts w:ascii="Arial" w:hAnsi="Arial" w:cs="Arial"/>
          <w:sz w:val="22"/>
          <w:szCs w:val="22"/>
        </w:rPr>
      </w:pPr>
    </w:p>
    <w:p w:rsidR="00E35183" w:rsidRPr="00D95113" w:rsidRDefault="00E35183" w:rsidP="00E35183">
      <w:pPr>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39"/>
      </w:tblGrid>
      <w:tr w:rsidR="00E35183" w:rsidRPr="00D95113" w:rsidTr="00191CAC">
        <w:trPr>
          <w:trHeight w:val="410"/>
        </w:trPr>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Nr.</w:t>
            </w:r>
          </w:p>
        </w:tc>
        <w:tc>
          <w:tcPr>
            <w:tcW w:w="8039" w:type="dxa"/>
            <w:shd w:val="clear" w:color="auto" w:fill="auto"/>
            <w:vAlign w:val="center"/>
          </w:tcPr>
          <w:p w:rsidR="00E35183" w:rsidRPr="00D95113" w:rsidRDefault="00E35183" w:rsidP="00191CAC">
            <w:pPr>
              <w:rPr>
                <w:rFonts w:ascii="Arial" w:hAnsi="Arial" w:cs="Arial"/>
              </w:rPr>
            </w:pPr>
            <w:r w:rsidRPr="00D95113">
              <w:rPr>
                <w:rFonts w:ascii="Arial" w:hAnsi="Arial"/>
              </w:rPr>
              <w:t>Naam</w:t>
            </w:r>
          </w:p>
        </w:tc>
      </w:tr>
      <w:tr w:rsidR="00E35183" w:rsidRPr="00D95113" w:rsidTr="00191CAC">
        <w:trPr>
          <w:trHeight w:val="340"/>
        </w:trPr>
        <w:tc>
          <w:tcPr>
            <w:tcW w:w="8856" w:type="dxa"/>
            <w:gridSpan w:val="2"/>
            <w:shd w:val="clear" w:color="auto" w:fill="auto"/>
          </w:tcPr>
          <w:p w:rsidR="00E35183" w:rsidRPr="00D95113" w:rsidRDefault="00E35183" w:rsidP="00191CAC">
            <w:pPr>
              <w:jc w:val="both"/>
              <w:rPr>
                <w:rFonts w:ascii="Arial" w:hAnsi="Arial" w:cs="Arial"/>
                <w:color w:val="FF0000"/>
                <w:sz w:val="22"/>
                <w:szCs w:val="22"/>
              </w:rPr>
            </w:pPr>
            <w:r w:rsidRPr="00D95113">
              <w:rPr>
                <w:rFonts w:ascii="Arial" w:hAnsi="Arial"/>
                <w:b/>
                <w:sz w:val="22"/>
                <w:u w:val="single"/>
              </w:rPr>
              <w:t>4.1. Algemene bijlagen betreffende de vergunningsaanvraag</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w:t>
            </w:r>
          </w:p>
        </w:tc>
        <w:tc>
          <w:tcPr>
            <w:tcW w:w="8039" w:type="dxa"/>
            <w:shd w:val="clear" w:color="auto" w:fill="auto"/>
          </w:tcPr>
          <w:p w:rsidR="00E35183" w:rsidRDefault="00E35183" w:rsidP="00191CAC">
            <w:pPr>
              <w:jc w:val="both"/>
              <w:rPr>
                <w:rFonts w:ascii="Arial" w:hAnsi="Arial"/>
                <w:sz w:val="22"/>
              </w:rPr>
            </w:pPr>
            <w:r w:rsidRPr="00D95113">
              <w:rPr>
                <w:rFonts w:ascii="Arial" w:hAnsi="Arial"/>
                <w:sz w:val="22"/>
              </w:rPr>
              <w:t>Gegevens over de verantwoordelijke voor de vergunningsaanvraag en over de contactpersoon</w:t>
            </w:r>
          </w:p>
          <w:bookmarkStart w:id="0" w:name="_MON_1603614898"/>
          <w:bookmarkEnd w:id="0"/>
          <w:p w:rsidR="00D617C9" w:rsidRPr="00D95113" w:rsidRDefault="002839D4" w:rsidP="00191CAC">
            <w:pPr>
              <w:jc w:val="both"/>
              <w:rPr>
                <w:rFonts w:ascii="Arial" w:hAnsi="Arial" w:cs="Arial"/>
              </w:rPr>
            </w:pPr>
            <w:r>
              <w:rPr>
                <w:rFonts w:ascii="Calibri" w:hAnsi="Calibri"/>
                <w:sz w:val="22"/>
                <w:szCs w:val="22"/>
                <w:lang w:val="en-US" w:eastAsia="en-US"/>
              </w:rPr>
              <w:object w:dxaOrig="154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7.25pt;height:49.5pt" o:ole="">
                  <v:imagedata r:id="rId4" o:title=""/>
                </v:shape>
                <o:OLEObject Type="Embed" ProgID="Word.Document.12" ShapeID="_x0000_i1042" DrawAspect="Icon" ObjectID="_1603615174" r:id="rId5">
                  <o:FieldCodes>\s</o:FieldCodes>
                </o:OLEObject>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w:t>
            </w:r>
          </w:p>
        </w:tc>
        <w:tc>
          <w:tcPr>
            <w:tcW w:w="8039" w:type="dxa"/>
            <w:shd w:val="clear" w:color="auto" w:fill="auto"/>
          </w:tcPr>
          <w:p w:rsidR="00E35183" w:rsidRDefault="002839D4" w:rsidP="00191CAC">
            <w:pPr>
              <w:jc w:val="both"/>
              <w:rPr>
                <w:rFonts w:ascii="Arial" w:hAnsi="Arial"/>
                <w:sz w:val="22"/>
              </w:rPr>
            </w:pPr>
            <w:hyperlink r:id="rId6" w:history="1">
              <w:r w:rsidR="00E35183" w:rsidRPr="00D617C9">
                <w:rPr>
                  <w:rFonts w:ascii="Arial" w:hAnsi="Arial"/>
                  <w:sz w:val="22"/>
                </w:rPr>
                <w:t>Gegevens over de onderneming</w:t>
              </w:r>
            </w:hyperlink>
          </w:p>
          <w:bookmarkStart w:id="1" w:name="_MON_1603614953"/>
          <w:bookmarkEnd w:id="1"/>
          <w:p w:rsidR="00D617C9" w:rsidRPr="00D617C9" w:rsidRDefault="002839D4" w:rsidP="00191CAC">
            <w:pPr>
              <w:jc w:val="both"/>
              <w:rPr>
                <w:rFonts w:ascii="Arial" w:hAnsi="Arial"/>
                <w:sz w:val="22"/>
              </w:rPr>
            </w:pPr>
            <w:r>
              <w:rPr>
                <w:rFonts w:ascii="Calibri" w:hAnsi="Calibri"/>
                <w:sz w:val="22"/>
                <w:szCs w:val="22"/>
                <w:lang w:val="en-US" w:eastAsia="en-US"/>
              </w:rPr>
              <w:object w:dxaOrig="1546" w:dyaOrig="991">
                <v:shape id="_x0000_i1044" type="#_x0000_t75" style="width:77.25pt;height:49.5pt" o:ole="">
                  <v:imagedata r:id="rId7" o:title=""/>
                </v:shape>
                <o:OLEObject Type="Embed" ProgID="Word.Document.12" ShapeID="_x0000_i1044" DrawAspect="Icon" ObjectID="_1603615175" r:id="rId8">
                  <o:FieldCodes>\s</o:FieldCodes>
                </o:OLEObject>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3.</w:t>
            </w:r>
          </w:p>
        </w:tc>
        <w:tc>
          <w:tcPr>
            <w:tcW w:w="8039" w:type="dxa"/>
            <w:shd w:val="clear" w:color="auto" w:fill="auto"/>
          </w:tcPr>
          <w:p w:rsidR="00E35183" w:rsidRPr="00D617C9" w:rsidRDefault="002839D4" w:rsidP="00191CAC">
            <w:pPr>
              <w:jc w:val="both"/>
              <w:rPr>
                <w:rFonts w:ascii="Arial" w:hAnsi="Arial"/>
                <w:sz w:val="22"/>
              </w:rPr>
            </w:pPr>
            <w:hyperlink r:id="rId9" w:history="1">
              <w:r w:rsidR="00E35183" w:rsidRPr="00D617C9">
                <w:rPr>
                  <w:rFonts w:ascii="Arial" w:hAnsi="Arial"/>
                  <w:sz w:val="22"/>
                </w:rPr>
                <w:t>Formulier over (i) de verzekeringstakken waarvoor de vergunning wordt aangevraagd, (ii) de herverzekeringsactiviteiten en (iii) andere activiteiten</w:t>
              </w:r>
            </w:hyperlink>
          </w:p>
          <w:bookmarkStart w:id="2" w:name="_MON_1603615009"/>
          <w:bookmarkEnd w:id="2"/>
          <w:p w:rsidR="00E35183" w:rsidRPr="00D617C9" w:rsidRDefault="002839D4" w:rsidP="00191CAC">
            <w:pPr>
              <w:jc w:val="both"/>
              <w:rPr>
                <w:rFonts w:ascii="Arial" w:hAnsi="Arial"/>
                <w:sz w:val="22"/>
              </w:rPr>
            </w:pPr>
            <w:r>
              <w:rPr>
                <w:rFonts w:ascii="Calibri" w:hAnsi="Calibri"/>
                <w:sz w:val="22"/>
                <w:szCs w:val="22"/>
                <w:lang w:val="en-US" w:eastAsia="en-US"/>
              </w:rPr>
              <w:object w:dxaOrig="1546" w:dyaOrig="991">
                <v:shape id="_x0000_i1046" type="#_x0000_t75" style="width:77.25pt;height:49.5pt" o:ole="">
                  <v:imagedata r:id="rId10" o:title=""/>
                </v:shape>
                <o:OLEObject Type="Embed" ProgID="Word.Document.12" ShapeID="_x0000_i1046" DrawAspect="Icon" ObjectID="_1603615176" r:id="rId11">
                  <o:FieldCodes>\s</o:FieldCodes>
                </o:OLEObject>
              </w:object>
            </w:r>
          </w:p>
        </w:tc>
      </w:tr>
      <w:tr w:rsidR="00E35183" w:rsidRPr="00D95113" w:rsidTr="00191CAC">
        <w:trPr>
          <w:trHeight w:val="340"/>
        </w:trPr>
        <w:tc>
          <w:tcPr>
            <w:tcW w:w="8856" w:type="dxa"/>
            <w:gridSpan w:val="2"/>
            <w:shd w:val="clear" w:color="auto" w:fill="auto"/>
            <w:vAlign w:val="center"/>
          </w:tcPr>
          <w:p w:rsidR="00E35183" w:rsidRPr="00D95113" w:rsidRDefault="00E35183" w:rsidP="00191CAC">
            <w:pPr>
              <w:rPr>
                <w:rFonts w:ascii="Arial" w:hAnsi="Arial" w:cs="Arial"/>
                <w:sz w:val="22"/>
                <w:szCs w:val="22"/>
              </w:rPr>
            </w:pPr>
            <w:r w:rsidRPr="00D95113">
              <w:rPr>
                <w:rFonts w:ascii="Arial" w:hAnsi="Arial"/>
                <w:b/>
                <w:sz w:val="22"/>
                <w:u w:val="single"/>
              </w:rPr>
              <w:t xml:space="preserve">4.2. Bijlagen betreffende de </w:t>
            </w:r>
            <w:proofErr w:type="spellStart"/>
            <w:r w:rsidRPr="00D95113">
              <w:rPr>
                <w:rFonts w:ascii="Arial" w:hAnsi="Arial"/>
                <w:b/>
                <w:sz w:val="22"/>
                <w:u w:val="single"/>
              </w:rPr>
              <w:t>governanceaspecten</w:t>
            </w:r>
            <w:proofErr w:type="spellEnd"/>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4.</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Formulieren in te vullen door de kandidaat-</w:t>
            </w:r>
            <w:proofErr w:type="spellStart"/>
            <w:r w:rsidRPr="00D95113">
              <w:rPr>
                <w:rFonts w:ascii="Arial" w:hAnsi="Arial"/>
                <w:sz w:val="22"/>
              </w:rPr>
              <w:t>verwervers</w:t>
            </w:r>
            <w:proofErr w:type="spellEnd"/>
            <w:r w:rsidRPr="00D95113">
              <w:rPr>
                <w:rFonts w:ascii="Arial" w:hAnsi="Arial"/>
                <w:sz w:val="22"/>
              </w:rPr>
              <w:t xml:space="preserve"> van een gekwalificeerde deelneming </w:t>
            </w:r>
            <w:hyperlink r:id="rId12" w:history="1">
              <w:r w:rsidRPr="00D95113">
                <w:rPr>
                  <w:rStyle w:val="Hyperlink"/>
                  <w:rFonts w:ascii="Arial" w:hAnsi="Arial"/>
                  <w:sz w:val="22"/>
                </w:rPr>
                <w:t>https://www.nbb.be/nl/artikels/mededeling-cbfa200931-mededeling-aan-de-kandidaat-aandeelhouders-en-aan-de-overdragers</w:t>
              </w:r>
            </w:hyperlink>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5.</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Ontwerpstatuten (of, voor reeds opgerichte ondernemingen, het ontwerp van statutenwijziging en het ontwerp van gecoördineerde statuten)</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6.</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Ontwerp van "fit &amp; proper"-beleid en lijst met een samenvatting van de voorgenomen samenstelling van de raad van bestuur, van het directiecomité, in voorkomend geval van de gespecialiseerde comités van de raad van bestuur (auditcomité, risicocomité en remuneratiecomité) en de verantwoordelijken voor de onafhankelijke controlefuncties</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7.</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"Fit &amp; proper"-formulieren in te vullen door de kandidaten voor de functie van (uitvoerend of niet-uitvoerend) bestuurder, lid van het directiecomité (niet-bestuurder) en verantwoordelijke voor de onafhankelijke controlefuncties (risicobeheer, actuariële functie, compliance en interne audit)</w:t>
            </w:r>
          </w:p>
          <w:p w:rsidR="00E35183" w:rsidRPr="00D95113" w:rsidRDefault="002839D4" w:rsidP="00191CAC">
            <w:pPr>
              <w:jc w:val="both"/>
              <w:rPr>
                <w:rFonts w:ascii="Arial" w:hAnsi="Arial" w:cs="Arial"/>
                <w:sz w:val="22"/>
                <w:szCs w:val="22"/>
              </w:rPr>
            </w:pPr>
            <w:hyperlink r:id="rId13" w:history="1">
              <w:r w:rsidR="00E35183" w:rsidRPr="00D95113">
                <w:rPr>
                  <w:rStyle w:val="Hyperlink"/>
                  <w:rFonts w:ascii="Arial" w:hAnsi="Arial"/>
                  <w:sz w:val="22"/>
                </w:rPr>
                <w:t>htps://www.nbb.be/nl/artikels/circulaire-nbb201302-deskundigheid-en-professionele-betrouwbaarheid-fit-proper</w:t>
              </w:r>
            </w:hyperlink>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8.</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Ontwerp van 'interne regels' inzake onverenigbaarheden / cumulatie van mandaten</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9.</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Formulieren met betrekking tot de "leningen, kredieten, waarborgen en verzekeringsovereenkomsten voor leiders, aandeelhouders en verbonden personen" =&gt; in te dienen vanaf mei 2018 (circulaire verschijnt binnenkort op de website van de Bank)</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lastRenderedPageBreak/>
              <w:t>10.</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 xml:space="preserve">Ontwerp van risicobeleid: </w:t>
            </w:r>
            <w:r w:rsidRPr="00D95113">
              <w:rPr>
                <w:rFonts w:ascii="Arial" w:hAnsi="Arial"/>
                <w:i/>
                <w:sz w:val="22"/>
              </w:rPr>
              <w:t>Beleid inzake risicobereidheid en algemeen risicobeheerbeleid dat, met name, de volgende beleidslijnen omvat: a) beleid inzake het beheer van het verzekeringstechnisch risico en het reserveringsrisico, b) beleid inzake het beheer van activa en passiva (asset-</w:t>
            </w:r>
            <w:proofErr w:type="spellStart"/>
            <w:r w:rsidRPr="00D95113">
              <w:rPr>
                <w:rFonts w:ascii="Arial" w:hAnsi="Arial"/>
                <w:i/>
                <w:sz w:val="22"/>
              </w:rPr>
              <w:t>liability</w:t>
            </w:r>
            <w:proofErr w:type="spellEnd"/>
            <w:r w:rsidRPr="00D95113">
              <w:rPr>
                <w:rFonts w:ascii="Arial" w:hAnsi="Arial"/>
                <w:i/>
                <w:sz w:val="22"/>
              </w:rPr>
              <w:t xml:space="preserve"> management of ALM), c) beleid inzake het beheer van het beleggingsrisico, d) beleid inzake het beheer van het liquiditeitsrisico, e) beleid inzake het beheer van het concentratierisico, f) beleid inzake het beheer van het operationele risico, g) herverzekeringsbeleid, h) beleid inzake winstdeling, i) beleid inzake hypothecair krediet (in voorkomend geval), j) beleid inzake de rapportering aan de Bank, en k) ORSA-beleid</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11.</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Ontwerpcharters voor risicobeheer, de actuariële functie, compliance en interne audit</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12.</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Organogram bij de aanvang van de activiteiten</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13.</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i/>
                <w:sz w:val="22"/>
              </w:rPr>
              <w:t>Ontwerpen van (i) beleggingsbeleid, (ii) kapitaalbeheerbeleid en "management action plan", en (iii) beleid voor de waardering van activa en passiva</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14.</w:t>
            </w:r>
          </w:p>
        </w:tc>
        <w:tc>
          <w:tcPr>
            <w:tcW w:w="8039" w:type="dxa"/>
            <w:shd w:val="clear" w:color="auto" w:fill="auto"/>
          </w:tcPr>
          <w:p w:rsidR="00E35183" w:rsidRPr="00D95113" w:rsidRDefault="00E35183" w:rsidP="00191CAC">
            <w:pPr>
              <w:jc w:val="both"/>
              <w:rPr>
                <w:rFonts w:ascii="Arial" w:hAnsi="Arial" w:cs="Arial"/>
                <w:i/>
                <w:sz w:val="22"/>
                <w:szCs w:val="22"/>
              </w:rPr>
            </w:pPr>
            <w:r w:rsidRPr="00D95113">
              <w:rPr>
                <w:rFonts w:ascii="Arial" w:hAnsi="Arial"/>
                <w:sz w:val="22"/>
              </w:rPr>
              <w:t>Ontwerp van uitbestedingsbeleid en ontwerpen van vergunningsovereenkomsten</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15.</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Ontwerp van beloningsbeleid</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16.</w:t>
            </w:r>
          </w:p>
        </w:tc>
        <w:tc>
          <w:tcPr>
            <w:tcW w:w="8039" w:type="dxa"/>
            <w:shd w:val="clear" w:color="auto" w:fill="auto"/>
          </w:tcPr>
          <w:p w:rsidR="00E35183" w:rsidRPr="00D95113" w:rsidRDefault="00E35183" w:rsidP="00191CAC">
            <w:pPr>
              <w:jc w:val="both"/>
              <w:rPr>
                <w:rFonts w:ascii="Arial" w:hAnsi="Arial" w:cs="Arial"/>
                <w:sz w:val="22"/>
                <w:szCs w:val="22"/>
              </w:rPr>
            </w:pPr>
            <w:r w:rsidRPr="00D95113">
              <w:rPr>
                <w:rFonts w:ascii="Arial" w:hAnsi="Arial"/>
                <w:sz w:val="22"/>
              </w:rPr>
              <w:t xml:space="preserve">Ontwerpbeleidslijnen inzake (i) integriteit, (ii) </w:t>
            </w:r>
            <w:proofErr w:type="spellStart"/>
            <w:r w:rsidRPr="00D95113">
              <w:rPr>
                <w:rFonts w:ascii="Arial" w:hAnsi="Arial"/>
                <w:sz w:val="22"/>
              </w:rPr>
              <w:t>whistleblowing</w:t>
            </w:r>
            <w:proofErr w:type="spellEnd"/>
            <w:r w:rsidRPr="00D95113">
              <w:rPr>
                <w:rFonts w:ascii="Arial" w:hAnsi="Arial"/>
                <w:sz w:val="22"/>
              </w:rPr>
              <w:t xml:space="preserve"> en belangenconflicten</w:t>
            </w:r>
          </w:p>
        </w:tc>
      </w:tr>
      <w:tr w:rsidR="00E35183" w:rsidRPr="00D95113" w:rsidTr="00191CAC">
        <w:tc>
          <w:tcPr>
            <w:tcW w:w="817" w:type="dxa"/>
            <w:shd w:val="clear" w:color="auto" w:fill="auto"/>
            <w:vAlign w:val="center"/>
          </w:tcPr>
          <w:p w:rsidR="00E35183" w:rsidRPr="00D95113" w:rsidRDefault="00E35183" w:rsidP="00191CAC">
            <w:pPr>
              <w:jc w:val="center"/>
              <w:rPr>
                <w:rFonts w:ascii="Arial" w:hAnsi="Arial" w:cs="Arial"/>
              </w:rPr>
            </w:pPr>
            <w:r w:rsidRPr="00D95113">
              <w:rPr>
                <w:rFonts w:ascii="Arial" w:hAnsi="Arial"/>
              </w:rPr>
              <w:t>17.</w:t>
            </w:r>
          </w:p>
        </w:tc>
        <w:tc>
          <w:tcPr>
            <w:tcW w:w="8039" w:type="dxa"/>
            <w:shd w:val="clear" w:color="auto" w:fill="auto"/>
          </w:tcPr>
          <w:p w:rsidR="00E35183" w:rsidRDefault="002839D4" w:rsidP="00191CAC">
            <w:pPr>
              <w:jc w:val="both"/>
              <w:rPr>
                <w:rFonts w:ascii="Arial" w:hAnsi="Arial"/>
                <w:sz w:val="22"/>
              </w:rPr>
            </w:pPr>
            <w:hyperlink r:id="rId14" w:history="1">
              <w:r w:rsidR="00E35183" w:rsidRPr="00D617C9">
                <w:rPr>
                  <w:rFonts w:ascii="Arial" w:hAnsi="Arial"/>
                  <w:sz w:val="22"/>
                </w:rPr>
                <w:t>Voorstel tot aanstelling van een erkend commissaris of een erkende revisorenvennootschap</w:t>
              </w:r>
            </w:hyperlink>
          </w:p>
          <w:bookmarkStart w:id="3" w:name="_MON_1603615056"/>
          <w:bookmarkEnd w:id="3"/>
          <w:p w:rsidR="00D617C9" w:rsidRPr="00D95113" w:rsidRDefault="002839D4" w:rsidP="00191CAC">
            <w:pPr>
              <w:jc w:val="both"/>
              <w:rPr>
                <w:rFonts w:ascii="Arial" w:hAnsi="Arial" w:cs="Arial"/>
                <w:sz w:val="22"/>
                <w:szCs w:val="22"/>
              </w:rPr>
            </w:pPr>
            <w:r>
              <w:object w:dxaOrig="1546" w:dyaOrig="991">
                <v:shape id="_x0000_i1048" type="#_x0000_t75" style="width:77.25pt;height:49.5pt" o:ole="">
                  <v:imagedata r:id="rId15" o:title=""/>
                </v:shape>
                <o:OLEObject Type="Embed" ProgID="Word.Document.12" ShapeID="_x0000_i1048" DrawAspect="Icon" ObjectID="_1603615177" r:id="rId16">
                  <o:FieldCodes>\s</o:FieldCodes>
                </o:OLEObject>
              </w:object>
            </w:r>
          </w:p>
        </w:tc>
      </w:tr>
      <w:tr w:rsidR="00E35183" w:rsidRPr="00D95113" w:rsidTr="00191CAC">
        <w:trPr>
          <w:trHeight w:val="340"/>
        </w:trPr>
        <w:tc>
          <w:tcPr>
            <w:tcW w:w="8856" w:type="dxa"/>
            <w:gridSpan w:val="2"/>
            <w:shd w:val="clear" w:color="auto" w:fill="auto"/>
          </w:tcPr>
          <w:p w:rsidR="00E35183" w:rsidRPr="00D95113" w:rsidRDefault="00E35183" w:rsidP="00191CAC">
            <w:pPr>
              <w:jc w:val="both"/>
              <w:rPr>
                <w:rFonts w:ascii="Arial" w:hAnsi="Arial" w:cs="Arial"/>
                <w:sz w:val="22"/>
                <w:szCs w:val="22"/>
              </w:rPr>
            </w:pPr>
            <w:r w:rsidRPr="00D95113">
              <w:rPr>
                <w:rFonts w:ascii="Arial" w:hAnsi="Arial"/>
                <w:b/>
                <w:sz w:val="22"/>
                <w:u w:val="single"/>
              </w:rPr>
              <w:t>4.3. Bijlagen betreffende de technische en financiële aspecten</w: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18.</w:t>
            </w:r>
          </w:p>
        </w:tc>
        <w:tc>
          <w:tcPr>
            <w:tcW w:w="8039" w:type="dxa"/>
            <w:shd w:val="clear" w:color="auto" w:fill="auto"/>
          </w:tcPr>
          <w:p w:rsidR="00E35183" w:rsidRDefault="002839D4" w:rsidP="00D617C9">
            <w:pPr>
              <w:jc w:val="both"/>
              <w:rPr>
                <w:rFonts w:ascii="Arial" w:hAnsi="Arial"/>
                <w:sz w:val="22"/>
              </w:rPr>
            </w:pPr>
            <w:hyperlink r:id="rId17" w:history="1">
              <w:proofErr w:type="spellStart"/>
              <w:r w:rsidR="00E35183" w:rsidRPr="00D617C9">
                <w:rPr>
                  <w:rFonts w:ascii="Arial" w:hAnsi="Arial"/>
                  <w:sz w:val="22"/>
                </w:rPr>
                <w:t>Balansprognosen</w:t>
              </w:r>
              <w:proofErr w:type="spellEnd"/>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50" type="#_x0000_t75" style="width:77.25pt;height:49.5pt" o:ole="">
                  <v:imagedata r:id="rId18" o:title=""/>
                </v:shape>
                <o:OLEObject Type="Embed" ProgID="Excel.Sheet.12" ShapeID="_x0000_i1050" DrawAspect="Icon" ObjectID="_1603615178" r:id="rId19"/>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19.</w:t>
            </w:r>
          </w:p>
        </w:tc>
        <w:tc>
          <w:tcPr>
            <w:tcW w:w="8039" w:type="dxa"/>
            <w:shd w:val="clear" w:color="auto" w:fill="auto"/>
          </w:tcPr>
          <w:p w:rsidR="00E35183" w:rsidRDefault="002839D4" w:rsidP="00D617C9">
            <w:pPr>
              <w:jc w:val="both"/>
              <w:rPr>
                <w:rFonts w:ascii="Arial" w:hAnsi="Arial"/>
                <w:sz w:val="22"/>
              </w:rPr>
            </w:pPr>
            <w:hyperlink r:id="rId20" w:history="1">
              <w:r w:rsidR="00E35183" w:rsidRPr="00D617C9">
                <w:rPr>
                  <w:rFonts w:ascii="Arial" w:hAnsi="Arial"/>
                  <w:sz w:val="22"/>
                </w:rPr>
                <w:t>Raming van het solvabiliteitskapitaalvereiste – standaardformule</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52" type="#_x0000_t75" style="width:77.25pt;height:49.5pt" o:ole="">
                  <v:imagedata r:id="rId21" o:title=""/>
                </v:shape>
                <o:OLEObject Type="Embed" ProgID="Excel.Sheet.12" ShapeID="_x0000_i1052" DrawAspect="Icon" ObjectID="_1603615179" r:id="rId22"/>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20.</w:t>
            </w:r>
          </w:p>
        </w:tc>
        <w:tc>
          <w:tcPr>
            <w:tcW w:w="8039" w:type="dxa"/>
            <w:shd w:val="clear" w:color="auto" w:fill="auto"/>
          </w:tcPr>
          <w:p w:rsidR="00E35183" w:rsidRDefault="002839D4" w:rsidP="00D617C9">
            <w:pPr>
              <w:jc w:val="both"/>
              <w:rPr>
                <w:rFonts w:ascii="Arial" w:hAnsi="Arial"/>
                <w:sz w:val="22"/>
              </w:rPr>
            </w:pPr>
            <w:hyperlink r:id="rId23" w:history="1">
              <w:r w:rsidR="00E35183" w:rsidRPr="00D617C9">
                <w:rPr>
                  <w:rFonts w:ascii="Arial" w:hAnsi="Arial"/>
                  <w:sz w:val="22"/>
                </w:rPr>
                <w:t>Raming van het solvabiliteitskapitaalvereiste – gedeeltelijk intern model</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54" type="#_x0000_t75" style="width:77.25pt;height:49.5pt" o:ole="">
                  <v:imagedata r:id="rId24" o:title=""/>
                </v:shape>
                <o:OLEObject Type="Embed" ProgID="Excel.Sheet.12" ShapeID="_x0000_i1054" DrawAspect="Icon" ObjectID="_1603615180" r:id="rId25"/>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21.</w:t>
            </w:r>
          </w:p>
        </w:tc>
        <w:tc>
          <w:tcPr>
            <w:tcW w:w="8039" w:type="dxa"/>
            <w:shd w:val="clear" w:color="auto" w:fill="auto"/>
          </w:tcPr>
          <w:p w:rsidR="00E35183" w:rsidRDefault="002839D4" w:rsidP="00D617C9">
            <w:pPr>
              <w:jc w:val="both"/>
              <w:rPr>
                <w:rFonts w:ascii="Arial" w:hAnsi="Arial"/>
                <w:sz w:val="22"/>
              </w:rPr>
            </w:pPr>
            <w:hyperlink r:id="rId26" w:history="1">
              <w:r w:rsidR="00E35183" w:rsidRPr="00D617C9">
                <w:rPr>
                  <w:rFonts w:ascii="Arial" w:hAnsi="Arial"/>
                  <w:sz w:val="22"/>
                </w:rPr>
                <w:t>Raming van het solvabiliteitskapitaalvereiste – intern model</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56" type="#_x0000_t75" style="width:77.25pt;height:49.5pt" o:ole="">
                  <v:imagedata r:id="rId27" o:title=""/>
                </v:shape>
                <o:OLEObject Type="Embed" ProgID="Excel.Sheet.12" ShapeID="_x0000_i1056" DrawAspect="Icon" ObjectID="_1603615181" r:id="rId28"/>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22.</w:t>
            </w:r>
          </w:p>
        </w:tc>
        <w:tc>
          <w:tcPr>
            <w:tcW w:w="8039" w:type="dxa"/>
            <w:shd w:val="clear" w:color="auto" w:fill="auto"/>
          </w:tcPr>
          <w:p w:rsidR="00E35183" w:rsidRDefault="002839D4" w:rsidP="00D617C9">
            <w:pPr>
              <w:jc w:val="both"/>
              <w:rPr>
                <w:rFonts w:ascii="Arial" w:hAnsi="Arial"/>
                <w:sz w:val="22"/>
              </w:rPr>
            </w:pPr>
            <w:hyperlink r:id="rId29" w:history="1">
              <w:r w:rsidR="00E35183" w:rsidRPr="00D617C9">
                <w:rPr>
                  <w:rFonts w:ascii="Arial" w:hAnsi="Arial"/>
                  <w:sz w:val="22"/>
                </w:rPr>
                <w:t>Raming van het minimumkapitaalvereiste – niet-leven</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58" type="#_x0000_t75" style="width:77.25pt;height:49.5pt" o:ole="">
                  <v:imagedata r:id="rId30" o:title=""/>
                </v:shape>
                <o:OLEObject Type="Embed" ProgID="Excel.Sheet.12" ShapeID="_x0000_i1058" DrawAspect="Icon" ObjectID="_1603615182" r:id="rId31"/>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lastRenderedPageBreak/>
              <w:t>23.</w:t>
            </w:r>
          </w:p>
        </w:tc>
        <w:tc>
          <w:tcPr>
            <w:tcW w:w="8039" w:type="dxa"/>
            <w:shd w:val="clear" w:color="auto" w:fill="auto"/>
          </w:tcPr>
          <w:p w:rsidR="00E35183" w:rsidRDefault="002839D4" w:rsidP="00D617C9">
            <w:pPr>
              <w:jc w:val="both"/>
              <w:rPr>
                <w:rFonts w:ascii="Arial" w:hAnsi="Arial"/>
                <w:sz w:val="22"/>
              </w:rPr>
            </w:pPr>
            <w:hyperlink r:id="rId32" w:history="1">
              <w:r w:rsidR="00E35183" w:rsidRPr="00D617C9">
                <w:rPr>
                  <w:rFonts w:ascii="Arial" w:hAnsi="Arial"/>
                  <w:sz w:val="22"/>
                </w:rPr>
                <w:t>Raming van het minimumkapitaalvereiste – leven</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60" type="#_x0000_t75" style="width:77.25pt;height:49.5pt" o:ole="">
                  <v:imagedata r:id="rId33" o:title=""/>
                </v:shape>
                <o:OLEObject Type="Embed" ProgID="Excel.Sheet.12" ShapeID="_x0000_i1060" DrawAspect="Icon" ObjectID="_1603615183" r:id="rId34"/>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24.</w:t>
            </w:r>
          </w:p>
        </w:tc>
        <w:tc>
          <w:tcPr>
            <w:tcW w:w="8039" w:type="dxa"/>
            <w:shd w:val="clear" w:color="auto" w:fill="auto"/>
          </w:tcPr>
          <w:p w:rsidR="00E35183" w:rsidRDefault="002839D4" w:rsidP="00D617C9">
            <w:pPr>
              <w:jc w:val="both"/>
              <w:rPr>
                <w:rFonts w:ascii="Arial" w:hAnsi="Arial"/>
                <w:sz w:val="22"/>
              </w:rPr>
            </w:pPr>
            <w:hyperlink r:id="rId35" w:history="1">
              <w:r w:rsidR="00E35183" w:rsidRPr="00D617C9">
                <w:rPr>
                  <w:rFonts w:ascii="Arial" w:hAnsi="Arial"/>
                  <w:sz w:val="22"/>
                </w:rPr>
                <w:t>Raming van de financiële middelen</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62" type="#_x0000_t75" style="width:77.25pt;height:49.5pt" o:ole="">
                  <v:imagedata r:id="rId36" o:title=""/>
                </v:shape>
                <o:OLEObject Type="Embed" ProgID="Excel.Sheet.12" ShapeID="_x0000_i1062" DrawAspect="Icon" ObjectID="_1603615184" r:id="rId37"/>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25.</w:t>
            </w:r>
          </w:p>
        </w:tc>
        <w:tc>
          <w:tcPr>
            <w:tcW w:w="8039" w:type="dxa"/>
            <w:shd w:val="clear" w:color="auto" w:fill="auto"/>
          </w:tcPr>
          <w:p w:rsidR="00E35183" w:rsidRDefault="002839D4" w:rsidP="00D617C9">
            <w:pPr>
              <w:jc w:val="both"/>
              <w:rPr>
                <w:rFonts w:ascii="Arial" w:hAnsi="Arial"/>
                <w:sz w:val="22"/>
              </w:rPr>
            </w:pPr>
            <w:hyperlink r:id="rId38" w:history="1">
              <w:r w:rsidR="00E35183" w:rsidRPr="00D617C9">
                <w:rPr>
                  <w:rFonts w:ascii="Arial" w:hAnsi="Arial"/>
                  <w:sz w:val="22"/>
                </w:rPr>
                <w:t>Raming van de kosten, premies, bijdragen en schadegevallen – niet-leven</w:t>
              </w:r>
            </w:hyperlink>
          </w:p>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64" type="#_x0000_t75" style="width:77.25pt;height:49.5pt" o:ole="">
                  <v:imagedata r:id="rId39" o:title=""/>
                </v:shape>
                <o:OLEObject Type="Embed" ProgID="Excel.Sheet.12" ShapeID="_x0000_i1064" DrawAspect="Icon" ObjectID="_1603615185" r:id="rId40"/>
              </w:object>
            </w:r>
          </w:p>
        </w:tc>
      </w:tr>
      <w:tr w:rsidR="00E35183" w:rsidRPr="00D617C9" w:rsidTr="00191CAC">
        <w:tc>
          <w:tcPr>
            <w:tcW w:w="817" w:type="dxa"/>
            <w:shd w:val="clear" w:color="auto" w:fill="auto"/>
            <w:vAlign w:val="center"/>
          </w:tcPr>
          <w:p w:rsidR="00E35183" w:rsidRPr="00D617C9" w:rsidRDefault="00E35183" w:rsidP="00D617C9">
            <w:pPr>
              <w:jc w:val="both"/>
              <w:rPr>
                <w:rFonts w:ascii="Arial" w:hAnsi="Arial"/>
                <w:sz w:val="22"/>
              </w:rPr>
            </w:pPr>
            <w:r w:rsidRPr="00D617C9">
              <w:rPr>
                <w:rFonts w:ascii="Arial" w:hAnsi="Arial"/>
                <w:sz w:val="22"/>
              </w:rPr>
              <w:t>26.</w:t>
            </w:r>
          </w:p>
        </w:tc>
        <w:tc>
          <w:tcPr>
            <w:tcW w:w="8039" w:type="dxa"/>
            <w:shd w:val="clear" w:color="auto" w:fill="auto"/>
          </w:tcPr>
          <w:p w:rsidR="00E35183" w:rsidRDefault="002839D4" w:rsidP="00D617C9">
            <w:pPr>
              <w:jc w:val="both"/>
              <w:rPr>
                <w:rFonts w:ascii="Arial" w:hAnsi="Arial"/>
                <w:sz w:val="22"/>
              </w:rPr>
            </w:pPr>
            <w:hyperlink r:id="rId41" w:history="1">
              <w:r w:rsidR="00E35183" w:rsidRPr="00D617C9">
                <w:rPr>
                  <w:rFonts w:ascii="Arial" w:hAnsi="Arial"/>
                  <w:sz w:val="22"/>
                </w:rPr>
                <w:t>Raming van de kosten, premies, bijdragen en schadegevallen – leven</w:t>
              </w:r>
            </w:hyperlink>
          </w:p>
          <w:bookmarkStart w:id="4" w:name="_GoBack"/>
          <w:bookmarkEnd w:id="4"/>
          <w:p w:rsidR="0009447F" w:rsidRPr="00D617C9" w:rsidRDefault="002839D4" w:rsidP="00D617C9">
            <w:pPr>
              <w:jc w:val="both"/>
              <w:rPr>
                <w:rFonts w:ascii="Arial" w:hAnsi="Arial"/>
                <w:sz w:val="22"/>
              </w:rPr>
            </w:pPr>
            <w:r>
              <w:rPr>
                <w:rFonts w:ascii="Calibri" w:hAnsi="Calibri"/>
                <w:sz w:val="22"/>
                <w:szCs w:val="22"/>
                <w:lang w:val="fr-BE" w:eastAsia="fr-BE"/>
              </w:rPr>
              <w:object w:dxaOrig="1546" w:dyaOrig="991">
                <v:shape id="_x0000_i1066" type="#_x0000_t75" style="width:77.25pt;height:49.5pt" o:ole="">
                  <v:imagedata r:id="rId42" o:title=""/>
                </v:shape>
                <o:OLEObject Type="Embed" ProgID="Excel.Sheet.12" ShapeID="_x0000_i1066" DrawAspect="Icon" ObjectID="_1603615186" r:id="rId43"/>
              </w:object>
            </w:r>
          </w:p>
        </w:tc>
      </w:tr>
    </w:tbl>
    <w:p w:rsidR="00E35183" w:rsidRDefault="00E35183" w:rsidP="00E35183">
      <w:pPr>
        <w:jc w:val="both"/>
        <w:rPr>
          <w:rFonts w:ascii="Arial" w:hAnsi="Arial" w:cs="Arial"/>
        </w:rPr>
      </w:pPr>
    </w:p>
    <w:p w:rsidR="00B27D5F" w:rsidRDefault="002839D4"/>
    <w:p w:rsidR="00E35183" w:rsidRDefault="00E35183"/>
    <w:p w:rsidR="00E35183" w:rsidRDefault="00E35183"/>
    <w:p w:rsidR="00E35183" w:rsidRDefault="00E35183"/>
    <w:sectPr w:rsidR="00E351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183"/>
    <w:rsid w:val="0009447F"/>
    <w:rsid w:val="000D4531"/>
    <w:rsid w:val="002839D4"/>
    <w:rsid w:val="00661190"/>
    <w:rsid w:val="00D617C9"/>
    <w:rsid w:val="00E3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AD637815-7FCC-4434-888F-175136A6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183"/>
    <w:pPr>
      <w:spacing w:after="0" w:line="240" w:lineRule="auto"/>
    </w:pPr>
    <w:rPr>
      <w:rFonts w:ascii="Times New Roman" w:eastAsia="Times New Roman" w:hAnsi="Times New Roman" w:cs="Times New Roman"/>
      <w:sz w:val="24"/>
      <w:szCs w:val="24"/>
      <w:lang w:val="nl-NL" w:eastAsia="nl-NL"/>
    </w:rPr>
  </w:style>
  <w:style w:type="paragraph" w:styleId="Heading1">
    <w:name w:val="heading 1"/>
    <w:basedOn w:val="Normal"/>
    <w:next w:val="Normal"/>
    <w:link w:val="Heading1Char"/>
    <w:qFormat/>
    <w:rsid w:val="00E3518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183"/>
    <w:rPr>
      <w:rFonts w:ascii="Arial" w:eastAsia="Times New Roman" w:hAnsi="Arial" w:cs="Arial"/>
      <w:b/>
      <w:bCs/>
      <w:kern w:val="32"/>
      <w:sz w:val="32"/>
      <w:szCs w:val="32"/>
      <w:lang w:val="nl-NL" w:eastAsia="nl-NL"/>
    </w:rPr>
  </w:style>
  <w:style w:type="character" w:styleId="Hyperlink">
    <w:name w:val="Hyperlink"/>
    <w:rsid w:val="00E35183"/>
    <w:rPr>
      <w:color w:val="0000FF"/>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ps://www.nbb.be/nl/artikels/circulaire-nbb201302-deskundigheid-en-professionele-betrouwbaarheid-fit-proper" TargetMode="External"/><Relationship Id="rId18" Type="http://schemas.openxmlformats.org/officeDocument/2006/relationships/image" Target="media/image5.emf"/><Relationship Id="rId26" Type="http://schemas.openxmlformats.org/officeDocument/2006/relationships/hyperlink" Target="../Tsource-2017/21.xlsx" TargetMode="External"/><Relationship Id="rId39" Type="http://schemas.openxmlformats.org/officeDocument/2006/relationships/image" Target="media/image12.emf"/><Relationship Id="rId21" Type="http://schemas.openxmlformats.org/officeDocument/2006/relationships/image" Target="media/image6.emf"/><Relationship Id="rId34" Type="http://schemas.openxmlformats.org/officeDocument/2006/relationships/package" Target="embeddings/Microsoft_Excel_Worksheet8.xlsx"/><Relationship Id="rId42" Type="http://schemas.openxmlformats.org/officeDocument/2006/relationships/image" Target="media/image13.emf"/><Relationship Id="rId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package" Target="embeddings/Microsoft_Word_Document3.docx"/><Relationship Id="rId29" Type="http://schemas.openxmlformats.org/officeDocument/2006/relationships/hyperlink" Target="../Tsource-2017/22.xlsx" TargetMode="External"/><Relationship Id="rId1" Type="http://schemas.openxmlformats.org/officeDocument/2006/relationships/styles" Target="styles.xml"/><Relationship Id="rId6" Type="http://schemas.openxmlformats.org/officeDocument/2006/relationships/hyperlink" Target="../Tsource-2017/2.doc" TargetMode="External"/><Relationship Id="rId11" Type="http://schemas.openxmlformats.org/officeDocument/2006/relationships/package" Target="embeddings/Microsoft_Word_Document2.docx"/><Relationship Id="rId24" Type="http://schemas.openxmlformats.org/officeDocument/2006/relationships/image" Target="media/image7.emf"/><Relationship Id="rId32" Type="http://schemas.openxmlformats.org/officeDocument/2006/relationships/hyperlink" Target="../Tsource-2017/23.xlsx" TargetMode="External"/><Relationship Id="rId37" Type="http://schemas.openxmlformats.org/officeDocument/2006/relationships/package" Target="embeddings/Microsoft_Excel_Worksheet9.xlsx"/><Relationship Id="rId40" Type="http://schemas.openxmlformats.org/officeDocument/2006/relationships/package" Target="embeddings/Microsoft_Excel_Worksheet10.xlsx"/><Relationship Id="rId45" Type="http://schemas.openxmlformats.org/officeDocument/2006/relationships/theme" Target="theme/theme1.xml"/><Relationship Id="rId5" Type="http://schemas.openxmlformats.org/officeDocument/2006/relationships/package" Target="embeddings/Microsoft_Word_Document.docx"/><Relationship Id="rId15" Type="http://schemas.openxmlformats.org/officeDocument/2006/relationships/image" Target="media/image4.emf"/><Relationship Id="rId23" Type="http://schemas.openxmlformats.org/officeDocument/2006/relationships/hyperlink" Target="../Tsource-2017/20.xlsx" TargetMode="External"/><Relationship Id="rId28" Type="http://schemas.openxmlformats.org/officeDocument/2006/relationships/package" Target="embeddings/Microsoft_Excel_Worksheet6.xlsx"/><Relationship Id="rId36" Type="http://schemas.openxmlformats.org/officeDocument/2006/relationships/image" Target="media/image11.emf"/><Relationship Id="rId10" Type="http://schemas.openxmlformats.org/officeDocument/2006/relationships/image" Target="media/image3.emf"/><Relationship Id="rId19" Type="http://schemas.openxmlformats.org/officeDocument/2006/relationships/package" Target="embeddings/Microsoft_Excel_Worksheet.xlsx"/><Relationship Id="rId31" Type="http://schemas.openxmlformats.org/officeDocument/2006/relationships/package" Target="embeddings/Microsoft_Excel_Worksheet7.xlsx"/><Relationship Id="rId44"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Tsource-2017/3.doc" TargetMode="External"/><Relationship Id="rId14" Type="http://schemas.openxmlformats.org/officeDocument/2006/relationships/hyperlink" Target="../Tsource-2017/17.doc" TargetMode="External"/><Relationship Id="rId22" Type="http://schemas.openxmlformats.org/officeDocument/2006/relationships/package" Target="embeddings/Microsoft_Excel_Worksheet4.xlsx"/><Relationship Id="rId27" Type="http://schemas.openxmlformats.org/officeDocument/2006/relationships/image" Target="media/image8.emf"/><Relationship Id="rId30" Type="http://schemas.openxmlformats.org/officeDocument/2006/relationships/image" Target="media/image9.emf"/><Relationship Id="rId35" Type="http://schemas.openxmlformats.org/officeDocument/2006/relationships/hyperlink" Target="../Tsource-2017/24.xlsx" TargetMode="External"/><Relationship Id="rId43" Type="http://schemas.openxmlformats.org/officeDocument/2006/relationships/package" Target="embeddings/Microsoft_Excel_Worksheet11.xlsx"/><Relationship Id="rId8" Type="http://schemas.openxmlformats.org/officeDocument/2006/relationships/package" Target="embeddings/Microsoft_Word_Document1.docx"/><Relationship Id="rId3" Type="http://schemas.openxmlformats.org/officeDocument/2006/relationships/webSettings" Target="webSettings.xml"/><Relationship Id="rId12" Type="http://schemas.openxmlformats.org/officeDocument/2006/relationships/hyperlink" Target="https://www.nbb.be/nl/artikels/mededeling-cbfa200931-mededeling-aan-de-kandidaat-aandeelhouders-en-aan-de-overdragers" TargetMode="External"/><Relationship Id="rId17" Type="http://schemas.openxmlformats.org/officeDocument/2006/relationships/hyperlink" Target="../Tsource-2017/18.xlsx" TargetMode="External"/><Relationship Id="rId25" Type="http://schemas.openxmlformats.org/officeDocument/2006/relationships/package" Target="embeddings/Microsoft_Excel_Worksheet5.xlsx"/><Relationship Id="rId33" Type="http://schemas.openxmlformats.org/officeDocument/2006/relationships/image" Target="media/image10.emf"/><Relationship Id="rId38" Type="http://schemas.openxmlformats.org/officeDocument/2006/relationships/hyperlink" Target="../Tsource-2017/25.xlsx" TargetMode="External"/><Relationship Id="rId20" Type="http://schemas.openxmlformats.org/officeDocument/2006/relationships/hyperlink" Target="../Tsource-2017/19.xlsx" TargetMode="External"/><Relationship Id="rId41" Type="http://schemas.openxmlformats.org/officeDocument/2006/relationships/hyperlink" Target="../Tsource-2017/2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763</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Strypstein Nicolas</dc:creator>
  <cp:lastModifiedBy>Dame Jean-marie</cp:lastModifiedBy>
  <cp:revision>4</cp:revision>
  <dcterms:created xsi:type="dcterms:W3CDTF">2017-04-20T13:52:00Z</dcterms:created>
  <dcterms:modified xsi:type="dcterms:W3CDTF">2018-11-13T10:50:00Z</dcterms:modified>
</cp:coreProperties>
</file>