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074C" w14:textId="3413846F" w:rsidR="00096D8B" w:rsidRPr="00841A32" w:rsidRDefault="00096D8B">
      <w:pPr>
        <w:pBdr>
          <w:top w:val="single" w:sz="6" w:space="1" w:color="auto"/>
          <w:left w:val="single" w:sz="6" w:space="1" w:color="auto"/>
          <w:bottom w:val="single" w:sz="6" w:space="1" w:color="auto"/>
          <w:right w:val="single" w:sz="6" w:space="1" w:color="auto"/>
        </w:pBdr>
        <w:spacing w:line="240" w:lineRule="auto"/>
        <w:ind w:right="850"/>
        <w:jc w:val="center"/>
        <w:rPr>
          <w:sz w:val="20"/>
          <w:lang w:val="fr-FR"/>
        </w:rPr>
      </w:pPr>
      <w:r w:rsidRPr="00841A32">
        <w:rPr>
          <w:sz w:val="20"/>
          <w:lang w:val="fr-FR"/>
        </w:rPr>
        <w:t xml:space="preserve">  NOTICE EXPLICATIVE DU QUESTIONNAIRE</w:t>
      </w:r>
      <w:r w:rsidR="002A3DE9">
        <w:rPr>
          <w:sz w:val="20"/>
          <w:lang w:val="fr-FR"/>
        </w:rPr>
        <w:t xml:space="preserve"> CBFA</w:t>
      </w:r>
    </w:p>
    <w:p w14:paraId="3AAEC35B" w14:textId="77777777" w:rsidR="00096D8B" w:rsidRPr="00841A32" w:rsidRDefault="00096D8B">
      <w:pPr>
        <w:spacing w:line="240" w:lineRule="auto"/>
        <w:ind w:right="850"/>
        <w:rPr>
          <w:sz w:val="20"/>
          <w:lang w:val="fr-FR"/>
        </w:rPr>
      </w:pPr>
      <w:r w:rsidRPr="00841A32">
        <w:rPr>
          <w:sz w:val="20"/>
          <w:lang w:val="fr-FR"/>
        </w:rPr>
        <w:tab/>
      </w:r>
    </w:p>
    <w:p w14:paraId="5D893E3E" w14:textId="77777777" w:rsidR="00096D8B" w:rsidRPr="00841A32" w:rsidRDefault="00096D8B">
      <w:pPr>
        <w:spacing w:line="240" w:lineRule="auto"/>
        <w:ind w:right="850"/>
        <w:rPr>
          <w:sz w:val="20"/>
          <w:lang w:val="fr-FR"/>
        </w:rPr>
      </w:pPr>
      <w:r w:rsidRPr="00841A32">
        <w:rPr>
          <w:sz w:val="20"/>
          <w:lang w:val="fr-FR"/>
        </w:rPr>
        <w:t xml:space="preserve">Le formulaire d'enquête comprend deux parties. La première partie concerne </w:t>
      </w:r>
      <w:r w:rsidR="007C0978" w:rsidRPr="00841A32">
        <w:rPr>
          <w:sz w:val="20"/>
          <w:lang w:val="fr-FR"/>
        </w:rPr>
        <w:t>votre signalétique ainsi que vos remarques éventuelles</w:t>
      </w:r>
      <w:r w:rsidRPr="00841A32">
        <w:rPr>
          <w:sz w:val="20"/>
          <w:lang w:val="fr-FR"/>
        </w:rPr>
        <w:t xml:space="preserve">. Dans la seconde partie, on vous demande de détailler certaines données de votre comptabilité (soit à propos du compte de résultats, soit à propos des annexes). </w:t>
      </w:r>
    </w:p>
    <w:p w14:paraId="7525B599" w14:textId="77777777" w:rsidR="00096D8B" w:rsidRPr="00841A32" w:rsidRDefault="00096D8B">
      <w:pPr>
        <w:spacing w:line="240" w:lineRule="auto"/>
        <w:ind w:right="850"/>
        <w:rPr>
          <w:sz w:val="20"/>
          <w:lang w:val="fr-FR"/>
        </w:rPr>
      </w:pPr>
    </w:p>
    <w:p w14:paraId="42B4B00F" w14:textId="77777777" w:rsidR="00096D8B" w:rsidRPr="00841A32" w:rsidRDefault="00096D8B">
      <w:pPr>
        <w:spacing w:line="240" w:lineRule="auto"/>
        <w:ind w:right="850"/>
        <w:rPr>
          <w:sz w:val="20"/>
          <w:u w:val="single"/>
          <w:lang w:val="fr-FR"/>
        </w:rPr>
      </w:pPr>
      <w:r w:rsidRPr="00841A32">
        <w:rPr>
          <w:sz w:val="20"/>
          <w:u w:val="single"/>
          <w:lang w:val="fr-FR"/>
        </w:rPr>
        <w:t>DONNEES GENERALES</w:t>
      </w:r>
    </w:p>
    <w:p w14:paraId="28D3047F" w14:textId="77777777" w:rsidR="00096D8B" w:rsidRPr="00841A32" w:rsidRDefault="00096D8B">
      <w:pPr>
        <w:spacing w:line="240" w:lineRule="auto"/>
        <w:ind w:right="850"/>
        <w:rPr>
          <w:sz w:val="20"/>
          <w:lang w:val="fr-FR"/>
        </w:rPr>
      </w:pPr>
    </w:p>
    <w:p w14:paraId="426035D5" w14:textId="77777777" w:rsidR="00096D8B" w:rsidRPr="00841A32" w:rsidRDefault="00096D8B">
      <w:pPr>
        <w:spacing w:line="240" w:lineRule="auto"/>
        <w:ind w:right="850"/>
        <w:rPr>
          <w:sz w:val="20"/>
          <w:lang w:val="fr-FR"/>
        </w:rPr>
      </w:pPr>
    </w:p>
    <w:p w14:paraId="7FFE00F8" w14:textId="77777777" w:rsidR="00096D8B" w:rsidRPr="00841A32" w:rsidRDefault="00C03835">
      <w:pPr>
        <w:spacing w:line="240" w:lineRule="auto"/>
        <w:ind w:right="850"/>
        <w:rPr>
          <w:sz w:val="20"/>
          <w:u w:val="single"/>
          <w:lang w:val="fr-FR"/>
        </w:rPr>
      </w:pPr>
      <w:r w:rsidRPr="00841A32">
        <w:rPr>
          <w:sz w:val="20"/>
          <w:u w:val="single"/>
          <w:lang w:val="fr-FR"/>
        </w:rPr>
        <w:t>SIGNALÉTIQUE</w:t>
      </w:r>
      <w:r w:rsidR="003E5DB0" w:rsidRPr="00841A32">
        <w:rPr>
          <w:sz w:val="20"/>
          <w:u w:val="single"/>
          <w:lang w:val="fr-FR"/>
        </w:rPr>
        <w:t xml:space="preserve"> &amp; REMARQUES</w:t>
      </w:r>
    </w:p>
    <w:p w14:paraId="4E782D11" w14:textId="77777777" w:rsidR="00096D8B" w:rsidRPr="00841A32" w:rsidRDefault="00096D8B">
      <w:pPr>
        <w:spacing w:line="240" w:lineRule="auto"/>
        <w:ind w:right="850"/>
        <w:rPr>
          <w:sz w:val="20"/>
          <w:lang w:val="fr-FR"/>
        </w:rPr>
      </w:pPr>
    </w:p>
    <w:p w14:paraId="7365D27E"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 xml:space="preserve">L’information demandée concerne l’entreprise en tant qu’unité juridique, </w:t>
      </w:r>
      <w:r w:rsidR="00695AEE" w:rsidRPr="00841A32">
        <w:rPr>
          <w:sz w:val="20"/>
          <w:lang w:val="fr-FR"/>
        </w:rPr>
        <w:t>(</w:t>
      </w:r>
      <w:r w:rsidRPr="00841A32">
        <w:rPr>
          <w:sz w:val="20"/>
          <w:lang w:val="fr-FR"/>
        </w:rPr>
        <w:t>déterminée par le numéro de TVA ou le numéro national à l’exclusion de toute autre unité juridique même si celle-ci appartient au même groupe). L’entreprise est une personne morale ou physique (par exemple société, institution, association, intercommunale, indépendant ou profession libérale) qui exerce une ou plusieurs activités dans un ou plusieurs lieux. Les succursales et les centres d’occupation en Belgique d’entreprises étrangères sont incluses ici. Leurs activités sur le territoire belge doivent être prises en compte.</w:t>
      </w:r>
      <w:r w:rsidR="003E5DB0" w:rsidRPr="00841A32">
        <w:rPr>
          <w:sz w:val="20"/>
          <w:lang w:val="fr-FR"/>
        </w:rPr>
        <w:t xml:space="preserve"> </w:t>
      </w:r>
    </w:p>
    <w:p w14:paraId="24492C81" w14:textId="77777777" w:rsidR="00096D8B" w:rsidRPr="00841A32" w:rsidRDefault="00096D8B">
      <w:pPr>
        <w:spacing w:line="240" w:lineRule="auto"/>
        <w:ind w:right="850"/>
        <w:rPr>
          <w:sz w:val="20"/>
          <w:lang w:val="fr-FR"/>
        </w:rPr>
      </w:pPr>
    </w:p>
    <w:p w14:paraId="263D06BD" w14:textId="77777777" w:rsidR="00096D8B" w:rsidRPr="00841A32" w:rsidRDefault="00096D8B">
      <w:pPr>
        <w:spacing w:line="240" w:lineRule="auto"/>
        <w:ind w:right="850"/>
        <w:rPr>
          <w:sz w:val="20"/>
          <w:u w:val="single"/>
          <w:lang w:val="fr-FR"/>
        </w:rPr>
      </w:pPr>
    </w:p>
    <w:p w14:paraId="0E384B24" w14:textId="77777777" w:rsidR="00096D8B" w:rsidRPr="00841A32" w:rsidRDefault="00096D8B">
      <w:pPr>
        <w:spacing w:line="240" w:lineRule="auto"/>
        <w:ind w:right="850"/>
        <w:rPr>
          <w:sz w:val="20"/>
          <w:u w:val="single"/>
          <w:lang w:val="fr-FR"/>
        </w:rPr>
      </w:pPr>
      <w:r w:rsidRPr="00841A32">
        <w:rPr>
          <w:sz w:val="20"/>
          <w:u w:val="single"/>
          <w:lang w:val="fr-FR"/>
        </w:rPr>
        <w:t>PARTIE  COMPTABLE</w:t>
      </w:r>
    </w:p>
    <w:p w14:paraId="20A76CB0" w14:textId="77777777" w:rsidR="00096D8B" w:rsidRPr="00841A32" w:rsidRDefault="00096D8B">
      <w:pPr>
        <w:spacing w:line="240" w:lineRule="auto"/>
        <w:ind w:right="850"/>
        <w:rPr>
          <w:sz w:val="20"/>
          <w:lang w:val="fr-FR"/>
        </w:rPr>
      </w:pPr>
    </w:p>
    <w:p w14:paraId="52014FC9" w14:textId="77777777" w:rsidR="00096D8B" w:rsidRPr="00841A32" w:rsidRDefault="00096D8B">
      <w:pPr>
        <w:spacing w:line="240" w:lineRule="auto"/>
        <w:ind w:right="850"/>
        <w:rPr>
          <w:sz w:val="20"/>
          <w:lang w:val="fr-FR"/>
        </w:rPr>
      </w:pPr>
    </w:p>
    <w:p w14:paraId="175EC689" w14:textId="77777777" w:rsidR="00096D8B" w:rsidRPr="00841A32" w:rsidRDefault="00096D8B">
      <w:pPr>
        <w:spacing w:line="240" w:lineRule="auto"/>
        <w:ind w:right="850"/>
        <w:rPr>
          <w:sz w:val="20"/>
          <w:lang w:val="fr-FR"/>
        </w:rPr>
      </w:pPr>
      <w:r w:rsidRPr="00841A32">
        <w:rPr>
          <w:sz w:val="20"/>
          <w:u w:val="single"/>
          <w:lang w:val="fr-FR"/>
        </w:rPr>
        <w:t>Quelques remarques générales</w:t>
      </w:r>
      <w:r w:rsidRPr="00841A32">
        <w:rPr>
          <w:sz w:val="20"/>
          <w:lang w:val="fr-FR"/>
        </w:rPr>
        <w:tab/>
      </w:r>
      <w:r w:rsidRPr="00841A32">
        <w:rPr>
          <w:sz w:val="20"/>
          <w:lang w:val="fr-FR"/>
        </w:rPr>
        <w:tab/>
      </w:r>
    </w:p>
    <w:p w14:paraId="29F33A8E" w14:textId="77777777" w:rsidR="00096D8B" w:rsidRPr="00841A32" w:rsidRDefault="00096D8B">
      <w:pPr>
        <w:spacing w:line="240" w:lineRule="auto"/>
        <w:ind w:right="850"/>
        <w:rPr>
          <w:sz w:val="20"/>
          <w:lang w:val="fr-FR"/>
        </w:rPr>
      </w:pPr>
    </w:p>
    <w:p w14:paraId="731A29AE" w14:textId="77777777" w:rsidR="00096D8B" w:rsidRPr="00841A32" w:rsidRDefault="00096D8B">
      <w:pPr>
        <w:spacing w:line="240" w:lineRule="auto"/>
        <w:ind w:right="850"/>
        <w:rPr>
          <w:sz w:val="20"/>
          <w:lang w:val="fr-FR"/>
        </w:rPr>
      </w:pPr>
      <w:r w:rsidRPr="00841A32">
        <w:rPr>
          <w:sz w:val="20"/>
          <w:lang w:val="fr-FR"/>
        </w:rPr>
        <w:t>Les informations demandées concernent les données comptables non consolidées relatives au dernier exercice clôturé de l'entreprise.</w:t>
      </w:r>
      <w:r w:rsidRPr="00841A32">
        <w:rPr>
          <w:sz w:val="20"/>
          <w:lang w:val="fr-FR"/>
        </w:rPr>
        <w:tab/>
      </w:r>
    </w:p>
    <w:p w14:paraId="4DBDFF15" w14:textId="77777777" w:rsidR="00096D8B" w:rsidRPr="00841A32" w:rsidRDefault="00096D8B">
      <w:pPr>
        <w:spacing w:line="240" w:lineRule="auto"/>
        <w:ind w:right="850"/>
        <w:rPr>
          <w:sz w:val="20"/>
          <w:lang w:val="fr-FR"/>
        </w:rPr>
      </w:pPr>
    </w:p>
    <w:p w14:paraId="0CEFA0AC" w14:textId="77777777" w:rsidR="00096D8B" w:rsidRPr="00841A32" w:rsidRDefault="00096D8B">
      <w:pPr>
        <w:spacing w:line="240" w:lineRule="auto"/>
        <w:ind w:right="850"/>
        <w:rPr>
          <w:sz w:val="20"/>
          <w:lang w:val="fr-FR"/>
        </w:rPr>
      </w:pPr>
      <w:r w:rsidRPr="00841A32">
        <w:rPr>
          <w:sz w:val="20"/>
          <w:lang w:val="fr-FR"/>
        </w:rPr>
        <w:t xml:space="preserve">L'enquête suit autant que possible le schéma comptable défini par l’Arrêté Royal du 17 novembre 1994. Les numéros de compte correspondants et les regroupements éventuels sont indiqués </w:t>
      </w:r>
      <w:r w:rsidR="004C5874" w:rsidRPr="00841A32">
        <w:rPr>
          <w:sz w:val="20"/>
          <w:lang w:val="fr-FR"/>
        </w:rPr>
        <w:t xml:space="preserve">soit </w:t>
      </w:r>
      <w:r w:rsidRPr="00841A32">
        <w:rPr>
          <w:sz w:val="20"/>
          <w:lang w:val="fr-FR"/>
        </w:rPr>
        <w:t>dans une colonne spéciale après l'intitulé de la rubrique</w:t>
      </w:r>
      <w:r w:rsidR="004C5874" w:rsidRPr="00841A32">
        <w:rPr>
          <w:sz w:val="20"/>
          <w:lang w:val="fr-FR"/>
        </w:rPr>
        <w:t>, soit dans le titre de la rubrique</w:t>
      </w:r>
      <w:r w:rsidRPr="00841A32">
        <w:rPr>
          <w:sz w:val="20"/>
          <w:lang w:val="fr-FR"/>
        </w:rPr>
        <w:t>.</w:t>
      </w:r>
    </w:p>
    <w:p w14:paraId="5FF3AA5E" w14:textId="77777777" w:rsidR="00096D8B" w:rsidRPr="00841A32" w:rsidRDefault="00096D8B">
      <w:pPr>
        <w:spacing w:line="240" w:lineRule="auto"/>
        <w:ind w:right="850"/>
        <w:rPr>
          <w:sz w:val="20"/>
          <w:lang w:val="fr-FR"/>
        </w:rPr>
      </w:pPr>
    </w:p>
    <w:p w14:paraId="21DBC7B8" w14:textId="77777777" w:rsidR="00096D8B" w:rsidRPr="00841A32" w:rsidRDefault="00096D8B">
      <w:pPr>
        <w:spacing w:line="240" w:lineRule="auto"/>
        <w:ind w:right="850"/>
        <w:rPr>
          <w:sz w:val="20"/>
          <w:lang w:val="fr-FR"/>
        </w:rPr>
      </w:pPr>
      <w:r w:rsidRPr="00841A32">
        <w:rPr>
          <w:sz w:val="20"/>
          <w:lang w:val="fr-FR"/>
        </w:rPr>
        <w:t>A l'exception de la répartition en pour cent des primes par type de destinataire (tableau IV), toutes les réponses doivent être exprimées en unités d'euros.</w:t>
      </w:r>
      <w:r w:rsidRPr="00841A32">
        <w:rPr>
          <w:sz w:val="20"/>
          <w:lang w:val="fr-FR"/>
        </w:rPr>
        <w:tab/>
      </w:r>
    </w:p>
    <w:p w14:paraId="0789A315" w14:textId="77777777" w:rsidR="00096D8B" w:rsidRPr="00841A32" w:rsidRDefault="00096D8B">
      <w:pPr>
        <w:spacing w:line="240" w:lineRule="auto"/>
        <w:ind w:right="850"/>
        <w:rPr>
          <w:sz w:val="20"/>
          <w:lang w:val="fr-FR"/>
        </w:rPr>
      </w:pPr>
    </w:p>
    <w:p w14:paraId="464209D0" w14:textId="77777777" w:rsidR="00096D8B" w:rsidRPr="00841A32" w:rsidRDefault="00096D8B">
      <w:pPr>
        <w:spacing w:line="240" w:lineRule="auto"/>
        <w:ind w:right="850"/>
        <w:rPr>
          <w:sz w:val="20"/>
          <w:lang w:val="fr-FR"/>
        </w:rPr>
      </w:pPr>
    </w:p>
    <w:p w14:paraId="6E7F3857" w14:textId="77777777" w:rsidR="00096D8B" w:rsidRPr="00841A32" w:rsidRDefault="00096D8B">
      <w:pPr>
        <w:spacing w:line="240" w:lineRule="auto"/>
        <w:ind w:right="850"/>
        <w:rPr>
          <w:sz w:val="20"/>
          <w:u w:val="single"/>
          <w:lang w:val="fr-FR"/>
        </w:rPr>
      </w:pPr>
      <w:r w:rsidRPr="00841A32">
        <w:rPr>
          <w:sz w:val="20"/>
          <w:u w:val="single"/>
          <w:lang w:val="fr-FR"/>
        </w:rPr>
        <w:t>Remarques par tableaux</w:t>
      </w:r>
    </w:p>
    <w:p w14:paraId="21A16242" w14:textId="77777777" w:rsidR="00096D8B" w:rsidRPr="00841A32" w:rsidRDefault="00096D8B">
      <w:pPr>
        <w:spacing w:line="240" w:lineRule="auto"/>
        <w:ind w:right="850"/>
        <w:rPr>
          <w:sz w:val="20"/>
          <w:u w:val="single"/>
          <w:lang w:val="fr-FR"/>
        </w:rPr>
      </w:pPr>
    </w:p>
    <w:p w14:paraId="4743532B" w14:textId="77777777" w:rsidR="00096D8B" w:rsidRPr="00841A32" w:rsidRDefault="00096D8B">
      <w:pPr>
        <w:spacing w:line="240" w:lineRule="auto"/>
        <w:ind w:right="850"/>
        <w:rPr>
          <w:sz w:val="20"/>
          <w:lang w:val="fr-FR"/>
        </w:rPr>
      </w:pPr>
    </w:p>
    <w:p w14:paraId="7CDA869D" w14:textId="77777777" w:rsidR="00096D8B" w:rsidRPr="00841A32" w:rsidRDefault="00096D8B">
      <w:pPr>
        <w:spacing w:line="240" w:lineRule="auto"/>
        <w:ind w:right="850"/>
        <w:rPr>
          <w:sz w:val="20"/>
          <w:u w:val="single"/>
          <w:lang w:val="fr-FR"/>
        </w:rPr>
      </w:pPr>
      <w:r w:rsidRPr="00841A32">
        <w:rPr>
          <w:sz w:val="20"/>
          <w:u w:val="single"/>
          <w:lang w:val="fr-FR"/>
        </w:rPr>
        <w:t>TABLEAU I - AFFAIRES DIRECTES A L’ETRANGER</w:t>
      </w:r>
    </w:p>
    <w:p w14:paraId="666B27C0" w14:textId="77777777" w:rsidR="00096D8B" w:rsidRPr="00841A32" w:rsidRDefault="00096D8B">
      <w:pPr>
        <w:spacing w:line="240" w:lineRule="auto"/>
        <w:ind w:right="850"/>
        <w:rPr>
          <w:sz w:val="20"/>
          <w:u w:val="single"/>
          <w:lang w:val="fr-FR"/>
        </w:rPr>
      </w:pPr>
    </w:p>
    <w:p w14:paraId="37E0CE30" w14:textId="77777777" w:rsidR="00096D8B" w:rsidRPr="00841A32" w:rsidRDefault="00E97C9B">
      <w:pPr>
        <w:spacing w:line="240" w:lineRule="auto"/>
        <w:ind w:right="850"/>
        <w:rPr>
          <w:sz w:val="20"/>
          <w:lang w:val="fr-FR"/>
        </w:rPr>
      </w:pPr>
      <w:r w:rsidRPr="00841A32">
        <w:rPr>
          <w:sz w:val="20"/>
          <w:lang w:val="fr-FR"/>
        </w:rPr>
        <w:t>I</w:t>
      </w:r>
      <w:r w:rsidR="00096D8B" w:rsidRPr="00841A32">
        <w:rPr>
          <w:sz w:val="20"/>
          <w:lang w:val="fr-FR"/>
        </w:rPr>
        <w:t>l est demandé de ventiler divers postes de la colonne “Opérations d’assurance directe à l’étranger” (colonne</w:t>
      </w:r>
      <w:r w:rsidR="001E4127" w:rsidRPr="00841A32">
        <w:rPr>
          <w:sz w:val="20"/>
          <w:lang w:val="fr-FR"/>
        </w:rPr>
        <w:t> </w:t>
      </w:r>
      <w:r w:rsidR="00096D8B" w:rsidRPr="00841A32">
        <w:rPr>
          <w:sz w:val="20"/>
          <w:lang w:val="fr-FR"/>
        </w:rPr>
        <w:t>04 des comptes techniques détaillés vie et non vie) entre les affaires réalisées via un établissement situé à l’étranger et les affaires directes à l’étranger, c’est à dire réalisées à partir des établissements situés en Belgique. Ces renseignements servent à calculer les importations et exportations de services d’assurance.</w:t>
      </w:r>
    </w:p>
    <w:p w14:paraId="4652CE52" w14:textId="77777777" w:rsidR="00096D8B" w:rsidRPr="00841A32" w:rsidRDefault="00096D8B">
      <w:pPr>
        <w:spacing w:line="240" w:lineRule="auto"/>
        <w:ind w:right="850"/>
        <w:rPr>
          <w:sz w:val="20"/>
          <w:lang w:val="fr-FR"/>
        </w:rPr>
      </w:pPr>
    </w:p>
    <w:p w14:paraId="71C1F32E" w14:textId="77777777" w:rsidR="00096D8B" w:rsidRPr="00841A32" w:rsidRDefault="00096D8B">
      <w:pPr>
        <w:spacing w:line="240" w:lineRule="auto"/>
        <w:ind w:right="850"/>
        <w:rPr>
          <w:sz w:val="20"/>
          <w:u w:val="single"/>
          <w:lang w:val="fr-FR"/>
        </w:rPr>
      </w:pPr>
    </w:p>
    <w:p w14:paraId="389B3248" w14:textId="77777777" w:rsidR="00096D8B" w:rsidRPr="00841A32" w:rsidRDefault="00096D8B">
      <w:pPr>
        <w:spacing w:line="240" w:lineRule="auto"/>
        <w:ind w:right="850"/>
        <w:rPr>
          <w:sz w:val="20"/>
          <w:u w:val="single"/>
          <w:lang w:val="fr-FR"/>
        </w:rPr>
      </w:pPr>
      <w:r w:rsidRPr="00841A32">
        <w:rPr>
          <w:sz w:val="20"/>
          <w:u w:val="single"/>
          <w:lang w:val="fr-FR"/>
        </w:rPr>
        <w:t>TABLEAU II - R</w:t>
      </w:r>
      <w:r w:rsidR="00E97C9B" w:rsidRPr="00841A32">
        <w:rPr>
          <w:sz w:val="20"/>
          <w:u w:val="single"/>
          <w:lang w:val="fr-FR"/>
        </w:rPr>
        <w:t>É</w:t>
      </w:r>
      <w:r w:rsidRPr="00841A32">
        <w:rPr>
          <w:sz w:val="20"/>
          <w:u w:val="single"/>
          <w:lang w:val="fr-FR"/>
        </w:rPr>
        <w:t>ASSURANCE ACCEPT</w:t>
      </w:r>
      <w:r w:rsidR="00E97C9B" w:rsidRPr="00841A32">
        <w:rPr>
          <w:sz w:val="20"/>
          <w:u w:val="single"/>
          <w:lang w:val="fr-FR"/>
        </w:rPr>
        <w:t>É</w:t>
      </w:r>
      <w:r w:rsidRPr="00841A32">
        <w:rPr>
          <w:sz w:val="20"/>
          <w:u w:val="single"/>
          <w:lang w:val="fr-FR"/>
        </w:rPr>
        <w:t>E</w:t>
      </w:r>
      <w:r w:rsidR="00E97C9B" w:rsidRPr="00841A32">
        <w:rPr>
          <w:sz w:val="20"/>
          <w:u w:val="single"/>
          <w:lang w:val="fr-FR"/>
        </w:rPr>
        <w:t xml:space="preserve"> ET CÉDÉE</w:t>
      </w:r>
    </w:p>
    <w:p w14:paraId="34E4D6B0" w14:textId="77777777" w:rsidR="00096D8B" w:rsidRPr="00841A32" w:rsidRDefault="00096D8B">
      <w:pPr>
        <w:spacing w:line="240" w:lineRule="auto"/>
        <w:ind w:right="850"/>
        <w:rPr>
          <w:sz w:val="20"/>
          <w:u w:val="single"/>
          <w:lang w:val="fr-FR"/>
        </w:rPr>
      </w:pPr>
    </w:p>
    <w:p w14:paraId="4A0CF24E" w14:textId="77777777" w:rsidR="00096D8B" w:rsidRPr="00841A32" w:rsidRDefault="00E97C9B">
      <w:pPr>
        <w:spacing w:line="240" w:lineRule="auto"/>
        <w:ind w:right="850"/>
        <w:rPr>
          <w:sz w:val="20"/>
          <w:lang w:val="fr-FR"/>
        </w:rPr>
      </w:pPr>
      <w:r w:rsidRPr="00841A32">
        <w:rPr>
          <w:sz w:val="20"/>
          <w:lang w:val="fr-FR"/>
        </w:rPr>
        <w:t>Pour ce qui est de la réassurance acceptée, i</w:t>
      </w:r>
      <w:r w:rsidR="00096D8B" w:rsidRPr="00841A32">
        <w:rPr>
          <w:sz w:val="20"/>
          <w:lang w:val="fr-FR"/>
        </w:rPr>
        <w:t>l est demandé de ventiler divers postes de la colonne “Opérations de réassurance” (colonne 05 des comptes techniques détaillés  vie et non vie)  entre les affaires réalisées avec des institutions ou entreprises résidant en Belgique et les affaires réalisées avec des institutions ou entreprises résidant à l’étranger. Le critère de la ventilation est donc la résidence des contreparties, et non leur nationalité ou le lieu du risque assuré.</w:t>
      </w:r>
    </w:p>
    <w:p w14:paraId="6DB88867" w14:textId="77777777" w:rsidR="00096D8B" w:rsidRPr="00841A32" w:rsidRDefault="00096D8B">
      <w:pPr>
        <w:spacing w:line="240" w:lineRule="auto"/>
        <w:ind w:right="850"/>
        <w:rPr>
          <w:sz w:val="20"/>
          <w:lang w:val="fr-FR"/>
        </w:rPr>
      </w:pPr>
    </w:p>
    <w:p w14:paraId="5B55D11A" w14:textId="77777777" w:rsidR="00096D8B" w:rsidRPr="00841A32" w:rsidRDefault="00E97C9B">
      <w:pPr>
        <w:spacing w:line="240" w:lineRule="auto"/>
        <w:ind w:right="850"/>
        <w:rPr>
          <w:sz w:val="20"/>
          <w:lang w:val="fr-FR"/>
        </w:rPr>
      </w:pPr>
      <w:r w:rsidRPr="00841A32">
        <w:rPr>
          <w:sz w:val="20"/>
          <w:lang w:val="fr-FR"/>
        </w:rPr>
        <w:t>En ce qui concerne la réassurance cédée, i</w:t>
      </w:r>
      <w:r w:rsidR="00096D8B" w:rsidRPr="00841A32">
        <w:rPr>
          <w:sz w:val="20"/>
          <w:lang w:val="fr-FR"/>
        </w:rPr>
        <w:t>l est demandé de ventiler divers postes se rapportant à la réassurance cédée (colonne 00 des comptes techniques détaillés vie et non vie) entre la réassurance cédée à des institutions ou entreprises résidant en Belgique et la réassurance cédée à des institutions ou entreprises résidant à l’étranger. Le critère de la ventilation est donc la résidence des réassureurs constituant les contreparties, et non leur nationalité ou le lieu du risque assuré.</w:t>
      </w:r>
    </w:p>
    <w:p w14:paraId="0643ABB0" w14:textId="77777777" w:rsidR="00096D8B" w:rsidRPr="00841A32" w:rsidRDefault="00096D8B">
      <w:pPr>
        <w:spacing w:line="240" w:lineRule="auto"/>
        <w:ind w:right="850"/>
        <w:rPr>
          <w:sz w:val="20"/>
          <w:lang w:val="fr-FR"/>
        </w:rPr>
      </w:pPr>
    </w:p>
    <w:p w14:paraId="6D1E3F39" w14:textId="77777777" w:rsidR="00096D8B" w:rsidRPr="00841A32" w:rsidRDefault="00096D8B">
      <w:pPr>
        <w:spacing w:line="240" w:lineRule="auto"/>
        <w:ind w:right="850"/>
        <w:rPr>
          <w:sz w:val="20"/>
          <w:lang w:val="fr-FR"/>
        </w:rPr>
      </w:pPr>
    </w:p>
    <w:p w14:paraId="3C6C6811" w14:textId="77777777" w:rsidR="00096D8B" w:rsidRPr="00841A32" w:rsidRDefault="00096D8B">
      <w:pPr>
        <w:spacing w:line="240" w:lineRule="auto"/>
        <w:ind w:right="850"/>
        <w:rPr>
          <w:sz w:val="20"/>
          <w:u w:val="single"/>
          <w:lang w:val="fr-FR"/>
        </w:rPr>
      </w:pPr>
      <w:r w:rsidRPr="00841A32">
        <w:rPr>
          <w:sz w:val="20"/>
          <w:u w:val="single"/>
          <w:lang w:val="fr-FR"/>
        </w:rPr>
        <w:t xml:space="preserve">TABLEAU </w:t>
      </w:r>
      <w:r w:rsidR="00E97C9B" w:rsidRPr="00841A32">
        <w:rPr>
          <w:sz w:val="20"/>
          <w:u w:val="single"/>
          <w:lang w:val="fr-FR"/>
        </w:rPr>
        <w:t>III</w:t>
      </w:r>
      <w:r w:rsidRPr="00841A32">
        <w:rPr>
          <w:sz w:val="20"/>
          <w:u w:val="single"/>
          <w:lang w:val="fr-FR"/>
        </w:rPr>
        <w:t xml:space="preserve"> - R</w:t>
      </w:r>
      <w:r w:rsidR="003A405F" w:rsidRPr="00841A32">
        <w:rPr>
          <w:sz w:val="20"/>
          <w:u w:val="single"/>
          <w:lang w:val="fr-FR"/>
        </w:rPr>
        <w:t>É</w:t>
      </w:r>
      <w:r w:rsidRPr="00841A32">
        <w:rPr>
          <w:sz w:val="20"/>
          <w:u w:val="single"/>
          <w:lang w:val="fr-FR"/>
        </w:rPr>
        <w:t xml:space="preserve">PARTITION DES </w:t>
      </w:r>
      <w:r w:rsidR="003A405F" w:rsidRPr="00841A32">
        <w:rPr>
          <w:sz w:val="20"/>
          <w:u w:val="single"/>
          <w:lang w:val="fr-FR"/>
        </w:rPr>
        <w:t>INDEMNITÉ</w:t>
      </w:r>
      <w:r w:rsidRPr="00841A32">
        <w:rPr>
          <w:sz w:val="20"/>
          <w:u w:val="single"/>
          <w:lang w:val="fr-FR"/>
        </w:rPr>
        <w:t>S</w:t>
      </w:r>
      <w:r w:rsidR="003A405F" w:rsidRPr="00841A32">
        <w:rPr>
          <w:sz w:val="20"/>
          <w:u w:val="single"/>
          <w:lang w:val="fr-FR"/>
        </w:rPr>
        <w:t xml:space="preserve"> RELATIVES AUX</w:t>
      </w:r>
      <w:r w:rsidRPr="00841A32">
        <w:rPr>
          <w:sz w:val="20"/>
          <w:u w:val="single"/>
          <w:lang w:val="fr-FR"/>
        </w:rPr>
        <w:t xml:space="preserve"> BRANCHES "AUTOMOBILE" PAR TYPE</w:t>
      </w:r>
      <w:r w:rsidR="003A405F" w:rsidRPr="00841A32">
        <w:rPr>
          <w:sz w:val="20"/>
          <w:u w:val="single"/>
          <w:lang w:val="fr-FR"/>
        </w:rPr>
        <w:t>S</w:t>
      </w:r>
      <w:r w:rsidRPr="00841A32">
        <w:rPr>
          <w:sz w:val="20"/>
          <w:u w:val="single"/>
          <w:lang w:val="fr-FR"/>
        </w:rPr>
        <w:t xml:space="preserve"> DE DESTINATAIRE</w:t>
      </w:r>
      <w:r w:rsidR="003A405F" w:rsidRPr="00841A32">
        <w:rPr>
          <w:sz w:val="20"/>
          <w:u w:val="single"/>
          <w:lang w:val="fr-FR"/>
        </w:rPr>
        <w:t>S</w:t>
      </w:r>
    </w:p>
    <w:p w14:paraId="25E11F7B" w14:textId="77777777" w:rsidR="00096D8B" w:rsidRPr="00841A32" w:rsidRDefault="00096D8B">
      <w:pPr>
        <w:spacing w:line="240" w:lineRule="auto"/>
        <w:ind w:right="850"/>
        <w:rPr>
          <w:sz w:val="20"/>
          <w:lang w:val="fr-FR"/>
        </w:rPr>
      </w:pPr>
    </w:p>
    <w:p w14:paraId="48817A37" w14:textId="77777777" w:rsidR="00096D8B" w:rsidRPr="00841A32" w:rsidRDefault="00096D8B">
      <w:pPr>
        <w:tabs>
          <w:tab w:val="clear" w:pos="284"/>
          <w:tab w:val="left" w:pos="142"/>
        </w:tabs>
        <w:spacing w:line="240" w:lineRule="auto"/>
        <w:ind w:right="850"/>
        <w:rPr>
          <w:sz w:val="20"/>
          <w:lang w:val="fr-FR"/>
        </w:rPr>
      </w:pPr>
      <w:r w:rsidRPr="00841A32">
        <w:rPr>
          <w:sz w:val="20"/>
          <w:lang w:val="fr-FR"/>
        </w:rPr>
        <w:t xml:space="preserve">Dans la première colonne est repris le montant des prestations des branches d'assurance relatives aux véhicules automoteurs, c'est à dire les branches 10 (Automobile, responsabilité civile), 3 et 7 (Automobile, autres branches). Il est demandé d'estimer, même grossièrement, la répartition en pour cent de ces prestations entre deux types de destinataires, à savoir: </w:t>
      </w:r>
    </w:p>
    <w:p w14:paraId="2A3A633A" w14:textId="77777777" w:rsidR="00096D8B" w:rsidRPr="00841A32" w:rsidRDefault="00096D8B">
      <w:pPr>
        <w:tabs>
          <w:tab w:val="clear" w:pos="284"/>
          <w:tab w:val="left" w:pos="142"/>
        </w:tabs>
        <w:spacing w:line="240" w:lineRule="auto"/>
        <w:ind w:right="850"/>
        <w:rPr>
          <w:sz w:val="20"/>
          <w:lang w:val="fr-FR"/>
        </w:rPr>
      </w:pPr>
    </w:p>
    <w:p w14:paraId="1CFD7A58"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Les réparateurs</w:t>
      </w:r>
      <w:r w:rsidR="001E4127" w:rsidRPr="00841A32">
        <w:rPr>
          <w:sz w:val="20"/>
          <w:lang w:val="fr-FR"/>
        </w:rPr>
        <w:t xml:space="preserve"> </w:t>
      </w:r>
      <w:r w:rsidRPr="00841A32">
        <w:rPr>
          <w:sz w:val="20"/>
          <w:lang w:val="fr-FR"/>
        </w:rPr>
        <w:t xml:space="preserve">: les indemnités sont versées directement au garagiste, mécanicien, </w:t>
      </w:r>
      <w:r w:rsidR="00754EEB" w:rsidRPr="00841A32">
        <w:rPr>
          <w:sz w:val="20"/>
          <w:lang w:val="fr-FR"/>
        </w:rPr>
        <w:t>carrossier</w:t>
      </w:r>
      <w:r w:rsidRPr="00841A32">
        <w:rPr>
          <w:sz w:val="20"/>
          <w:lang w:val="fr-FR"/>
        </w:rPr>
        <w:t>... qui effectue des  réparations au(x) véhicule(s) impliqué(s) dans un accident.</w:t>
      </w:r>
    </w:p>
    <w:p w14:paraId="434B4661"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Les assurés</w:t>
      </w:r>
      <w:r w:rsidR="001E4127" w:rsidRPr="00841A32">
        <w:rPr>
          <w:sz w:val="20"/>
          <w:lang w:val="fr-FR"/>
        </w:rPr>
        <w:t xml:space="preserve"> </w:t>
      </w:r>
      <w:r w:rsidRPr="00841A32">
        <w:rPr>
          <w:sz w:val="20"/>
          <w:lang w:val="fr-FR"/>
        </w:rPr>
        <w:t>: les indemnités sont versées à l'assuré impliqué dans un accident, que cet assuré soit une personne physique ou une entreprise. L'indemnité peut couvrir des dégâts corporels ou matériels.</w:t>
      </w:r>
    </w:p>
    <w:p w14:paraId="39D7CADC" w14:textId="77777777" w:rsidR="00096D8B" w:rsidRPr="00841A32" w:rsidRDefault="00096D8B" w:rsidP="001E4127">
      <w:pPr>
        <w:tabs>
          <w:tab w:val="clear" w:pos="284"/>
          <w:tab w:val="left" w:pos="0"/>
        </w:tabs>
        <w:spacing w:line="240" w:lineRule="auto"/>
        <w:ind w:right="850"/>
        <w:rPr>
          <w:sz w:val="20"/>
          <w:lang w:val="fr-FR"/>
        </w:rPr>
      </w:pPr>
    </w:p>
    <w:p w14:paraId="268E28AC" w14:textId="77777777" w:rsidR="00096D8B" w:rsidRPr="00841A32" w:rsidRDefault="00096D8B" w:rsidP="001E4127">
      <w:pPr>
        <w:tabs>
          <w:tab w:val="clear" w:pos="284"/>
          <w:tab w:val="left" w:pos="0"/>
        </w:tabs>
        <w:spacing w:line="240" w:lineRule="auto"/>
        <w:ind w:right="850"/>
        <w:rPr>
          <w:sz w:val="20"/>
          <w:lang w:val="fr-FR"/>
        </w:rPr>
      </w:pPr>
    </w:p>
    <w:p w14:paraId="36BB24A7" w14:textId="77777777" w:rsidR="00096D8B" w:rsidRPr="00841A32" w:rsidRDefault="00096D8B" w:rsidP="001E4127">
      <w:pPr>
        <w:tabs>
          <w:tab w:val="clear" w:pos="284"/>
          <w:tab w:val="left" w:pos="0"/>
        </w:tabs>
        <w:spacing w:line="240" w:lineRule="auto"/>
        <w:ind w:right="850"/>
        <w:rPr>
          <w:sz w:val="20"/>
          <w:u w:val="single"/>
          <w:lang w:val="fr-FR"/>
        </w:rPr>
      </w:pPr>
      <w:r w:rsidRPr="00841A32">
        <w:rPr>
          <w:sz w:val="20"/>
          <w:u w:val="single"/>
          <w:lang w:val="fr-FR"/>
        </w:rPr>
        <w:t>TABLEAU IV - REPARTITION DES PRIMES NON VIE PAR BRANCHE</w:t>
      </w:r>
      <w:r w:rsidR="003A405F" w:rsidRPr="00841A32">
        <w:rPr>
          <w:sz w:val="20"/>
          <w:u w:val="single"/>
          <w:lang w:val="fr-FR"/>
        </w:rPr>
        <w:t>S</w:t>
      </w:r>
      <w:r w:rsidRPr="00841A32">
        <w:rPr>
          <w:sz w:val="20"/>
          <w:u w:val="single"/>
          <w:lang w:val="fr-FR"/>
        </w:rPr>
        <w:t xml:space="preserve"> ET PAR DESTINATAIRE</w:t>
      </w:r>
      <w:r w:rsidR="003A405F" w:rsidRPr="00841A32">
        <w:rPr>
          <w:sz w:val="20"/>
          <w:u w:val="single"/>
          <w:lang w:val="fr-FR"/>
        </w:rPr>
        <w:t>S</w:t>
      </w:r>
    </w:p>
    <w:p w14:paraId="4479F029" w14:textId="77777777" w:rsidR="00096D8B" w:rsidRPr="00841A32" w:rsidRDefault="00096D8B" w:rsidP="001E4127">
      <w:pPr>
        <w:tabs>
          <w:tab w:val="clear" w:pos="284"/>
          <w:tab w:val="left" w:pos="0"/>
        </w:tabs>
        <w:spacing w:line="240" w:lineRule="auto"/>
        <w:ind w:right="850"/>
        <w:rPr>
          <w:sz w:val="20"/>
          <w:u w:val="single"/>
          <w:lang w:val="fr-FR"/>
        </w:rPr>
      </w:pPr>
    </w:p>
    <w:p w14:paraId="14FF3867" w14:textId="77777777" w:rsidR="00096D8B" w:rsidRPr="00841A32" w:rsidRDefault="00805ECE" w:rsidP="001E4127">
      <w:pPr>
        <w:tabs>
          <w:tab w:val="clear" w:pos="284"/>
          <w:tab w:val="left" w:pos="0"/>
        </w:tabs>
        <w:spacing w:line="240" w:lineRule="auto"/>
        <w:ind w:right="850"/>
        <w:rPr>
          <w:sz w:val="20"/>
          <w:lang w:val="fr-FR"/>
        </w:rPr>
      </w:pPr>
      <w:r w:rsidRPr="00841A32">
        <w:rPr>
          <w:sz w:val="20"/>
          <w:lang w:val="fr-FR"/>
        </w:rPr>
        <w:t>I</w:t>
      </w:r>
      <w:r w:rsidR="00096D8B" w:rsidRPr="00841A32">
        <w:rPr>
          <w:sz w:val="20"/>
          <w:lang w:val="fr-FR"/>
        </w:rPr>
        <w:t xml:space="preserve">l est demandé d’estimer la répartition en pour cent de ces primes par type de destinataire : </w:t>
      </w:r>
    </w:p>
    <w:p w14:paraId="1E23834A" w14:textId="77777777" w:rsidR="00805ECE" w:rsidRPr="00841A32" w:rsidRDefault="00805ECE" w:rsidP="001E4127">
      <w:pPr>
        <w:tabs>
          <w:tab w:val="clear" w:pos="284"/>
          <w:tab w:val="left" w:pos="0"/>
        </w:tabs>
        <w:spacing w:line="240" w:lineRule="auto"/>
        <w:ind w:right="850"/>
        <w:rPr>
          <w:sz w:val="20"/>
          <w:lang w:val="fr-FR"/>
        </w:rPr>
      </w:pPr>
    </w:p>
    <w:p w14:paraId="53706661" w14:textId="77777777" w:rsidR="00805ECE" w:rsidRPr="00841A32" w:rsidRDefault="00805ECE" w:rsidP="001E4127">
      <w:pPr>
        <w:tabs>
          <w:tab w:val="clear" w:pos="284"/>
          <w:tab w:val="left" w:pos="0"/>
        </w:tabs>
        <w:spacing w:line="240" w:lineRule="auto"/>
        <w:ind w:right="850"/>
        <w:rPr>
          <w:sz w:val="20"/>
          <w:lang w:val="fr-FR"/>
        </w:rPr>
      </w:pPr>
      <w:r w:rsidRPr="00841A32">
        <w:rPr>
          <w:sz w:val="20"/>
          <w:lang w:val="fr-FR"/>
        </w:rPr>
        <w:t>Entreprises</w:t>
      </w:r>
      <w:r w:rsidR="001E4127" w:rsidRPr="00841A32">
        <w:rPr>
          <w:sz w:val="20"/>
          <w:lang w:val="fr-FR"/>
        </w:rPr>
        <w:t xml:space="preserve"> </w:t>
      </w:r>
      <w:r w:rsidRPr="00841A32">
        <w:rPr>
          <w:sz w:val="20"/>
          <w:lang w:val="fr-FR"/>
        </w:rPr>
        <w:t>: ce secteur comprend également les indépendants et les entreprises publiques  (notamment la SNCB, les intercommunales de distribution</w:t>
      </w:r>
      <w:r w:rsidR="001E4127" w:rsidRPr="00841A32">
        <w:rPr>
          <w:sz w:val="20"/>
          <w:lang w:val="fr-FR"/>
        </w:rPr>
        <w:t xml:space="preserve">, </w:t>
      </w:r>
      <w:r w:rsidRPr="00841A32">
        <w:rPr>
          <w:sz w:val="20"/>
          <w:lang w:val="fr-FR"/>
        </w:rPr>
        <w:t>...), trop nombreuses pour être citées exhaustivement. Il est à signaler qu’une entreprise n'est pas toujours assujettie à la TVA (exemple : les banques).</w:t>
      </w:r>
    </w:p>
    <w:p w14:paraId="1A146F6E" w14:textId="77777777" w:rsidR="00096D8B" w:rsidRPr="00841A32" w:rsidRDefault="00096D8B" w:rsidP="001E4127">
      <w:pPr>
        <w:tabs>
          <w:tab w:val="clear" w:pos="284"/>
          <w:tab w:val="left" w:pos="0"/>
        </w:tabs>
        <w:spacing w:line="240" w:lineRule="auto"/>
        <w:ind w:right="850"/>
        <w:rPr>
          <w:sz w:val="20"/>
          <w:lang w:val="fr-FR"/>
        </w:rPr>
      </w:pPr>
    </w:p>
    <w:p w14:paraId="1D03A0C9" w14:textId="77777777" w:rsidR="00096D8B" w:rsidRPr="00841A32" w:rsidRDefault="00805ECE" w:rsidP="001E4127">
      <w:pPr>
        <w:tabs>
          <w:tab w:val="clear" w:pos="284"/>
          <w:tab w:val="left" w:pos="0"/>
        </w:tabs>
        <w:spacing w:line="240" w:lineRule="auto"/>
        <w:ind w:right="850"/>
        <w:rPr>
          <w:sz w:val="20"/>
          <w:lang w:val="fr-FR"/>
        </w:rPr>
      </w:pPr>
      <w:r w:rsidRPr="00841A32">
        <w:rPr>
          <w:sz w:val="20"/>
          <w:lang w:val="fr-FR"/>
        </w:rPr>
        <w:t>Particuliers et m</w:t>
      </w:r>
      <w:r w:rsidR="00096D8B" w:rsidRPr="00841A32">
        <w:rPr>
          <w:sz w:val="20"/>
          <w:lang w:val="fr-FR"/>
        </w:rPr>
        <w:t>énage</w:t>
      </w:r>
      <w:r w:rsidRPr="00841A32">
        <w:rPr>
          <w:sz w:val="20"/>
          <w:lang w:val="fr-FR"/>
        </w:rPr>
        <w:t>s</w:t>
      </w:r>
      <w:r w:rsidR="001E4127" w:rsidRPr="00841A32">
        <w:rPr>
          <w:sz w:val="20"/>
          <w:lang w:val="fr-FR"/>
        </w:rPr>
        <w:t xml:space="preserve"> </w:t>
      </w:r>
      <w:r w:rsidR="00096D8B" w:rsidRPr="00841A32">
        <w:rPr>
          <w:sz w:val="20"/>
          <w:lang w:val="fr-FR"/>
        </w:rPr>
        <w:t>: ce secteur comprend tous les non professionnels.  Les ventes à ce secteur sont destinées à la consommation privée exclusivement.</w:t>
      </w:r>
    </w:p>
    <w:p w14:paraId="2F3BFFFC" w14:textId="77777777" w:rsidR="00096D8B" w:rsidRPr="00841A32" w:rsidRDefault="00096D8B" w:rsidP="001E4127">
      <w:pPr>
        <w:tabs>
          <w:tab w:val="clear" w:pos="284"/>
          <w:tab w:val="left" w:pos="0"/>
        </w:tabs>
        <w:spacing w:line="240" w:lineRule="auto"/>
        <w:ind w:right="850"/>
        <w:rPr>
          <w:sz w:val="20"/>
          <w:lang w:val="fr-FR"/>
        </w:rPr>
      </w:pPr>
    </w:p>
    <w:p w14:paraId="2BD82C88"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Pouvoirs publics</w:t>
      </w:r>
      <w:r w:rsidR="001E4127" w:rsidRPr="00841A32">
        <w:rPr>
          <w:sz w:val="20"/>
          <w:lang w:val="fr-FR"/>
        </w:rPr>
        <w:t xml:space="preserve"> </w:t>
      </w:r>
      <w:r w:rsidRPr="00841A32">
        <w:rPr>
          <w:sz w:val="20"/>
          <w:lang w:val="fr-FR"/>
        </w:rPr>
        <w:t>: ce secteur comprend non seulement le pouvoir fédéral, les communautés et régions et les pouvoirs locaux (provinces, communes, CPAS,</w:t>
      </w:r>
      <w:r w:rsidR="001E4127" w:rsidRPr="00841A32">
        <w:rPr>
          <w:sz w:val="20"/>
          <w:lang w:val="fr-FR"/>
        </w:rPr>
        <w:t xml:space="preserve"> .</w:t>
      </w:r>
      <w:r w:rsidRPr="00841A32">
        <w:rPr>
          <w:sz w:val="20"/>
          <w:lang w:val="fr-FR"/>
        </w:rPr>
        <w:t>..), mais aussi les administrations de sécurité sociale, l’enseignement officiel  et subventionné et les intercommunales de type administratif (c’est à dire dont la nature de l’activité ne s’apparente pas à une entreprise). Les entreprises publiques ne sont pas comprises ici.</w:t>
      </w:r>
    </w:p>
    <w:p w14:paraId="1F3129E9" w14:textId="77777777" w:rsidR="00096D8B" w:rsidRPr="00841A32" w:rsidRDefault="00096D8B" w:rsidP="001E4127">
      <w:pPr>
        <w:tabs>
          <w:tab w:val="clear" w:pos="284"/>
          <w:tab w:val="left" w:pos="0"/>
        </w:tabs>
        <w:spacing w:line="240" w:lineRule="auto"/>
        <w:ind w:right="850"/>
        <w:rPr>
          <w:sz w:val="20"/>
          <w:lang w:val="fr-FR"/>
        </w:rPr>
      </w:pPr>
    </w:p>
    <w:p w14:paraId="3C219494" w14:textId="77777777" w:rsidR="00096D8B" w:rsidRPr="00841A32" w:rsidRDefault="00096D8B" w:rsidP="001E4127">
      <w:pPr>
        <w:tabs>
          <w:tab w:val="clear" w:pos="284"/>
          <w:tab w:val="left" w:pos="0"/>
          <w:tab w:val="left" w:pos="8931"/>
        </w:tabs>
        <w:spacing w:line="240" w:lineRule="auto"/>
        <w:ind w:right="850"/>
        <w:rPr>
          <w:sz w:val="20"/>
          <w:lang w:val="fr-FR"/>
        </w:rPr>
      </w:pPr>
      <w:r w:rsidRPr="00841A32">
        <w:rPr>
          <w:sz w:val="20"/>
          <w:lang w:val="fr-FR"/>
        </w:rPr>
        <w:t>Etranger</w:t>
      </w:r>
      <w:r w:rsidR="001E4127" w:rsidRPr="00841A32">
        <w:rPr>
          <w:sz w:val="20"/>
          <w:lang w:val="fr-FR"/>
        </w:rPr>
        <w:t xml:space="preserve"> </w:t>
      </w:r>
      <w:r w:rsidRPr="00841A32">
        <w:rPr>
          <w:sz w:val="20"/>
          <w:lang w:val="fr-FR"/>
        </w:rPr>
        <w:t>: ce secteur comprend les primes reçues de l'étranger, directement ou via une succursale.</w:t>
      </w:r>
    </w:p>
    <w:p w14:paraId="6F4DCFCC" w14:textId="77777777" w:rsidR="00096D8B" w:rsidRPr="00841A32" w:rsidRDefault="00096D8B" w:rsidP="001E4127">
      <w:pPr>
        <w:tabs>
          <w:tab w:val="clear" w:pos="284"/>
          <w:tab w:val="left" w:pos="0"/>
          <w:tab w:val="left" w:pos="8931"/>
        </w:tabs>
        <w:spacing w:line="240" w:lineRule="auto"/>
        <w:ind w:right="850"/>
        <w:rPr>
          <w:sz w:val="20"/>
          <w:lang w:val="fr-FR"/>
        </w:rPr>
      </w:pPr>
    </w:p>
    <w:p w14:paraId="1729C3BE" w14:textId="77777777" w:rsidR="00096D8B" w:rsidRPr="00841A32" w:rsidRDefault="00096D8B" w:rsidP="001E4127">
      <w:pPr>
        <w:tabs>
          <w:tab w:val="clear" w:pos="284"/>
          <w:tab w:val="left" w:pos="0"/>
          <w:tab w:val="left" w:pos="8931"/>
        </w:tabs>
        <w:spacing w:line="240" w:lineRule="auto"/>
        <w:ind w:right="850"/>
        <w:rPr>
          <w:sz w:val="20"/>
          <w:lang w:val="fr-FR"/>
        </w:rPr>
      </w:pPr>
    </w:p>
    <w:p w14:paraId="3847029A" w14:textId="77777777" w:rsidR="00096D8B" w:rsidRPr="00841A32" w:rsidRDefault="00096D8B" w:rsidP="001E4127">
      <w:pPr>
        <w:tabs>
          <w:tab w:val="clear" w:pos="284"/>
          <w:tab w:val="left" w:pos="0"/>
        </w:tabs>
        <w:spacing w:line="240" w:lineRule="auto"/>
        <w:ind w:right="850"/>
        <w:rPr>
          <w:sz w:val="20"/>
          <w:u w:val="single"/>
          <w:lang w:val="fr-FR"/>
        </w:rPr>
      </w:pPr>
      <w:r w:rsidRPr="00841A32">
        <w:rPr>
          <w:sz w:val="20"/>
          <w:u w:val="single"/>
          <w:lang w:val="fr-FR"/>
        </w:rPr>
        <w:t xml:space="preserve">TABLEAUX V - </w:t>
      </w:r>
      <w:r w:rsidR="00A664B0" w:rsidRPr="00841A32">
        <w:rPr>
          <w:sz w:val="20"/>
          <w:u w:val="single"/>
          <w:lang w:val="fr-FR"/>
        </w:rPr>
        <w:t>DÉTAILS DES "Produits provenant</w:t>
      </w:r>
      <w:r w:rsidR="00805ECE" w:rsidRPr="00841A32">
        <w:rPr>
          <w:sz w:val="20"/>
          <w:u w:val="single"/>
          <w:lang w:val="fr-FR"/>
        </w:rPr>
        <w:t xml:space="preserve"> des terrains et constructions hors loyer théorique", DES "Autres produits, autres</w:t>
      </w:r>
      <w:r w:rsidR="00F63C83" w:rsidRPr="00841A32">
        <w:rPr>
          <w:sz w:val="20"/>
          <w:u w:val="single"/>
          <w:lang w:val="fr-FR"/>
        </w:rPr>
        <w:t>" ET DES "Autres charges, autres"</w:t>
      </w:r>
    </w:p>
    <w:p w14:paraId="173B98BA" w14:textId="77777777" w:rsidR="00096D8B" w:rsidRPr="00841A32" w:rsidRDefault="00096D8B" w:rsidP="001E4127">
      <w:pPr>
        <w:tabs>
          <w:tab w:val="clear" w:pos="284"/>
          <w:tab w:val="left" w:pos="0"/>
        </w:tabs>
        <w:spacing w:line="240" w:lineRule="auto"/>
        <w:ind w:right="850"/>
        <w:rPr>
          <w:sz w:val="20"/>
          <w:u w:val="single"/>
          <w:lang w:val="fr-FR"/>
        </w:rPr>
      </w:pPr>
    </w:p>
    <w:p w14:paraId="645ED5AF" w14:textId="77777777" w:rsidR="00F63C83" w:rsidRPr="00841A32" w:rsidRDefault="00096D8B" w:rsidP="001E4127">
      <w:pPr>
        <w:tabs>
          <w:tab w:val="clear" w:pos="284"/>
          <w:tab w:val="left" w:pos="0"/>
        </w:tabs>
        <w:spacing w:line="240" w:lineRule="auto"/>
        <w:ind w:right="850"/>
        <w:rPr>
          <w:sz w:val="20"/>
          <w:lang w:val="fr-FR"/>
        </w:rPr>
      </w:pPr>
      <w:r w:rsidRPr="00841A32">
        <w:rPr>
          <w:sz w:val="20"/>
          <w:lang w:val="fr-FR"/>
        </w:rPr>
        <w:t>Il est demandé de détailler certains postes du compte de résultats ou des annexes.</w:t>
      </w:r>
    </w:p>
    <w:p w14:paraId="25388AAB" w14:textId="77777777" w:rsidR="00096D8B" w:rsidRPr="00841A32" w:rsidRDefault="00F63C83" w:rsidP="001E4127">
      <w:pPr>
        <w:tabs>
          <w:tab w:val="clear" w:pos="284"/>
          <w:tab w:val="left" w:pos="0"/>
        </w:tabs>
        <w:spacing w:line="240" w:lineRule="auto"/>
        <w:ind w:right="850"/>
        <w:rPr>
          <w:sz w:val="20"/>
          <w:lang w:val="fr-FR"/>
        </w:rPr>
      </w:pPr>
      <w:r w:rsidRPr="00841A32">
        <w:rPr>
          <w:sz w:val="20"/>
          <w:lang w:val="fr-FR"/>
        </w:rPr>
        <w:t xml:space="preserve"> </w:t>
      </w:r>
    </w:p>
    <w:p w14:paraId="052C91C6"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Par logement, on entend un bâtiment à usage d’habitation.</w:t>
      </w:r>
    </w:p>
    <w:p w14:paraId="19E10FA1" w14:textId="77777777" w:rsidR="00096D8B" w:rsidRPr="00841A32" w:rsidRDefault="00096D8B" w:rsidP="001E4127">
      <w:pPr>
        <w:tabs>
          <w:tab w:val="clear" w:pos="284"/>
          <w:tab w:val="left" w:pos="0"/>
        </w:tabs>
        <w:spacing w:line="240" w:lineRule="auto"/>
        <w:ind w:right="850"/>
        <w:rPr>
          <w:sz w:val="20"/>
          <w:lang w:val="fr-FR"/>
        </w:rPr>
      </w:pPr>
    </w:p>
    <w:p w14:paraId="6A215DE4" w14:textId="77777777" w:rsidR="00096D8B" w:rsidRPr="00841A32" w:rsidRDefault="00096D8B" w:rsidP="001E4127">
      <w:pPr>
        <w:tabs>
          <w:tab w:val="clear" w:pos="284"/>
          <w:tab w:val="left" w:pos="0"/>
        </w:tabs>
        <w:spacing w:line="240" w:lineRule="auto"/>
        <w:ind w:right="850"/>
        <w:rPr>
          <w:sz w:val="20"/>
          <w:lang w:val="fr-FR"/>
        </w:rPr>
      </w:pPr>
    </w:p>
    <w:p w14:paraId="1D1BDBD5" w14:textId="77777777" w:rsidR="00096D8B" w:rsidRPr="00841A32" w:rsidRDefault="00096D8B" w:rsidP="001E4127">
      <w:pPr>
        <w:tabs>
          <w:tab w:val="clear" w:pos="284"/>
          <w:tab w:val="left" w:pos="0"/>
        </w:tabs>
        <w:spacing w:line="240" w:lineRule="auto"/>
        <w:ind w:right="850"/>
        <w:rPr>
          <w:sz w:val="20"/>
          <w:u w:val="single"/>
          <w:lang w:val="fr-FR"/>
        </w:rPr>
      </w:pPr>
      <w:r w:rsidRPr="00841A32">
        <w:rPr>
          <w:sz w:val="20"/>
          <w:u w:val="single"/>
          <w:lang w:val="fr-FR"/>
        </w:rPr>
        <w:t xml:space="preserve">TABLEAU </w:t>
      </w:r>
      <w:r w:rsidR="00F63C83" w:rsidRPr="00841A32">
        <w:rPr>
          <w:sz w:val="20"/>
          <w:u w:val="single"/>
          <w:lang w:val="fr-FR"/>
        </w:rPr>
        <w:t>V</w:t>
      </w:r>
      <w:r w:rsidRPr="00841A32">
        <w:rPr>
          <w:sz w:val="20"/>
          <w:u w:val="single"/>
          <w:lang w:val="fr-FR"/>
        </w:rPr>
        <w:t xml:space="preserve">I - </w:t>
      </w:r>
      <w:r w:rsidR="00F63C83" w:rsidRPr="00841A32">
        <w:rPr>
          <w:sz w:val="20"/>
          <w:u w:val="single"/>
          <w:lang w:val="fr-FR"/>
        </w:rPr>
        <w:t>"Frais d'administration récupérés, autres" ET "Autres taxes à charge de l'entreprise"</w:t>
      </w:r>
    </w:p>
    <w:p w14:paraId="50CD325A" w14:textId="77777777" w:rsidR="00096D8B" w:rsidRPr="00841A32" w:rsidRDefault="00096D8B" w:rsidP="001E4127">
      <w:pPr>
        <w:tabs>
          <w:tab w:val="clear" w:pos="284"/>
          <w:tab w:val="left" w:pos="0"/>
        </w:tabs>
        <w:spacing w:line="240" w:lineRule="auto"/>
        <w:ind w:right="850"/>
        <w:rPr>
          <w:sz w:val="20"/>
          <w:lang w:val="fr-FR"/>
        </w:rPr>
      </w:pPr>
    </w:p>
    <w:p w14:paraId="6B117478"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Le poste comptable 8.16.12 comprend uniquement les taxes à charge de l’entreprise. Il faut mentionner la TVA non déductible uniquement si elle est reprise au poste 8.16.12.</w:t>
      </w:r>
    </w:p>
    <w:p w14:paraId="17AE0E44" w14:textId="77777777" w:rsidR="00096D8B" w:rsidRPr="00841A32" w:rsidRDefault="00096D8B" w:rsidP="001E4127">
      <w:pPr>
        <w:tabs>
          <w:tab w:val="clear" w:pos="284"/>
          <w:tab w:val="left" w:pos="0"/>
        </w:tabs>
        <w:spacing w:line="240" w:lineRule="auto"/>
        <w:ind w:right="850"/>
        <w:rPr>
          <w:sz w:val="20"/>
          <w:u w:val="single"/>
          <w:lang w:val="fr-FR"/>
        </w:rPr>
      </w:pPr>
    </w:p>
    <w:p w14:paraId="0B66051F" w14:textId="77777777" w:rsidR="00096D8B" w:rsidRPr="00841A32" w:rsidRDefault="00096D8B" w:rsidP="001E4127">
      <w:pPr>
        <w:tabs>
          <w:tab w:val="clear" w:pos="284"/>
          <w:tab w:val="left" w:pos="0"/>
        </w:tabs>
        <w:spacing w:line="240" w:lineRule="auto"/>
        <w:ind w:right="850"/>
        <w:rPr>
          <w:sz w:val="20"/>
          <w:u w:val="single"/>
          <w:lang w:val="fr-FR"/>
        </w:rPr>
      </w:pPr>
    </w:p>
    <w:p w14:paraId="63DF3580" w14:textId="77777777" w:rsidR="00096D8B" w:rsidRPr="00841A32" w:rsidRDefault="00096D8B" w:rsidP="001E4127">
      <w:pPr>
        <w:tabs>
          <w:tab w:val="clear" w:pos="284"/>
          <w:tab w:val="left" w:pos="0"/>
        </w:tabs>
        <w:spacing w:line="240" w:lineRule="auto"/>
        <w:ind w:right="850"/>
        <w:rPr>
          <w:sz w:val="20"/>
          <w:u w:val="single"/>
          <w:lang w:val="fr-FR"/>
        </w:rPr>
      </w:pPr>
      <w:r w:rsidRPr="00841A32">
        <w:rPr>
          <w:sz w:val="20"/>
          <w:u w:val="single"/>
          <w:lang w:val="fr-FR"/>
        </w:rPr>
        <w:t xml:space="preserve">TABLEAU </w:t>
      </w:r>
      <w:r w:rsidR="00F63C83" w:rsidRPr="00841A32">
        <w:rPr>
          <w:sz w:val="20"/>
          <w:u w:val="single"/>
          <w:lang w:val="fr-FR"/>
        </w:rPr>
        <w:t>VII</w:t>
      </w:r>
      <w:r w:rsidRPr="00841A32">
        <w:rPr>
          <w:sz w:val="20"/>
          <w:u w:val="single"/>
          <w:lang w:val="fr-FR"/>
        </w:rPr>
        <w:t xml:space="preserve">  - BIENS ET SERVICES DIVERS</w:t>
      </w:r>
      <w:r w:rsidR="00F63C83" w:rsidRPr="00841A32">
        <w:rPr>
          <w:sz w:val="20"/>
          <w:u w:val="single"/>
          <w:lang w:val="fr-FR"/>
        </w:rPr>
        <w:t xml:space="preserve"> (ANNEXE 12 DES COMPTES ANNUELS)</w:t>
      </w:r>
    </w:p>
    <w:p w14:paraId="05145508" w14:textId="77777777" w:rsidR="00096D8B" w:rsidRPr="00841A32" w:rsidRDefault="00096D8B" w:rsidP="001E4127">
      <w:pPr>
        <w:tabs>
          <w:tab w:val="clear" w:pos="284"/>
          <w:tab w:val="left" w:pos="0"/>
        </w:tabs>
        <w:spacing w:line="240" w:lineRule="auto"/>
        <w:ind w:right="850"/>
        <w:rPr>
          <w:sz w:val="20"/>
          <w:u w:val="single"/>
          <w:lang w:val="fr-FR"/>
        </w:rPr>
      </w:pPr>
    </w:p>
    <w:p w14:paraId="780ECC19"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Charges de loyers (y compris leasing)</w:t>
      </w:r>
      <w:r w:rsidR="001E4127" w:rsidRPr="00841A32">
        <w:rPr>
          <w:sz w:val="20"/>
          <w:lang w:val="fr-FR"/>
        </w:rPr>
        <w:t xml:space="preserve"> </w:t>
      </w:r>
      <w:r w:rsidRPr="00841A32">
        <w:rPr>
          <w:sz w:val="20"/>
          <w:lang w:val="fr-FR"/>
        </w:rPr>
        <w:t>: il s’agit des montants payés à propos de la location et du leasing des biens incorporels et corporels. Le leasing concerne le leasing dit “opérationnel” (entre autres le renting) pour lequel les biens qui en font l’objet ne sont pas comptabilisés à l’actif du bilan.</w:t>
      </w:r>
    </w:p>
    <w:p w14:paraId="6AB8E420" w14:textId="77777777" w:rsidR="00096D8B" w:rsidRPr="00841A32" w:rsidRDefault="00096D8B" w:rsidP="001E4127">
      <w:pPr>
        <w:tabs>
          <w:tab w:val="clear" w:pos="284"/>
          <w:tab w:val="left" w:pos="0"/>
        </w:tabs>
        <w:spacing w:line="240" w:lineRule="auto"/>
        <w:ind w:right="850"/>
        <w:rPr>
          <w:sz w:val="20"/>
          <w:lang w:val="fr-FR"/>
        </w:rPr>
      </w:pPr>
    </w:p>
    <w:p w14:paraId="52148201"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Achats de software</w:t>
      </w:r>
      <w:r w:rsidR="001E4127" w:rsidRPr="00841A32">
        <w:rPr>
          <w:sz w:val="20"/>
          <w:lang w:val="fr-FR"/>
        </w:rPr>
        <w:t xml:space="preserve"> </w:t>
      </w:r>
      <w:r w:rsidRPr="00841A32">
        <w:rPr>
          <w:sz w:val="20"/>
          <w:lang w:val="fr-FR"/>
        </w:rPr>
        <w:t>: seuls les coûts qui ne sont pas comptabilisés à l’actif du bilan doivent être mentionnés (voir aussi la rubrique sur les softwares dans la partie “Investissements et désinvestissements”).</w:t>
      </w:r>
    </w:p>
    <w:p w14:paraId="77CC4D28" w14:textId="77777777" w:rsidR="00096D8B" w:rsidRPr="00841A32" w:rsidRDefault="00096D8B" w:rsidP="001E4127">
      <w:pPr>
        <w:tabs>
          <w:tab w:val="clear" w:pos="284"/>
          <w:tab w:val="left" w:pos="0"/>
        </w:tabs>
        <w:spacing w:line="240" w:lineRule="auto"/>
        <w:ind w:right="850"/>
        <w:rPr>
          <w:sz w:val="20"/>
          <w:lang w:val="fr-FR"/>
        </w:rPr>
      </w:pPr>
    </w:p>
    <w:p w14:paraId="73B8EDD7" w14:textId="77777777" w:rsidR="00096D8B" w:rsidRPr="00841A32" w:rsidRDefault="00096D8B" w:rsidP="001E4127">
      <w:pPr>
        <w:tabs>
          <w:tab w:val="clear" w:pos="284"/>
          <w:tab w:val="left" w:pos="0"/>
          <w:tab w:val="left" w:pos="709"/>
        </w:tabs>
        <w:spacing w:line="240" w:lineRule="auto"/>
        <w:ind w:right="850"/>
        <w:rPr>
          <w:sz w:val="20"/>
          <w:lang w:val="fr-FR"/>
        </w:rPr>
      </w:pPr>
      <w:r w:rsidRPr="00841A32">
        <w:rPr>
          <w:sz w:val="20"/>
          <w:lang w:val="fr-FR"/>
        </w:rPr>
        <w:t>Frais de communication (téléphone, fax, poste</w:t>
      </w:r>
      <w:r w:rsidR="001E4127" w:rsidRPr="00841A32">
        <w:rPr>
          <w:sz w:val="20"/>
          <w:lang w:val="fr-FR"/>
        </w:rPr>
        <w:t xml:space="preserve">, </w:t>
      </w:r>
      <w:r w:rsidRPr="00841A32">
        <w:rPr>
          <w:sz w:val="20"/>
          <w:lang w:val="fr-FR"/>
        </w:rPr>
        <w:t>...)</w:t>
      </w:r>
      <w:r w:rsidR="001E4127" w:rsidRPr="00841A32">
        <w:rPr>
          <w:sz w:val="20"/>
          <w:lang w:val="fr-FR"/>
        </w:rPr>
        <w:t xml:space="preserve"> </w:t>
      </w:r>
      <w:r w:rsidRPr="00841A32">
        <w:rPr>
          <w:sz w:val="20"/>
          <w:lang w:val="fr-FR"/>
        </w:rPr>
        <w:t>: ce poste comprend seulement les frais courants et non les achats de matériel pour la communication.</w:t>
      </w:r>
    </w:p>
    <w:p w14:paraId="18894A1E" w14:textId="77777777" w:rsidR="004C5874" w:rsidRPr="00841A32" w:rsidRDefault="004C5874" w:rsidP="001E4127">
      <w:pPr>
        <w:tabs>
          <w:tab w:val="clear" w:pos="284"/>
          <w:tab w:val="left" w:pos="0"/>
        </w:tabs>
        <w:spacing w:line="240" w:lineRule="auto"/>
        <w:ind w:right="850"/>
        <w:rPr>
          <w:sz w:val="20"/>
          <w:lang w:val="fr-FR"/>
        </w:rPr>
      </w:pPr>
    </w:p>
    <w:p w14:paraId="65ED21DC" w14:textId="77777777" w:rsidR="004C5874" w:rsidRPr="00841A32" w:rsidRDefault="004C5874" w:rsidP="001E4127">
      <w:pPr>
        <w:tabs>
          <w:tab w:val="clear" w:pos="284"/>
          <w:tab w:val="left" w:pos="0"/>
        </w:tabs>
        <w:spacing w:line="240" w:lineRule="auto"/>
        <w:ind w:right="850"/>
        <w:rPr>
          <w:sz w:val="20"/>
          <w:u w:val="single"/>
          <w:lang w:val="fr-FR"/>
        </w:rPr>
      </w:pPr>
    </w:p>
    <w:p w14:paraId="5538E144" w14:textId="77777777" w:rsidR="001E4127" w:rsidRPr="00841A32" w:rsidRDefault="001E4127" w:rsidP="001E4127">
      <w:pPr>
        <w:tabs>
          <w:tab w:val="clear" w:pos="284"/>
          <w:tab w:val="left" w:pos="0"/>
        </w:tabs>
        <w:spacing w:line="240" w:lineRule="auto"/>
        <w:ind w:right="850"/>
        <w:rPr>
          <w:sz w:val="20"/>
          <w:u w:val="single"/>
          <w:lang w:val="fr-FR"/>
        </w:rPr>
      </w:pPr>
    </w:p>
    <w:p w14:paraId="0226E093" w14:textId="77777777" w:rsidR="00096D8B" w:rsidRPr="00841A32" w:rsidRDefault="004C5874">
      <w:pPr>
        <w:spacing w:line="240" w:lineRule="auto"/>
        <w:ind w:right="850"/>
        <w:rPr>
          <w:sz w:val="20"/>
          <w:u w:val="single"/>
          <w:lang w:val="fr-FR"/>
        </w:rPr>
      </w:pPr>
      <w:r w:rsidRPr="00841A32">
        <w:rPr>
          <w:sz w:val="20"/>
          <w:u w:val="single"/>
          <w:lang w:val="fr-FR"/>
        </w:rPr>
        <w:t>ANNEXE</w:t>
      </w:r>
      <w:r w:rsidR="001E4127" w:rsidRPr="00841A32">
        <w:rPr>
          <w:sz w:val="20"/>
          <w:u w:val="single"/>
          <w:lang w:val="fr-FR"/>
        </w:rPr>
        <w:t xml:space="preserve"> </w:t>
      </w:r>
      <w:r w:rsidRPr="00841A32">
        <w:rPr>
          <w:sz w:val="20"/>
          <w:u w:val="single"/>
          <w:lang w:val="fr-FR"/>
        </w:rPr>
        <w:t>: ACHATS D'AUTRES BIENS ET SERVICES</w:t>
      </w:r>
    </w:p>
    <w:p w14:paraId="288205FA" w14:textId="77777777" w:rsidR="004C5874" w:rsidRPr="00841A32" w:rsidRDefault="004C5874">
      <w:pPr>
        <w:spacing w:line="240" w:lineRule="auto"/>
        <w:ind w:right="850"/>
        <w:rPr>
          <w:sz w:val="20"/>
          <w:u w:val="single"/>
          <w:lang w:val="fr-FR"/>
        </w:rPr>
      </w:pPr>
    </w:p>
    <w:p w14:paraId="1F2BFF7F" w14:textId="77777777" w:rsidR="004C5874" w:rsidRPr="00841A32" w:rsidRDefault="004C5874">
      <w:pPr>
        <w:spacing w:line="240" w:lineRule="auto"/>
        <w:ind w:right="850"/>
        <w:rPr>
          <w:sz w:val="20"/>
          <w:lang w:val="fr-FR"/>
        </w:rPr>
      </w:pPr>
      <w:r w:rsidRPr="00841A32">
        <w:rPr>
          <w:sz w:val="20"/>
          <w:lang w:val="fr-FR"/>
        </w:rPr>
        <w:t>Cette partie permet de détailler les achats d'autres biens et services divers. Le détail est obligatoire pour les montants importants</w:t>
      </w:r>
      <w:r w:rsidR="001E4127" w:rsidRPr="00841A32">
        <w:rPr>
          <w:sz w:val="20"/>
          <w:lang w:val="fr-FR"/>
        </w:rPr>
        <w:t>.</w:t>
      </w:r>
    </w:p>
    <w:p w14:paraId="75F5740A" w14:textId="77777777" w:rsidR="00096D8B" w:rsidRPr="00841A32" w:rsidRDefault="00096D8B">
      <w:pPr>
        <w:spacing w:line="240" w:lineRule="auto"/>
        <w:ind w:right="850"/>
        <w:rPr>
          <w:sz w:val="20"/>
          <w:u w:val="single"/>
          <w:lang w:val="fr-FR"/>
        </w:rPr>
      </w:pPr>
    </w:p>
    <w:p w14:paraId="647199B8" w14:textId="77777777" w:rsidR="00096D8B" w:rsidRPr="00841A32" w:rsidRDefault="00096D8B">
      <w:pPr>
        <w:spacing w:line="240" w:lineRule="auto"/>
        <w:ind w:right="850"/>
        <w:rPr>
          <w:sz w:val="20"/>
          <w:u w:val="single"/>
          <w:lang w:val="fr-FR"/>
        </w:rPr>
      </w:pPr>
    </w:p>
    <w:p w14:paraId="75230BDF" w14:textId="77777777" w:rsidR="00096D8B" w:rsidRPr="00841A32" w:rsidRDefault="00096D8B">
      <w:pPr>
        <w:spacing w:line="240" w:lineRule="auto"/>
        <w:ind w:right="850"/>
        <w:rPr>
          <w:sz w:val="20"/>
          <w:u w:val="single"/>
          <w:lang w:val="fr-FR"/>
        </w:rPr>
      </w:pPr>
      <w:r w:rsidRPr="00841A32">
        <w:rPr>
          <w:sz w:val="20"/>
          <w:u w:val="single"/>
          <w:lang w:val="fr-FR"/>
        </w:rPr>
        <w:t xml:space="preserve">TABLEAU </w:t>
      </w:r>
      <w:r w:rsidR="002A473F" w:rsidRPr="00841A32">
        <w:rPr>
          <w:sz w:val="20"/>
          <w:u w:val="single"/>
          <w:lang w:val="fr-FR"/>
        </w:rPr>
        <w:t>VII</w:t>
      </w:r>
      <w:r w:rsidRPr="00841A32">
        <w:rPr>
          <w:sz w:val="20"/>
          <w:u w:val="single"/>
          <w:lang w:val="fr-FR"/>
        </w:rPr>
        <w:t>I - DIVIDENDES</w:t>
      </w:r>
    </w:p>
    <w:p w14:paraId="5C8B56A8" w14:textId="77777777" w:rsidR="00096D8B" w:rsidRPr="00841A32" w:rsidRDefault="00096D8B">
      <w:pPr>
        <w:spacing w:line="240" w:lineRule="auto"/>
        <w:ind w:right="850"/>
        <w:rPr>
          <w:sz w:val="20"/>
          <w:u w:val="single"/>
          <w:lang w:val="fr-FR"/>
        </w:rPr>
      </w:pPr>
    </w:p>
    <w:p w14:paraId="6888538E" w14:textId="77777777" w:rsidR="00096D8B" w:rsidRPr="00841A32" w:rsidRDefault="00096D8B">
      <w:pPr>
        <w:spacing w:line="240" w:lineRule="auto"/>
        <w:ind w:right="850"/>
        <w:rPr>
          <w:sz w:val="20"/>
          <w:lang w:val="fr-FR"/>
        </w:rPr>
      </w:pPr>
      <w:r w:rsidRPr="00841A32">
        <w:rPr>
          <w:sz w:val="20"/>
          <w:lang w:val="fr-FR"/>
        </w:rPr>
        <w:t xml:space="preserve">Dans la première </w:t>
      </w:r>
      <w:r w:rsidR="002A473F" w:rsidRPr="00841A32">
        <w:rPr>
          <w:sz w:val="20"/>
          <w:lang w:val="fr-FR"/>
        </w:rPr>
        <w:t>partie</w:t>
      </w:r>
      <w:r w:rsidRPr="00841A32">
        <w:rPr>
          <w:sz w:val="20"/>
          <w:lang w:val="fr-FR"/>
        </w:rPr>
        <w:t>, doivent être mentionnés les dividendes reçus des entreprises dans lesquelles l'entreprise détient une participation au sens de l'Arrêté royal du 17 novembre 1994, ainsi que ceux reçus des autres entreprises dans lesquelles l'entreprise détient des droits sociaux représentant 10 p.c. au moins du capital souscrit. (Voir annexe 2 des comptes annuels : "Etat des participations et des droits sociaux détenus dans d'autres entreprises").</w:t>
      </w:r>
    </w:p>
    <w:p w14:paraId="50FA5756" w14:textId="77777777" w:rsidR="00096D8B" w:rsidRPr="00841A32" w:rsidRDefault="00096D8B">
      <w:pPr>
        <w:spacing w:line="240" w:lineRule="auto"/>
        <w:ind w:right="850"/>
        <w:rPr>
          <w:sz w:val="20"/>
          <w:lang w:val="fr-FR"/>
        </w:rPr>
      </w:pPr>
    </w:p>
    <w:p w14:paraId="2EF55589" w14:textId="77777777" w:rsidR="00096D8B" w:rsidRPr="00841A32" w:rsidRDefault="00096D8B">
      <w:pPr>
        <w:spacing w:line="240" w:lineRule="auto"/>
        <w:ind w:right="850"/>
        <w:rPr>
          <w:sz w:val="20"/>
          <w:lang w:val="fr-FR"/>
        </w:rPr>
      </w:pPr>
      <w:r w:rsidRPr="00841A32">
        <w:rPr>
          <w:sz w:val="20"/>
          <w:lang w:val="fr-FR"/>
        </w:rPr>
        <w:t xml:space="preserve">Dans la deuxième </w:t>
      </w:r>
      <w:r w:rsidR="00EC73B6" w:rsidRPr="00841A32">
        <w:rPr>
          <w:sz w:val="20"/>
          <w:lang w:val="fr-FR"/>
        </w:rPr>
        <w:t>partie</w:t>
      </w:r>
      <w:r w:rsidRPr="00841A32">
        <w:rPr>
          <w:sz w:val="20"/>
          <w:lang w:val="fr-FR"/>
        </w:rPr>
        <w:t>, doivent être mentionnés les dividendes versés aux actionnaires ou groupes qui détiennent 10 p.c. ou plus du capital de l'entreprise. (Voir annexe 5, tableau G des comptes annuels : "Etat du capital, suite et fin").</w:t>
      </w:r>
    </w:p>
    <w:p w14:paraId="14DF33B3" w14:textId="77777777" w:rsidR="00096D8B" w:rsidRPr="00841A32" w:rsidRDefault="00096D8B">
      <w:pPr>
        <w:spacing w:line="240" w:lineRule="auto"/>
        <w:ind w:right="850"/>
        <w:rPr>
          <w:color w:val="000000"/>
          <w:sz w:val="20"/>
          <w:lang w:val="fr-FR"/>
        </w:rPr>
      </w:pPr>
    </w:p>
    <w:p w14:paraId="51CF2614" w14:textId="77777777" w:rsidR="00096D8B" w:rsidRPr="00841A32" w:rsidRDefault="00096D8B">
      <w:pPr>
        <w:spacing w:line="240" w:lineRule="auto"/>
        <w:ind w:right="850"/>
        <w:rPr>
          <w:sz w:val="20"/>
          <w:lang w:val="fr-FR"/>
        </w:rPr>
      </w:pPr>
      <w:r w:rsidRPr="00841A32">
        <w:rPr>
          <w:sz w:val="20"/>
          <w:lang w:val="fr-FR"/>
        </w:rPr>
        <w:t>Ces données doivent être ventilées par origine (ou destination) géographique entre la Belgique, les pays membres de l’Union Européenne et les autres pays.</w:t>
      </w:r>
    </w:p>
    <w:p w14:paraId="12F4B51F" w14:textId="77777777" w:rsidR="00096D8B" w:rsidRPr="00841A32" w:rsidRDefault="00096D8B">
      <w:pPr>
        <w:spacing w:line="240" w:lineRule="auto"/>
        <w:ind w:right="850"/>
        <w:rPr>
          <w:sz w:val="20"/>
          <w:lang w:val="fr-FR"/>
        </w:rPr>
      </w:pPr>
    </w:p>
    <w:p w14:paraId="50D5104C" w14:textId="77777777" w:rsidR="00096D8B" w:rsidRPr="00841A32" w:rsidRDefault="00096D8B">
      <w:pPr>
        <w:spacing w:line="240" w:lineRule="auto"/>
        <w:ind w:right="850"/>
        <w:rPr>
          <w:sz w:val="20"/>
          <w:lang w:val="fr-FR"/>
        </w:rPr>
      </w:pPr>
      <w:r w:rsidRPr="00841A32">
        <w:rPr>
          <w:sz w:val="20"/>
          <w:lang w:val="fr-FR"/>
        </w:rPr>
        <w:t>Il faut mentionner les montants effectivement enregistrés durant l’exercice comptable considéré.</w:t>
      </w:r>
    </w:p>
    <w:p w14:paraId="18DF09A1" w14:textId="77777777" w:rsidR="00096D8B" w:rsidRPr="00841A32" w:rsidRDefault="00096D8B">
      <w:pPr>
        <w:spacing w:line="240" w:lineRule="auto"/>
        <w:ind w:right="850"/>
        <w:rPr>
          <w:sz w:val="20"/>
          <w:lang w:val="fr-FR"/>
        </w:rPr>
      </w:pPr>
    </w:p>
    <w:p w14:paraId="3F812D0C" w14:textId="5F3EBFF9" w:rsidR="00096D8B" w:rsidRPr="00841A32" w:rsidRDefault="00096D8B" w:rsidP="001E4127">
      <w:pPr>
        <w:tabs>
          <w:tab w:val="clear" w:pos="284"/>
          <w:tab w:val="left" w:pos="0"/>
        </w:tabs>
        <w:spacing w:line="240" w:lineRule="auto"/>
        <w:ind w:right="850"/>
        <w:rPr>
          <w:sz w:val="20"/>
          <w:lang w:val="fr-FR"/>
        </w:rPr>
      </w:pPr>
      <w:r w:rsidRPr="00841A32">
        <w:rPr>
          <w:sz w:val="20"/>
          <w:lang w:val="fr-FR"/>
        </w:rPr>
        <w:t xml:space="preserve">Liste des </w:t>
      </w:r>
      <w:r w:rsidR="00236A54" w:rsidRPr="00E1159D">
        <w:rPr>
          <w:i/>
          <w:iCs/>
          <w:sz w:val="20"/>
          <w:lang w:val="fr-FR"/>
        </w:rPr>
        <w:t>2</w:t>
      </w:r>
      <w:r w:rsidR="00FC1C29" w:rsidRPr="00E1159D">
        <w:rPr>
          <w:i/>
          <w:iCs/>
          <w:sz w:val="20"/>
          <w:lang w:val="fr-FR"/>
        </w:rPr>
        <w:t>7</w:t>
      </w:r>
      <w:r w:rsidRPr="00841A32">
        <w:rPr>
          <w:sz w:val="20"/>
          <w:lang w:val="fr-FR"/>
        </w:rPr>
        <w:t xml:space="preserve"> autres pays de l'Union Européenne: </w:t>
      </w:r>
      <w:r w:rsidR="00236A54" w:rsidRPr="00841A32">
        <w:rPr>
          <w:sz w:val="20"/>
          <w:lang w:val="fr-FR"/>
        </w:rPr>
        <w:t xml:space="preserve">Allemagne, Autriche, </w:t>
      </w:r>
      <w:r w:rsidR="00EC73B6" w:rsidRPr="00841A32">
        <w:rPr>
          <w:sz w:val="20"/>
          <w:lang w:val="fr-FR"/>
        </w:rPr>
        <w:t xml:space="preserve">Bulgarie, </w:t>
      </w:r>
      <w:r w:rsidR="00236A54" w:rsidRPr="00841A32">
        <w:rPr>
          <w:sz w:val="20"/>
          <w:lang w:val="fr-FR"/>
        </w:rPr>
        <w:t>Chypre, Danemark, Espagne, Estonie</w:t>
      </w:r>
      <w:r w:rsidR="00CA22ED" w:rsidRPr="00841A32">
        <w:rPr>
          <w:sz w:val="20"/>
          <w:lang w:val="fr-FR"/>
        </w:rPr>
        <w:t xml:space="preserve">, </w:t>
      </w:r>
      <w:r w:rsidR="00236A54" w:rsidRPr="00841A32">
        <w:rPr>
          <w:sz w:val="20"/>
          <w:lang w:val="fr-FR"/>
        </w:rPr>
        <w:t xml:space="preserve">Finlande, </w:t>
      </w:r>
      <w:r w:rsidR="00EC73B6" w:rsidRPr="00841A32">
        <w:rPr>
          <w:sz w:val="20"/>
          <w:lang w:val="fr-FR"/>
        </w:rPr>
        <w:t xml:space="preserve">France, </w:t>
      </w:r>
      <w:r w:rsidR="00236A54" w:rsidRPr="00841A32">
        <w:rPr>
          <w:sz w:val="20"/>
          <w:lang w:val="fr-FR"/>
        </w:rPr>
        <w:t xml:space="preserve">Grèce, Hongrie, Irlande, </w:t>
      </w:r>
      <w:r w:rsidRPr="00841A32">
        <w:rPr>
          <w:sz w:val="20"/>
          <w:lang w:val="fr-FR"/>
        </w:rPr>
        <w:t xml:space="preserve">Italie, </w:t>
      </w:r>
      <w:r w:rsidR="00236A54" w:rsidRPr="00841A32">
        <w:rPr>
          <w:sz w:val="20"/>
          <w:lang w:val="fr-FR"/>
        </w:rPr>
        <w:t xml:space="preserve">Lettonie, Lituanie, grand-duché de Luxembourg, Malte, Pays-Bas, Pologne, Portugal, </w:t>
      </w:r>
      <w:r w:rsidR="00EC73B6" w:rsidRPr="00841A32">
        <w:rPr>
          <w:sz w:val="20"/>
          <w:lang w:val="fr-FR"/>
        </w:rPr>
        <w:t xml:space="preserve">République tchèque, Roumanie, </w:t>
      </w:r>
      <w:r w:rsidR="00743F9B">
        <w:rPr>
          <w:sz w:val="20"/>
          <w:lang w:val="fr-FR"/>
        </w:rPr>
        <w:t>(Royaume-Uni)</w:t>
      </w:r>
      <w:r w:rsidRPr="00841A32">
        <w:rPr>
          <w:sz w:val="20"/>
          <w:lang w:val="fr-FR"/>
        </w:rPr>
        <w:t xml:space="preserve">, </w:t>
      </w:r>
      <w:r w:rsidR="00236A54" w:rsidRPr="00841A32">
        <w:rPr>
          <w:sz w:val="20"/>
          <w:lang w:val="fr-FR"/>
        </w:rPr>
        <w:t xml:space="preserve">Slovaquie, Slovénie, </w:t>
      </w:r>
      <w:proofErr w:type="spellStart"/>
      <w:r w:rsidRPr="00841A32">
        <w:rPr>
          <w:sz w:val="20"/>
          <w:lang w:val="fr-FR"/>
        </w:rPr>
        <w:t>Suède</w:t>
      </w:r>
      <w:r w:rsidR="00FC1C29">
        <w:rPr>
          <w:sz w:val="20"/>
          <w:lang w:val="fr-FR"/>
        </w:rPr>
        <w:t>,Croatie</w:t>
      </w:r>
      <w:proofErr w:type="spellEnd"/>
      <w:r w:rsidR="00CA22ED" w:rsidRPr="00841A32">
        <w:rPr>
          <w:sz w:val="20"/>
          <w:lang w:val="fr-FR"/>
        </w:rPr>
        <w:t>.</w:t>
      </w:r>
    </w:p>
    <w:p w14:paraId="59A9EABE" w14:textId="77777777" w:rsidR="00096D8B" w:rsidRPr="00841A32" w:rsidRDefault="00096D8B">
      <w:pPr>
        <w:spacing w:line="240" w:lineRule="auto"/>
        <w:ind w:right="850"/>
        <w:rPr>
          <w:sz w:val="20"/>
          <w:lang w:val="fr-FR"/>
        </w:rPr>
      </w:pPr>
    </w:p>
    <w:p w14:paraId="669F5C81" w14:textId="77777777" w:rsidR="00096D8B" w:rsidRPr="00841A32" w:rsidRDefault="00096D8B">
      <w:pPr>
        <w:spacing w:line="240" w:lineRule="auto"/>
        <w:ind w:right="850"/>
        <w:rPr>
          <w:sz w:val="20"/>
          <w:u w:val="single"/>
          <w:lang w:val="fr-FR"/>
        </w:rPr>
      </w:pPr>
    </w:p>
    <w:p w14:paraId="0AACA6C5" w14:textId="77777777" w:rsidR="00096D8B" w:rsidRPr="00841A32" w:rsidRDefault="00096D8B">
      <w:pPr>
        <w:spacing w:line="240" w:lineRule="auto"/>
        <w:ind w:right="850"/>
        <w:rPr>
          <w:sz w:val="20"/>
          <w:u w:val="single"/>
          <w:lang w:val="fr-FR"/>
        </w:rPr>
      </w:pPr>
      <w:r w:rsidRPr="00841A32">
        <w:rPr>
          <w:sz w:val="20"/>
          <w:u w:val="single"/>
          <w:lang w:val="fr-FR"/>
        </w:rPr>
        <w:t xml:space="preserve">TABLEAU </w:t>
      </w:r>
      <w:r w:rsidR="00EC73B6" w:rsidRPr="00841A32">
        <w:rPr>
          <w:sz w:val="20"/>
          <w:u w:val="single"/>
          <w:lang w:val="fr-FR"/>
        </w:rPr>
        <w:t>I</w:t>
      </w:r>
      <w:r w:rsidRPr="00841A32">
        <w:rPr>
          <w:sz w:val="20"/>
          <w:u w:val="single"/>
          <w:lang w:val="fr-FR"/>
        </w:rPr>
        <w:t>X - INVESTISSEMENTS ET D</w:t>
      </w:r>
      <w:r w:rsidR="00A23365" w:rsidRPr="00841A32">
        <w:rPr>
          <w:sz w:val="20"/>
          <w:u w:val="single"/>
          <w:lang w:val="fr-FR"/>
        </w:rPr>
        <w:t>É</w:t>
      </w:r>
      <w:r w:rsidRPr="00841A32">
        <w:rPr>
          <w:sz w:val="20"/>
          <w:u w:val="single"/>
          <w:lang w:val="fr-FR"/>
        </w:rPr>
        <w:t>SINVESTISSEMENTS</w:t>
      </w:r>
    </w:p>
    <w:p w14:paraId="1C86883E" w14:textId="77777777" w:rsidR="00096D8B" w:rsidRPr="00841A32" w:rsidRDefault="00096D8B">
      <w:pPr>
        <w:spacing w:line="240" w:lineRule="auto"/>
        <w:ind w:right="850"/>
        <w:rPr>
          <w:sz w:val="20"/>
          <w:lang w:val="fr-FR"/>
        </w:rPr>
      </w:pPr>
      <w:r w:rsidRPr="00841A32">
        <w:rPr>
          <w:sz w:val="20"/>
          <w:lang w:val="fr-FR"/>
        </w:rPr>
        <w:tab/>
      </w:r>
    </w:p>
    <w:p w14:paraId="70258099" w14:textId="77777777" w:rsidR="00096D8B" w:rsidRPr="00841A32" w:rsidRDefault="00A23365">
      <w:pPr>
        <w:spacing w:line="240" w:lineRule="auto"/>
        <w:ind w:right="850"/>
        <w:rPr>
          <w:sz w:val="20"/>
          <w:lang w:val="fr-FR"/>
        </w:rPr>
      </w:pPr>
      <w:r w:rsidRPr="00841A32">
        <w:rPr>
          <w:sz w:val="20"/>
          <w:lang w:val="fr-FR"/>
        </w:rPr>
        <w:t>O</w:t>
      </w:r>
      <w:r w:rsidR="00096D8B" w:rsidRPr="00841A32">
        <w:rPr>
          <w:sz w:val="20"/>
          <w:lang w:val="fr-FR"/>
        </w:rPr>
        <w:t>n demande de donner la ventilation des variations effectives des immobilisations corporelles ou incorporelles d'une part, selon le type d'immobilisations, et, d'autre part, selon le type d'opérations (acquisition ordinaire, acquisition en leasing, vente).</w:t>
      </w:r>
    </w:p>
    <w:p w14:paraId="69C351C2" w14:textId="77777777" w:rsidR="00096D8B" w:rsidRPr="00841A32" w:rsidRDefault="00096D8B">
      <w:pPr>
        <w:spacing w:line="240" w:lineRule="auto"/>
        <w:ind w:right="850"/>
        <w:rPr>
          <w:sz w:val="20"/>
          <w:lang w:val="fr-FR"/>
        </w:rPr>
      </w:pPr>
    </w:p>
    <w:p w14:paraId="05247A23" w14:textId="77777777" w:rsidR="00096D8B" w:rsidRPr="00841A32" w:rsidRDefault="00096D8B">
      <w:pPr>
        <w:spacing w:line="240" w:lineRule="auto"/>
        <w:ind w:right="850"/>
        <w:rPr>
          <w:sz w:val="20"/>
          <w:lang w:val="fr-FR"/>
        </w:rPr>
      </w:pPr>
      <w:r w:rsidRPr="00841A32">
        <w:rPr>
          <w:sz w:val="20"/>
          <w:lang w:val="fr-FR"/>
        </w:rPr>
        <w:t>Les acquisitions de software qui seraient comptabilisées comme immobilisations corporelles ou incorporelles doivent être mentionnées dans la rubrique “Software”.</w:t>
      </w:r>
    </w:p>
    <w:p w14:paraId="636E5173" w14:textId="77777777" w:rsidR="00096D8B" w:rsidRPr="00841A32" w:rsidRDefault="00096D8B">
      <w:pPr>
        <w:spacing w:line="240" w:lineRule="auto"/>
        <w:ind w:right="850"/>
        <w:rPr>
          <w:sz w:val="20"/>
          <w:lang w:val="fr-FR"/>
        </w:rPr>
      </w:pPr>
    </w:p>
    <w:p w14:paraId="1A37A696" w14:textId="77777777" w:rsidR="00096D8B" w:rsidRPr="00841A32" w:rsidRDefault="00096D8B">
      <w:pPr>
        <w:spacing w:line="240" w:lineRule="auto"/>
        <w:ind w:right="850"/>
        <w:rPr>
          <w:sz w:val="20"/>
          <w:lang w:val="fr-FR"/>
        </w:rPr>
      </w:pPr>
      <w:r w:rsidRPr="00841A32">
        <w:rPr>
          <w:sz w:val="20"/>
          <w:lang w:val="fr-FR"/>
        </w:rPr>
        <w:t xml:space="preserve">Ces variations concernent l’ensemble des branches d’assurance de l’entreprise et l’ensemble de ses établissements (y compris ceux situés à l’étranger). Les postes “Bâtiments” comprennent les immeubles de placement et les constructions destinées au fonctionnement de l’entreprise. </w:t>
      </w:r>
    </w:p>
    <w:p w14:paraId="63FE7AFE" w14:textId="77777777" w:rsidR="00096D8B" w:rsidRPr="00841A32" w:rsidRDefault="00096D8B">
      <w:pPr>
        <w:spacing w:line="240" w:lineRule="auto"/>
        <w:ind w:right="850"/>
        <w:rPr>
          <w:sz w:val="20"/>
          <w:lang w:val="fr-FR"/>
        </w:rPr>
      </w:pPr>
      <w:r w:rsidRPr="00841A32">
        <w:rPr>
          <w:sz w:val="20"/>
          <w:lang w:val="fr-FR"/>
        </w:rPr>
        <w:tab/>
      </w:r>
    </w:p>
    <w:p w14:paraId="34C14C73"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Acquisitions hors leasing: ce poste comprend la production immobilisée et les “acquisitions physiques effectives”, c'est-à-dire ne comprend ni les acomptes sur les acquisitions non encore livrées sauf dans le cas des bâtiments en construction, ni les reprises d'immobilisations résultant d'opérations de restructuration d'une société (absorption, scission, apport d’activités,</w:t>
      </w:r>
      <w:r w:rsidR="001E4127" w:rsidRPr="00841A32">
        <w:rPr>
          <w:sz w:val="20"/>
          <w:lang w:val="fr-FR"/>
        </w:rPr>
        <w:t xml:space="preserve"> </w:t>
      </w:r>
      <w:r w:rsidRPr="00841A32">
        <w:rPr>
          <w:sz w:val="20"/>
          <w:lang w:val="fr-FR"/>
        </w:rPr>
        <w:t>...).</w:t>
      </w:r>
    </w:p>
    <w:p w14:paraId="769E9A03" w14:textId="77777777" w:rsidR="00096D8B" w:rsidRPr="00841A32" w:rsidRDefault="00096D8B" w:rsidP="001E4127">
      <w:pPr>
        <w:tabs>
          <w:tab w:val="clear" w:pos="284"/>
          <w:tab w:val="left" w:pos="0"/>
        </w:tabs>
        <w:spacing w:line="240" w:lineRule="auto"/>
        <w:ind w:right="850"/>
        <w:rPr>
          <w:sz w:val="20"/>
          <w:lang w:val="fr-FR"/>
        </w:rPr>
      </w:pPr>
    </w:p>
    <w:p w14:paraId="3D8754CF"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Acquisitions en leasing:  ce poste concerne les acquisitions corporelles en leasing.  Ces acquisitions sont à ventiler selon le type d’actif.</w:t>
      </w:r>
      <w:r w:rsidRPr="00841A32">
        <w:rPr>
          <w:sz w:val="20"/>
          <w:lang w:val="fr-FR"/>
        </w:rPr>
        <w:tab/>
      </w:r>
    </w:p>
    <w:p w14:paraId="0BCD5C73" w14:textId="77777777" w:rsidR="00096D8B" w:rsidRPr="00841A32" w:rsidRDefault="00096D8B" w:rsidP="001E4127">
      <w:pPr>
        <w:tabs>
          <w:tab w:val="clear" w:pos="284"/>
          <w:tab w:val="left" w:pos="0"/>
        </w:tabs>
        <w:spacing w:line="240" w:lineRule="auto"/>
        <w:ind w:right="850"/>
        <w:rPr>
          <w:sz w:val="20"/>
          <w:lang w:val="fr-FR"/>
        </w:rPr>
      </w:pPr>
    </w:p>
    <w:p w14:paraId="606053AF" w14:textId="77777777" w:rsidR="00096D8B" w:rsidRPr="00841A32" w:rsidRDefault="00096D8B" w:rsidP="001E4127">
      <w:pPr>
        <w:tabs>
          <w:tab w:val="clear" w:pos="284"/>
          <w:tab w:val="left" w:pos="0"/>
        </w:tabs>
        <w:spacing w:line="240" w:lineRule="auto"/>
        <w:ind w:right="850"/>
        <w:rPr>
          <w:sz w:val="20"/>
          <w:lang w:val="fr-FR"/>
        </w:rPr>
      </w:pPr>
      <w:r w:rsidRPr="00841A32">
        <w:rPr>
          <w:sz w:val="20"/>
          <w:lang w:val="fr-FR"/>
        </w:rPr>
        <w:t>Ventes: ce poste ne concerne également  que les “ventes physiques effectives”. Elles ne comprennent donc ni les acomptes sur ventes,  ni les cessions liées aux opérations de restructuration, ni les mises au rebut. Les montants à indiquer sont ceux correspondant aux prix du marché (valeur comptable + plus-value réalisée - moins-value réalisée).</w:t>
      </w:r>
    </w:p>
    <w:p w14:paraId="6A774B58" w14:textId="77777777" w:rsidR="00096D8B" w:rsidRPr="00841A32" w:rsidRDefault="00096D8B">
      <w:pPr>
        <w:spacing w:line="240" w:lineRule="auto"/>
        <w:ind w:left="284" w:right="850" w:hanging="284"/>
        <w:rPr>
          <w:sz w:val="20"/>
          <w:lang w:val="fr-FR"/>
        </w:rPr>
      </w:pPr>
    </w:p>
    <w:p w14:paraId="7D9268F3" w14:textId="77777777" w:rsidR="00096D8B" w:rsidRPr="00841A32" w:rsidRDefault="00096D8B">
      <w:pPr>
        <w:spacing w:line="240" w:lineRule="auto"/>
        <w:ind w:right="850"/>
        <w:rPr>
          <w:sz w:val="20"/>
          <w:lang w:val="fr-FR"/>
        </w:rPr>
      </w:pPr>
      <w:r w:rsidRPr="00841A32">
        <w:rPr>
          <w:sz w:val="20"/>
          <w:lang w:val="fr-FR"/>
        </w:rPr>
        <w:t xml:space="preserve">Les immobilisations corporelles comprennent les terrains, les bâtiments (existants ou neufs - y compris les autres travaux de construction), les objets de valeur et les autres immobilisations corporelles. Les terrains bâtis seront selon la valeur relative du bâtiment, considérés comme bâtiments ou comme terrain.  S‘il n’est pas possible de préciser lequel du bâtiment ou du terrain est le plus important, on considère qu’il s’agit d’un bâtiment. </w:t>
      </w:r>
    </w:p>
    <w:p w14:paraId="74D12763" w14:textId="77777777" w:rsidR="00096D8B" w:rsidRPr="00841A32" w:rsidRDefault="00096D8B">
      <w:pPr>
        <w:spacing w:line="240" w:lineRule="auto"/>
        <w:ind w:right="850"/>
        <w:rPr>
          <w:sz w:val="20"/>
          <w:lang w:val="fr-FR"/>
        </w:rPr>
      </w:pPr>
    </w:p>
    <w:p w14:paraId="16E0FD93" w14:textId="77777777" w:rsidR="00AB0C31" w:rsidRPr="00841A32" w:rsidRDefault="001E4127">
      <w:pPr>
        <w:spacing w:line="240" w:lineRule="auto"/>
        <w:ind w:right="850"/>
        <w:rPr>
          <w:sz w:val="20"/>
          <w:lang w:val="fr-FR"/>
        </w:rPr>
      </w:pPr>
      <w:r w:rsidRPr="00841A32">
        <w:rPr>
          <w:sz w:val="20"/>
          <w:lang w:val="fr-FR"/>
        </w:rPr>
        <w:t>Le poste 1 “A</w:t>
      </w:r>
      <w:r w:rsidR="00096D8B" w:rsidRPr="00841A32">
        <w:rPr>
          <w:sz w:val="20"/>
          <w:lang w:val="fr-FR"/>
        </w:rPr>
        <w:t>cquisition d’immobilisations incorporelles” correspond à la rubrique  8.01.021, colonne 1, de l’annexe 1 des comptes annuels</w:t>
      </w:r>
      <w:r w:rsidR="00754EEB" w:rsidRPr="00841A32">
        <w:rPr>
          <w:sz w:val="20"/>
          <w:lang w:val="fr-FR"/>
        </w:rPr>
        <w:t xml:space="preserve"> </w:t>
      </w:r>
      <w:r w:rsidR="00096D8B" w:rsidRPr="00841A32">
        <w:rPr>
          <w:sz w:val="20"/>
          <w:lang w:val="fr-FR"/>
        </w:rPr>
        <w:t xml:space="preserve">”Acquisitions d’actifs incorporels”. </w:t>
      </w:r>
    </w:p>
    <w:p w14:paraId="506CA693" w14:textId="77777777" w:rsidR="00096D8B" w:rsidRPr="00841A32" w:rsidRDefault="00096D8B">
      <w:pPr>
        <w:spacing w:line="240" w:lineRule="auto"/>
        <w:ind w:right="850"/>
        <w:rPr>
          <w:sz w:val="20"/>
          <w:lang w:val="fr-FR"/>
        </w:rPr>
      </w:pPr>
      <w:r w:rsidRPr="00841A32">
        <w:rPr>
          <w:sz w:val="20"/>
          <w:lang w:val="fr-FR"/>
        </w:rPr>
        <w:t>La somme des pos</w:t>
      </w:r>
      <w:r w:rsidR="001E4127" w:rsidRPr="00841A32">
        <w:rPr>
          <w:sz w:val="20"/>
          <w:lang w:val="fr-FR"/>
        </w:rPr>
        <w:t>tes 2.1 “Acquisition de terrains”, 2.2 “A</w:t>
      </w:r>
      <w:r w:rsidRPr="00841A32">
        <w:rPr>
          <w:sz w:val="20"/>
          <w:lang w:val="fr-FR"/>
        </w:rPr>
        <w:t>cquisitions de bâtiments neufs et tr</w:t>
      </w:r>
      <w:r w:rsidR="001E4127" w:rsidRPr="00841A32">
        <w:rPr>
          <w:sz w:val="20"/>
          <w:lang w:val="fr-FR"/>
        </w:rPr>
        <w:t>avaux de construction</w:t>
      </w:r>
      <w:r w:rsidR="00AB0C31" w:rsidRPr="00841A32">
        <w:rPr>
          <w:sz w:val="20"/>
          <w:lang w:val="fr-FR"/>
        </w:rPr>
        <w:t xml:space="preserve"> en logements</w:t>
      </w:r>
      <w:r w:rsidR="001E4127" w:rsidRPr="00841A32">
        <w:rPr>
          <w:sz w:val="20"/>
          <w:lang w:val="fr-FR"/>
        </w:rPr>
        <w:t>”</w:t>
      </w:r>
      <w:r w:rsidR="00AB0C31" w:rsidRPr="00841A32">
        <w:rPr>
          <w:sz w:val="20"/>
          <w:lang w:val="fr-FR"/>
        </w:rPr>
        <w:t>, 2.3 "Acquisitions de bâtiments neufs et travaux de construction hors logement"</w:t>
      </w:r>
      <w:r w:rsidR="001E4127" w:rsidRPr="00841A32">
        <w:rPr>
          <w:sz w:val="20"/>
          <w:lang w:val="fr-FR"/>
        </w:rPr>
        <w:t xml:space="preserve"> et 2.</w:t>
      </w:r>
      <w:r w:rsidR="00AB0C31" w:rsidRPr="00841A32">
        <w:rPr>
          <w:sz w:val="20"/>
          <w:lang w:val="fr-FR"/>
        </w:rPr>
        <w:t>4</w:t>
      </w:r>
      <w:r w:rsidR="001E4127" w:rsidRPr="00841A32">
        <w:rPr>
          <w:sz w:val="20"/>
          <w:lang w:val="fr-FR"/>
        </w:rPr>
        <w:t xml:space="preserve"> “A</w:t>
      </w:r>
      <w:r w:rsidRPr="00841A32">
        <w:rPr>
          <w:sz w:val="20"/>
          <w:lang w:val="fr-FR"/>
        </w:rPr>
        <w:t>cquisitions de bâtiments existants” correspond à la rubrique 8.01.021, colonne 2, de l’annexe 1 des comptes annuels ”Acquisition de terrains et constructions”.</w:t>
      </w:r>
    </w:p>
    <w:p w14:paraId="733F3BC0" w14:textId="77777777" w:rsidR="00096D8B" w:rsidRPr="00841A32" w:rsidRDefault="00096D8B">
      <w:pPr>
        <w:spacing w:line="240" w:lineRule="auto"/>
        <w:ind w:right="850"/>
        <w:rPr>
          <w:sz w:val="20"/>
          <w:lang w:val="fr-FR"/>
        </w:rPr>
      </w:pPr>
    </w:p>
    <w:p w14:paraId="5BE43999" w14:textId="77777777" w:rsidR="00096D8B" w:rsidRPr="00841A32" w:rsidRDefault="00096D8B">
      <w:pPr>
        <w:spacing w:line="240" w:lineRule="auto"/>
        <w:ind w:right="850"/>
        <w:rPr>
          <w:sz w:val="20"/>
          <w:lang w:val="fr-FR"/>
        </w:rPr>
      </w:pPr>
    </w:p>
    <w:p w14:paraId="5D827E5E" w14:textId="77777777" w:rsidR="00C03835" w:rsidRPr="00841A32" w:rsidRDefault="00C03835" w:rsidP="00C03835">
      <w:pPr>
        <w:spacing w:line="240" w:lineRule="auto"/>
        <w:ind w:right="850"/>
        <w:rPr>
          <w:sz w:val="20"/>
          <w:u w:val="single"/>
          <w:lang w:val="fr-FR"/>
        </w:rPr>
      </w:pPr>
      <w:r w:rsidRPr="00841A32">
        <w:rPr>
          <w:sz w:val="20"/>
          <w:u w:val="single"/>
          <w:lang w:val="fr-FR"/>
        </w:rPr>
        <w:t>ETABLISSEMENTS SITUÉS EN BELGIQUE</w:t>
      </w:r>
    </w:p>
    <w:p w14:paraId="7236C98A" w14:textId="77777777" w:rsidR="00C03835" w:rsidRPr="00841A32" w:rsidRDefault="00C03835" w:rsidP="00C03835">
      <w:pPr>
        <w:spacing w:line="240" w:lineRule="auto"/>
        <w:ind w:left="284" w:right="850"/>
        <w:rPr>
          <w:sz w:val="20"/>
          <w:lang w:val="fr-FR"/>
        </w:rPr>
      </w:pPr>
    </w:p>
    <w:p w14:paraId="3ADEBAD4" w14:textId="77777777" w:rsidR="00C03835" w:rsidRPr="00841A32" w:rsidRDefault="00C03835" w:rsidP="00C03835">
      <w:pPr>
        <w:tabs>
          <w:tab w:val="clear" w:pos="284"/>
          <w:tab w:val="left" w:pos="0"/>
        </w:tabs>
        <w:spacing w:line="240" w:lineRule="auto"/>
        <w:ind w:right="850"/>
        <w:rPr>
          <w:sz w:val="20"/>
          <w:lang w:val="fr-FR"/>
        </w:rPr>
      </w:pPr>
      <w:r w:rsidRPr="00841A32">
        <w:rPr>
          <w:sz w:val="20"/>
          <w:lang w:val="fr-FR"/>
        </w:rPr>
        <w:t>Par établissement, on entend l’unité locale. C’est tout ou partie d’une entreprise (par exemple succursale, atelier, usine, bureau, magasin, entrepôt), sise en un lieu topographiquement identifié. Un siège social (ou administratif) situé à un lieu distinct du siège de production doit être considéré comme une unité locale. Ceci vaut également pour d’autres activités logistiques ou auxiliaires (par exemple division informatique distincte, entrepôt). Un Groupement Européen d’Intérêt Economique (GEIE) ne doit pas être considéré comme un établissement ou une succursale.</w:t>
      </w:r>
    </w:p>
    <w:p w14:paraId="0DB22F0F" w14:textId="77777777" w:rsidR="00C03835" w:rsidRPr="00841A32" w:rsidRDefault="00C03835" w:rsidP="00C03835">
      <w:pPr>
        <w:tabs>
          <w:tab w:val="clear" w:pos="284"/>
          <w:tab w:val="left" w:pos="0"/>
        </w:tabs>
        <w:spacing w:line="240" w:lineRule="auto"/>
        <w:ind w:right="850"/>
        <w:rPr>
          <w:sz w:val="20"/>
          <w:lang w:val="fr-FR"/>
        </w:rPr>
      </w:pPr>
    </w:p>
    <w:p w14:paraId="07C41657" w14:textId="77777777" w:rsidR="00C03835" w:rsidRPr="00841A32" w:rsidRDefault="00C03835" w:rsidP="00A23365">
      <w:pPr>
        <w:tabs>
          <w:tab w:val="clear" w:pos="284"/>
        </w:tabs>
        <w:spacing w:line="240" w:lineRule="auto"/>
        <w:ind w:right="850"/>
        <w:rPr>
          <w:sz w:val="20"/>
          <w:lang w:val="fr-FR"/>
        </w:rPr>
      </w:pPr>
      <w:r w:rsidRPr="00841A32">
        <w:rPr>
          <w:sz w:val="20"/>
          <w:lang w:val="fr-FR"/>
        </w:rPr>
        <w:t xml:space="preserve">Trois rubriques du questionnaire général doivent être ventilées entre les différents établissements situés en Belgique. Il s’agit du nombre de travailleurs salariés assujettis à la sécurité sociale au 31 décembre </w:t>
      </w:r>
      <w:r w:rsidR="00560E95" w:rsidRPr="00841A32">
        <w:rPr>
          <w:sz w:val="20"/>
          <w:lang w:val="fr-FR"/>
        </w:rPr>
        <w:t>de l'année sous revue</w:t>
      </w:r>
      <w:r w:rsidRPr="00841A32">
        <w:rPr>
          <w:sz w:val="20"/>
          <w:lang w:val="fr-FR"/>
        </w:rPr>
        <w:t>,  des frais de personnel et des acquisitions hors leasing d’immobilisations corporelles. Le total du nombre de salariés doit correspondre à la rubrique 1 du tableau “B. Personnel”. Le total des frais de personnel doit correspondre au poste 8.12.1 de l’annexe 12 des comptes annuels. Le montant total des acquisitions hors leasing doit correspondre à la rubrique “Acquisitions hors leasing d’immobilisations corporelles” d</w:t>
      </w:r>
      <w:r w:rsidR="005A4965" w:rsidRPr="00841A32">
        <w:rPr>
          <w:sz w:val="20"/>
          <w:lang w:val="fr-FR"/>
        </w:rPr>
        <w:t>u tableau IX</w:t>
      </w:r>
      <w:r w:rsidRPr="00841A32">
        <w:rPr>
          <w:sz w:val="20"/>
          <w:lang w:val="fr-FR"/>
        </w:rPr>
        <w:t>.</w:t>
      </w:r>
      <w:r w:rsidR="00A23365" w:rsidRPr="00841A32">
        <w:rPr>
          <w:sz w:val="20"/>
          <w:lang w:val="fr-FR"/>
        </w:rPr>
        <w:t xml:space="preserve"> </w:t>
      </w:r>
    </w:p>
    <w:p w14:paraId="0899AA73" w14:textId="77777777" w:rsidR="00A23365" w:rsidRPr="00841A32" w:rsidRDefault="00A23365" w:rsidP="00A23365">
      <w:pPr>
        <w:tabs>
          <w:tab w:val="clear" w:pos="284"/>
        </w:tabs>
        <w:spacing w:line="240" w:lineRule="auto"/>
        <w:ind w:right="850"/>
        <w:rPr>
          <w:sz w:val="20"/>
          <w:lang w:val="fr-FR"/>
        </w:rPr>
      </w:pPr>
    </w:p>
    <w:p w14:paraId="0A2CC304" w14:textId="77777777" w:rsidR="00C03835" w:rsidRPr="00841A32" w:rsidRDefault="00C03835">
      <w:pPr>
        <w:spacing w:line="240" w:lineRule="auto"/>
        <w:ind w:right="850"/>
        <w:rPr>
          <w:sz w:val="20"/>
          <w:lang w:val="fr-FR"/>
        </w:rPr>
      </w:pPr>
    </w:p>
    <w:p w14:paraId="72421DA2" w14:textId="77777777" w:rsidR="00096D8B" w:rsidRPr="00841A32" w:rsidRDefault="00C03835">
      <w:pPr>
        <w:spacing w:line="240" w:lineRule="auto"/>
        <w:ind w:right="850"/>
        <w:rPr>
          <w:sz w:val="20"/>
          <w:u w:val="single"/>
          <w:lang w:val="fr-FR"/>
        </w:rPr>
      </w:pPr>
      <w:r w:rsidRPr="00841A32">
        <w:rPr>
          <w:sz w:val="20"/>
          <w:u w:val="single"/>
          <w:lang w:val="fr-FR"/>
        </w:rPr>
        <w:t>ENSEMBLE DES É</w:t>
      </w:r>
      <w:r w:rsidR="00096D8B" w:rsidRPr="00841A32">
        <w:rPr>
          <w:sz w:val="20"/>
          <w:u w:val="single"/>
          <w:lang w:val="fr-FR"/>
        </w:rPr>
        <w:t>TABLISSEMENTS</w:t>
      </w:r>
      <w:r w:rsidRPr="00841A32">
        <w:rPr>
          <w:sz w:val="20"/>
          <w:u w:val="single"/>
          <w:lang w:val="fr-FR"/>
        </w:rPr>
        <w:t xml:space="preserve"> DE L'ENTREPRISE</w:t>
      </w:r>
      <w:r w:rsidR="00096D8B" w:rsidRPr="00841A32">
        <w:rPr>
          <w:sz w:val="20"/>
          <w:lang w:val="fr-FR"/>
        </w:rPr>
        <w:tab/>
      </w:r>
    </w:p>
    <w:p w14:paraId="6D77BDFE" w14:textId="77777777" w:rsidR="00096D8B" w:rsidRPr="00841A32" w:rsidRDefault="00096D8B">
      <w:pPr>
        <w:tabs>
          <w:tab w:val="clear" w:pos="284"/>
        </w:tabs>
        <w:spacing w:line="240" w:lineRule="auto"/>
        <w:ind w:right="850"/>
        <w:rPr>
          <w:sz w:val="20"/>
          <w:lang w:val="fr-FR"/>
        </w:rPr>
      </w:pPr>
    </w:p>
    <w:p w14:paraId="25C0BA14" w14:textId="77777777" w:rsidR="00C03835" w:rsidRPr="00841A32" w:rsidRDefault="004C5874">
      <w:pPr>
        <w:tabs>
          <w:tab w:val="clear" w:pos="284"/>
        </w:tabs>
        <w:spacing w:line="240" w:lineRule="auto"/>
        <w:ind w:right="850"/>
        <w:rPr>
          <w:sz w:val="20"/>
          <w:lang w:val="fr-FR"/>
        </w:rPr>
      </w:pPr>
      <w:r w:rsidRPr="00841A32">
        <w:rPr>
          <w:sz w:val="20"/>
          <w:lang w:val="fr-FR"/>
        </w:rPr>
        <w:t>Pour les</w:t>
      </w:r>
      <w:r w:rsidR="00096D8B" w:rsidRPr="00841A32">
        <w:rPr>
          <w:sz w:val="20"/>
          <w:lang w:val="fr-FR"/>
        </w:rPr>
        <w:t xml:space="preserve"> établissements situés en Belgique</w:t>
      </w:r>
      <w:r w:rsidRPr="00841A32">
        <w:rPr>
          <w:sz w:val="20"/>
          <w:lang w:val="fr-FR"/>
        </w:rPr>
        <w:t>, les valeurs</w:t>
      </w:r>
      <w:r w:rsidR="00C03835" w:rsidRPr="00841A32">
        <w:rPr>
          <w:sz w:val="20"/>
          <w:lang w:val="fr-FR"/>
        </w:rPr>
        <w:t xml:space="preserve"> sont </w:t>
      </w:r>
      <w:r w:rsidR="00754EEB" w:rsidRPr="00841A32">
        <w:rPr>
          <w:sz w:val="20"/>
          <w:lang w:val="fr-FR"/>
        </w:rPr>
        <w:t>automatiquement</w:t>
      </w:r>
      <w:r w:rsidR="00C03835" w:rsidRPr="00841A32">
        <w:rPr>
          <w:sz w:val="20"/>
          <w:lang w:val="fr-FR"/>
        </w:rPr>
        <w:t xml:space="preserve"> repris</w:t>
      </w:r>
      <w:r w:rsidRPr="00841A32">
        <w:rPr>
          <w:sz w:val="20"/>
          <w:lang w:val="fr-FR"/>
        </w:rPr>
        <w:t>es</w:t>
      </w:r>
      <w:r w:rsidR="00C03835" w:rsidRPr="00841A32">
        <w:rPr>
          <w:sz w:val="20"/>
          <w:lang w:val="fr-FR"/>
        </w:rPr>
        <w:t xml:space="preserve"> du tableau précédent.</w:t>
      </w:r>
      <w:r w:rsidR="00096D8B" w:rsidRPr="00841A32">
        <w:rPr>
          <w:sz w:val="20"/>
          <w:lang w:val="fr-FR"/>
        </w:rPr>
        <w:t xml:space="preserve"> Les renseignements relatifs aux établissements situés à l’étranger  doivent être </w:t>
      </w:r>
      <w:r w:rsidRPr="00841A32">
        <w:rPr>
          <w:sz w:val="20"/>
          <w:lang w:val="fr-FR"/>
        </w:rPr>
        <w:t>introduits</w:t>
      </w:r>
      <w:r w:rsidR="00C03835" w:rsidRPr="00841A32">
        <w:rPr>
          <w:sz w:val="20"/>
          <w:lang w:val="fr-FR"/>
        </w:rPr>
        <w:t>.</w:t>
      </w:r>
      <w:r w:rsidRPr="00841A32">
        <w:rPr>
          <w:sz w:val="20"/>
          <w:lang w:val="fr-FR"/>
        </w:rPr>
        <w:t xml:space="preserve"> Il s'agit des totaux et non plus de données par établissement. Une fois les informations précédentes sauvées, les totaux pour</w:t>
      </w:r>
      <w:r w:rsidR="00D4447A" w:rsidRPr="00841A32">
        <w:rPr>
          <w:sz w:val="20"/>
          <w:lang w:val="fr-FR"/>
        </w:rPr>
        <w:t xml:space="preserve"> l'ensemble de</w:t>
      </w:r>
      <w:r w:rsidRPr="00841A32">
        <w:rPr>
          <w:sz w:val="20"/>
          <w:lang w:val="fr-FR"/>
        </w:rPr>
        <w:t xml:space="preserve"> l'entreprise seront automatiquement calculés.</w:t>
      </w:r>
    </w:p>
    <w:sectPr w:rsidR="00C03835" w:rsidRPr="00841A32">
      <w:footerReference w:type="default" r:id="rId6"/>
      <w:pgSz w:w="11907" w:h="16840" w:code="9"/>
      <w:pgMar w:top="1134" w:right="1134" w:bottom="1134" w:left="1134" w:header="567" w:footer="567"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BE53A" w14:textId="77777777" w:rsidR="0026285C" w:rsidRDefault="0026285C">
      <w:r>
        <w:separator/>
      </w:r>
    </w:p>
  </w:endnote>
  <w:endnote w:type="continuationSeparator" w:id="0">
    <w:p w14:paraId="171C30E6" w14:textId="77777777" w:rsidR="0026285C" w:rsidRDefault="002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6210" w14:textId="77777777" w:rsidR="00A664B0" w:rsidRDefault="00A664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4E08" w14:textId="77777777" w:rsidR="0026285C" w:rsidRDefault="0026285C">
      <w:r>
        <w:separator/>
      </w:r>
    </w:p>
  </w:footnote>
  <w:footnote w:type="continuationSeparator" w:id="0">
    <w:p w14:paraId="440F16A5" w14:textId="77777777" w:rsidR="0026285C" w:rsidRDefault="0026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13B"/>
    <w:rsid w:val="00096D8B"/>
    <w:rsid w:val="001968B2"/>
    <w:rsid w:val="001E4127"/>
    <w:rsid w:val="00236A54"/>
    <w:rsid w:val="0026285C"/>
    <w:rsid w:val="002A3DE9"/>
    <w:rsid w:val="002A473F"/>
    <w:rsid w:val="00346D77"/>
    <w:rsid w:val="00346F2B"/>
    <w:rsid w:val="00377E96"/>
    <w:rsid w:val="003A405F"/>
    <w:rsid w:val="003E5DB0"/>
    <w:rsid w:val="00440F00"/>
    <w:rsid w:val="00466041"/>
    <w:rsid w:val="004A622A"/>
    <w:rsid w:val="004C5874"/>
    <w:rsid w:val="00501273"/>
    <w:rsid w:val="0050197F"/>
    <w:rsid w:val="00560E95"/>
    <w:rsid w:val="005A4965"/>
    <w:rsid w:val="00695AEE"/>
    <w:rsid w:val="00700D22"/>
    <w:rsid w:val="00743F9B"/>
    <w:rsid w:val="0075273C"/>
    <w:rsid w:val="00754EEB"/>
    <w:rsid w:val="007C0978"/>
    <w:rsid w:val="00805ECE"/>
    <w:rsid w:val="008120CE"/>
    <w:rsid w:val="00841A32"/>
    <w:rsid w:val="0091569D"/>
    <w:rsid w:val="00924E73"/>
    <w:rsid w:val="0098073F"/>
    <w:rsid w:val="00A23365"/>
    <w:rsid w:val="00A664B0"/>
    <w:rsid w:val="00AB0C31"/>
    <w:rsid w:val="00AC4FE4"/>
    <w:rsid w:val="00AE08C3"/>
    <w:rsid w:val="00C03835"/>
    <w:rsid w:val="00CA22ED"/>
    <w:rsid w:val="00D33DF8"/>
    <w:rsid w:val="00D4447A"/>
    <w:rsid w:val="00D920C6"/>
    <w:rsid w:val="00E1159D"/>
    <w:rsid w:val="00E23C22"/>
    <w:rsid w:val="00E97C9B"/>
    <w:rsid w:val="00EC73B6"/>
    <w:rsid w:val="00F36663"/>
    <w:rsid w:val="00F5213B"/>
    <w:rsid w:val="00F63C83"/>
    <w:rsid w:val="00FC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415E3"/>
  <w15:docId w15:val="{0DDDC21C-E1DA-4886-B5D0-DE8DDEB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spacing w:line="360" w:lineRule="atLeast"/>
      <w:jc w:val="both"/>
    </w:pPr>
    <w:rPr>
      <w:sz w:val="22"/>
      <w:lang w:val="en-GB"/>
    </w:rPr>
  </w:style>
  <w:style w:type="paragraph" w:styleId="Heading1">
    <w:name w:val="heading 1"/>
    <w:basedOn w:val="Normal"/>
    <w:next w:val="Normal"/>
    <w:qFormat/>
    <w:pPr>
      <w:keepNext/>
      <w:keepLines/>
      <w:spacing w:before="240" w:after="240"/>
      <w:outlineLvl w:val="0"/>
    </w:pPr>
    <w:rPr>
      <w:b/>
      <w:caps/>
      <w:u w:val="single"/>
    </w:rPr>
  </w:style>
  <w:style w:type="paragraph" w:styleId="Heading2">
    <w:name w:val="heading 2"/>
    <w:basedOn w:val="Normal"/>
    <w:next w:val="Normal"/>
    <w:qFormat/>
    <w:pPr>
      <w:keepNext/>
      <w:keepLines/>
      <w:tabs>
        <w:tab w:val="left" w:pos="454"/>
      </w:tabs>
      <w:spacing w:before="120" w:after="120"/>
      <w:outlineLvl w:val="1"/>
    </w:pPr>
    <w:rPr>
      <w:caps/>
      <w:u w:val="single"/>
    </w:rPr>
  </w:style>
  <w:style w:type="paragraph" w:styleId="Heading3">
    <w:name w:val="heading 3"/>
    <w:basedOn w:val="Normal"/>
    <w:next w:val="Normal"/>
    <w:qFormat/>
    <w:pPr>
      <w:keepNext/>
      <w:keepLines/>
      <w:tabs>
        <w:tab w:val="left" w:pos="624"/>
      </w:tabs>
      <w:outlineLvl w:val="2"/>
    </w:pPr>
    <w:rPr>
      <w:caps/>
    </w:rPr>
  </w:style>
  <w:style w:type="paragraph" w:styleId="Heading4">
    <w:name w:val="heading 4"/>
    <w:basedOn w:val="Normal"/>
    <w:next w:val="Normal"/>
    <w:qFormat/>
    <w:pPr>
      <w:keepNext/>
      <w:keepLines/>
      <w:tabs>
        <w:tab w:val="left" w:pos="794"/>
      </w:tabs>
      <w:outlineLvl w:val="3"/>
    </w:pPr>
    <w:rPr>
      <w:u w:val="single"/>
    </w:rPr>
  </w:style>
  <w:style w:type="paragraph" w:styleId="Heading5">
    <w:name w:val="heading 5"/>
    <w:basedOn w:val="Normal"/>
    <w:next w:val="Normal"/>
    <w:qFormat/>
    <w:pPr>
      <w:keepNext/>
      <w:keepLines/>
      <w:tabs>
        <w:tab w:val="left" w:pos="964"/>
      </w:tabs>
      <w:outlineLvl w:val="4"/>
    </w:pPr>
  </w:style>
  <w:style w:type="paragraph" w:styleId="Heading6">
    <w:name w:val="heading 6"/>
    <w:basedOn w:val="Normal"/>
    <w:next w:val="Normal"/>
    <w:qFormat/>
    <w:pPr>
      <w:keepNext/>
      <w:keepLines/>
      <w:tabs>
        <w:tab w:val="left" w:pos="1049"/>
      </w:tabs>
      <w:outlineLvl w:val="5"/>
    </w:pPr>
  </w:style>
  <w:style w:type="paragraph" w:styleId="Heading7">
    <w:name w:val="heading 7"/>
    <w:basedOn w:val="Normal"/>
    <w:next w:val="Normal"/>
    <w:qFormat/>
    <w:pPr>
      <w:keepNext/>
      <w:keepLines/>
      <w:tabs>
        <w:tab w:val="left" w:pos="1219"/>
      </w:tabs>
      <w:outlineLvl w:val="6"/>
    </w:pPr>
  </w:style>
  <w:style w:type="paragraph" w:styleId="Heading8">
    <w:name w:val="heading 8"/>
    <w:basedOn w:val="Normal"/>
    <w:next w:val="Normal"/>
    <w:qFormat/>
    <w:pPr>
      <w:keepNext/>
      <w:keepLines/>
      <w:tabs>
        <w:tab w:val="left" w:pos="1378"/>
      </w:tabs>
      <w:outlineLvl w:val="7"/>
    </w:pPr>
  </w:style>
  <w:style w:type="paragraph" w:styleId="Heading9">
    <w:name w:val="heading 9"/>
    <w:basedOn w:val="Normal"/>
    <w:next w:val="Normal"/>
    <w:qFormat/>
    <w:pPr>
      <w:keepNext/>
      <w:keepLines/>
      <w:tabs>
        <w:tab w:val="left" w:pos="154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pPr>
      <w:keepLines/>
      <w:tabs>
        <w:tab w:val="clear" w:pos="284"/>
        <w:tab w:val="right" w:leader="dot" w:pos="8789"/>
      </w:tabs>
      <w:ind w:left="879" w:right="567" w:hanging="879"/>
      <w:jc w:val="left"/>
    </w:pPr>
  </w:style>
  <w:style w:type="paragraph" w:styleId="TOC4">
    <w:name w:val="toc 4"/>
    <w:basedOn w:val="Normal"/>
    <w:next w:val="Normal"/>
    <w:semiHidden/>
    <w:pPr>
      <w:keepLines/>
      <w:tabs>
        <w:tab w:val="clear" w:pos="284"/>
        <w:tab w:val="right" w:leader="dot" w:pos="8789"/>
      </w:tabs>
      <w:ind w:left="714" w:right="567" w:hanging="714"/>
      <w:jc w:val="left"/>
    </w:pPr>
  </w:style>
  <w:style w:type="paragraph" w:styleId="TOC3">
    <w:name w:val="toc 3"/>
    <w:basedOn w:val="Normal"/>
    <w:next w:val="Normal"/>
    <w:semiHidden/>
    <w:pPr>
      <w:keepLines/>
      <w:tabs>
        <w:tab w:val="clear" w:pos="284"/>
        <w:tab w:val="right" w:leader="dot" w:pos="8789"/>
      </w:tabs>
      <w:ind w:left="556" w:right="567" w:hanging="556"/>
      <w:jc w:val="left"/>
    </w:pPr>
  </w:style>
  <w:style w:type="paragraph" w:styleId="TOC2">
    <w:name w:val="toc 2"/>
    <w:basedOn w:val="Normal"/>
    <w:next w:val="Normal"/>
    <w:semiHidden/>
    <w:pPr>
      <w:keepLines/>
      <w:tabs>
        <w:tab w:val="clear" w:pos="284"/>
        <w:tab w:val="right" w:leader="dot" w:pos="8789"/>
      </w:tabs>
      <w:ind w:left="397" w:right="567" w:hanging="397"/>
      <w:jc w:val="left"/>
    </w:pPr>
  </w:style>
  <w:style w:type="paragraph" w:styleId="TOC1">
    <w:name w:val="toc 1"/>
    <w:basedOn w:val="Normal"/>
    <w:next w:val="Normal"/>
    <w:semiHidden/>
    <w:pPr>
      <w:keepLines/>
      <w:tabs>
        <w:tab w:val="clear" w:pos="284"/>
        <w:tab w:val="right" w:leader="dot" w:pos="8789"/>
      </w:tabs>
      <w:ind w:left="227" w:right="567" w:hanging="227"/>
      <w:jc w:val="left"/>
    </w:pPr>
  </w:style>
  <w:style w:type="paragraph" w:styleId="Footer">
    <w:name w:val="footer"/>
    <w:basedOn w:val="Normal"/>
    <w:pPr>
      <w:tabs>
        <w:tab w:val="center" w:pos="4395"/>
        <w:tab w:val="right" w:pos="8789"/>
      </w:tabs>
      <w:spacing w:line="240" w:lineRule="auto"/>
    </w:pPr>
    <w:rPr>
      <w:sz w:val="18"/>
    </w:rPr>
  </w:style>
  <w:style w:type="paragraph" w:styleId="Header">
    <w:name w:val="header"/>
    <w:basedOn w:val="Normal"/>
    <w:pPr>
      <w:tabs>
        <w:tab w:val="clear" w:pos="284"/>
        <w:tab w:val="center" w:pos="4819"/>
        <w:tab w:val="right" w:pos="9071"/>
      </w:tabs>
      <w:spacing w:line="240" w:lineRule="auto"/>
    </w:pPr>
  </w:style>
  <w:style w:type="character" w:styleId="FootnoteReference">
    <w:name w:val="footnote reference"/>
    <w:semiHidden/>
    <w:rPr>
      <w:position w:val="6"/>
      <w:sz w:val="16"/>
    </w:rPr>
  </w:style>
  <w:style w:type="paragraph" w:styleId="FootnoteText">
    <w:name w:val="footnote text"/>
    <w:basedOn w:val="Normal"/>
    <w:semiHidden/>
    <w:pPr>
      <w:spacing w:line="240" w:lineRule="atLeast"/>
    </w:pPr>
    <w:rPr>
      <w:sz w:val="18"/>
    </w:rPr>
  </w:style>
  <w:style w:type="paragraph" w:styleId="NormalIndent">
    <w:name w:val="Normal Indent"/>
    <w:basedOn w:val="Normal"/>
    <w:pPr>
      <w:tabs>
        <w:tab w:val="clear" w:pos="284"/>
        <w:tab w:val="left" w:pos="567"/>
      </w:tabs>
      <w:ind w:left="284"/>
    </w:pPr>
  </w:style>
  <w:style w:type="paragraph" w:customStyle="1" w:styleId="auteurs">
    <w:name w:val="auteurs"/>
    <w:basedOn w:val="Normal"/>
    <w:pPr>
      <w:tabs>
        <w:tab w:val="center" w:pos="1985"/>
        <w:tab w:val="center" w:pos="6521"/>
      </w:tabs>
      <w:jc w:val="left"/>
    </w:pPr>
  </w:style>
  <w:style w:type="paragraph" w:styleId="MacroText">
    <w:name w:val="macro"/>
    <w:semiHidden/>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semiHidden/>
    <w:pPr>
      <w:keepLines/>
      <w:tabs>
        <w:tab w:val="clear" w:pos="284"/>
        <w:tab w:val="right" w:leader="dot" w:pos="8789"/>
      </w:tabs>
      <w:ind w:left="1049" w:right="567" w:hanging="1049"/>
      <w:jc w:val="left"/>
    </w:pPr>
  </w:style>
  <w:style w:type="paragraph" w:styleId="TOC7">
    <w:name w:val="toc 7"/>
    <w:basedOn w:val="Normal"/>
    <w:next w:val="Normal"/>
    <w:semiHidden/>
    <w:pPr>
      <w:keepLines/>
      <w:tabs>
        <w:tab w:val="clear" w:pos="284"/>
        <w:tab w:val="right" w:leader="dot" w:pos="8789"/>
      </w:tabs>
      <w:ind w:left="1219" w:right="567" w:hanging="1219"/>
      <w:jc w:val="left"/>
    </w:pPr>
  </w:style>
  <w:style w:type="paragraph" w:styleId="TOC8">
    <w:name w:val="toc 8"/>
    <w:basedOn w:val="Normal"/>
    <w:next w:val="Normal"/>
    <w:semiHidden/>
    <w:pPr>
      <w:keepLines/>
      <w:tabs>
        <w:tab w:val="clear" w:pos="284"/>
        <w:tab w:val="right" w:leader="dot" w:pos="8789"/>
      </w:tabs>
      <w:ind w:left="1378" w:right="567" w:hanging="1378"/>
      <w:jc w:val="left"/>
    </w:pPr>
  </w:style>
  <w:style w:type="paragraph" w:styleId="TOC9">
    <w:name w:val="toc 9"/>
    <w:basedOn w:val="Normal"/>
    <w:next w:val="Normal"/>
    <w:semiHidden/>
    <w:pPr>
      <w:keepLines/>
      <w:tabs>
        <w:tab w:val="clear" w:pos="284"/>
        <w:tab w:val="right" w:leader="dot" w:pos="8789"/>
      </w:tabs>
      <w:ind w:left="1548" w:right="567" w:hanging="154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1900</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Questionnaire détaillé</vt:lpstr>
    </vt:vector>
  </TitlesOfParts>
  <Company>National Bank of Belgium</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détaillé</dc:title>
  <dc:creator>thiry</dc:creator>
  <cp:lastModifiedBy>Raveel Guy</cp:lastModifiedBy>
  <cp:revision>5</cp:revision>
  <cp:lastPrinted>2011-04-12T08:20:00Z</cp:lastPrinted>
  <dcterms:created xsi:type="dcterms:W3CDTF">2018-04-25T12:02:00Z</dcterms:created>
  <dcterms:modified xsi:type="dcterms:W3CDTF">2021-11-24T08:40:00Z</dcterms:modified>
</cp:coreProperties>
</file>