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4A813" w14:textId="77777777" w:rsidR="00EB7145" w:rsidRPr="00A32A5F" w:rsidRDefault="00EB7145" w:rsidP="00EB7145">
      <w:pPr>
        <w:pBdr>
          <w:top w:val="single" w:sz="6" w:space="1" w:color="auto"/>
          <w:left w:val="single" w:sz="6" w:space="1" w:color="auto"/>
          <w:bottom w:val="single" w:sz="6" w:space="0" w:color="auto"/>
          <w:right w:val="single" w:sz="6" w:space="1" w:color="auto"/>
        </w:pBdr>
        <w:tabs>
          <w:tab w:val="left" w:pos="8789"/>
        </w:tabs>
        <w:spacing w:line="240" w:lineRule="auto"/>
        <w:jc w:val="center"/>
        <w:rPr>
          <w:rFonts w:cs="Arial"/>
          <w:b/>
          <w:szCs w:val="22"/>
        </w:rPr>
      </w:pPr>
      <w:bookmarkStart w:id="0" w:name="_Hlk88638303"/>
      <w:r w:rsidRPr="00A32A5F">
        <w:rPr>
          <w:rFonts w:cs="Arial"/>
          <w:b/>
          <w:szCs w:val="22"/>
        </w:rPr>
        <w:t xml:space="preserve">NOTES </w:t>
      </w:r>
      <w:r>
        <w:rPr>
          <w:rFonts w:cs="Arial"/>
          <w:b/>
          <w:szCs w:val="22"/>
        </w:rPr>
        <w:t>REINSURANCE COMPANIES</w:t>
      </w:r>
    </w:p>
    <w:p w14:paraId="4030AB9B" w14:textId="77777777" w:rsidR="00EB7145" w:rsidRPr="00A32A5F" w:rsidRDefault="00EB7145" w:rsidP="00EB7145">
      <w:pPr>
        <w:tabs>
          <w:tab w:val="left" w:pos="0"/>
          <w:tab w:val="left" w:pos="8789"/>
        </w:tabs>
        <w:spacing w:line="240" w:lineRule="auto"/>
        <w:rPr>
          <w:rFonts w:cs="Arial"/>
          <w:szCs w:val="22"/>
        </w:rPr>
      </w:pPr>
    </w:p>
    <w:p w14:paraId="263436D2" w14:textId="77777777" w:rsidR="00EB7145" w:rsidRPr="00A32A5F" w:rsidRDefault="00EB7145" w:rsidP="00EB7145">
      <w:pPr>
        <w:tabs>
          <w:tab w:val="left" w:pos="0"/>
          <w:tab w:val="left" w:pos="8789"/>
        </w:tabs>
        <w:spacing w:line="240" w:lineRule="auto"/>
        <w:rPr>
          <w:rFonts w:cs="Arial"/>
          <w:szCs w:val="22"/>
        </w:rPr>
      </w:pPr>
    </w:p>
    <w:p w14:paraId="3C27E424" w14:textId="77777777" w:rsidR="00EB7145" w:rsidRPr="00A32A5F" w:rsidRDefault="00EB7145" w:rsidP="00EB7145">
      <w:pPr>
        <w:tabs>
          <w:tab w:val="left" w:pos="0"/>
          <w:tab w:val="left" w:pos="8789"/>
        </w:tabs>
        <w:spacing w:line="240" w:lineRule="auto"/>
        <w:rPr>
          <w:rFonts w:cs="Arial"/>
          <w:szCs w:val="22"/>
        </w:rPr>
      </w:pPr>
    </w:p>
    <w:p w14:paraId="6168085A" w14:textId="77777777" w:rsidR="00EB7145" w:rsidRPr="00A32A5F" w:rsidRDefault="00EB7145" w:rsidP="00EB7145">
      <w:pPr>
        <w:tabs>
          <w:tab w:val="left" w:pos="0"/>
          <w:tab w:val="left" w:pos="8789"/>
        </w:tabs>
        <w:spacing w:line="240" w:lineRule="auto"/>
        <w:rPr>
          <w:rFonts w:cs="Arial"/>
          <w:szCs w:val="22"/>
        </w:rPr>
      </w:pPr>
      <w:r w:rsidRPr="00A32A5F">
        <w:rPr>
          <w:rFonts w:cs="Arial"/>
          <w:szCs w:val="22"/>
        </w:rPr>
        <w:t xml:space="preserve">This survey aims to gather statistical data on insurance companies active in Belgium, </w:t>
      </w:r>
      <w:proofErr w:type="gramStart"/>
      <w:r w:rsidRPr="00A32A5F">
        <w:rPr>
          <w:rFonts w:cs="Arial"/>
          <w:szCs w:val="22"/>
        </w:rPr>
        <w:t>i.e.</w:t>
      </w:r>
      <w:proofErr w:type="gramEnd"/>
      <w:r w:rsidRPr="00A32A5F">
        <w:rPr>
          <w:rFonts w:cs="Arial"/>
          <w:szCs w:val="22"/>
        </w:rPr>
        <w:t xml:space="preserve"> Belgium-based branches whose registered office is incorporated in a member state of the European Economic Area (EEA). </w:t>
      </w:r>
    </w:p>
    <w:p w14:paraId="6F154546" w14:textId="77777777" w:rsidR="00EB7145" w:rsidRPr="00A32A5F" w:rsidRDefault="00EB7145" w:rsidP="00EB7145">
      <w:pPr>
        <w:tabs>
          <w:tab w:val="left" w:pos="0"/>
          <w:tab w:val="left" w:pos="8789"/>
        </w:tabs>
        <w:spacing w:line="240" w:lineRule="auto"/>
        <w:rPr>
          <w:rFonts w:cs="Arial"/>
          <w:szCs w:val="22"/>
        </w:rPr>
      </w:pPr>
    </w:p>
    <w:p w14:paraId="1E0F93CE" w14:textId="77777777" w:rsidR="00EB7145" w:rsidRPr="00A32A5F" w:rsidRDefault="00EB7145" w:rsidP="00EB7145">
      <w:pPr>
        <w:tabs>
          <w:tab w:val="left" w:pos="8789"/>
        </w:tabs>
        <w:spacing w:line="240" w:lineRule="auto"/>
        <w:rPr>
          <w:rFonts w:cs="Arial"/>
          <w:szCs w:val="22"/>
        </w:rPr>
      </w:pPr>
      <w:r w:rsidRPr="00A32A5F">
        <w:rPr>
          <w:rFonts w:cs="Arial"/>
          <w:szCs w:val="22"/>
        </w:rPr>
        <w:t>In addition to some information identifying the companies, information requested is of an accounting nature.</w:t>
      </w:r>
    </w:p>
    <w:p w14:paraId="56A60599" w14:textId="77777777" w:rsidR="00EB7145" w:rsidRPr="00A32A5F" w:rsidRDefault="00EB7145" w:rsidP="00EB7145">
      <w:pPr>
        <w:tabs>
          <w:tab w:val="left" w:pos="0"/>
          <w:tab w:val="left" w:pos="8789"/>
        </w:tabs>
        <w:spacing w:line="240" w:lineRule="auto"/>
        <w:rPr>
          <w:rFonts w:cs="Arial"/>
          <w:szCs w:val="22"/>
        </w:rPr>
      </w:pPr>
    </w:p>
    <w:p w14:paraId="3A31AE87" w14:textId="77777777" w:rsidR="00EB7145" w:rsidRPr="00A32A5F" w:rsidRDefault="00EB7145" w:rsidP="00EB7145">
      <w:pPr>
        <w:tabs>
          <w:tab w:val="left" w:pos="0"/>
          <w:tab w:val="left" w:pos="8789"/>
        </w:tabs>
        <w:spacing w:line="240" w:lineRule="auto"/>
        <w:rPr>
          <w:rFonts w:cs="Arial"/>
          <w:szCs w:val="22"/>
        </w:rPr>
      </w:pPr>
      <w:r w:rsidRPr="00A32A5F">
        <w:rPr>
          <w:rFonts w:cs="Arial"/>
          <w:szCs w:val="22"/>
        </w:rPr>
        <w:t>The report must be filed electronically using OneGate, the reporting system of the National Bank of Belgium (</w:t>
      </w:r>
      <w:hyperlink r:id="rId7" w:history="1">
        <w:r w:rsidRPr="00A32A5F">
          <w:rPr>
            <w:rStyle w:val="Hyperlink"/>
            <w:rFonts w:cs="Arial"/>
            <w:color w:val="auto"/>
            <w:szCs w:val="22"/>
          </w:rPr>
          <w:t>OneGate</w:t>
        </w:r>
      </w:hyperlink>
      <w:r w:rsidRPr="00A32A5F">
        <w:rPr>
          <w:rFonts w:cs="Arial"/>
          <w:szCs w:val="22"/>
        </w:rPr>
        <w:t>) https://www.nbb.be/doc/dd/onegate/en_login.html</w:t>
      </w:r>
    </w:p>
    <w:p w14:paraId="1F0132C2" w14:textId="77777777" w:rsidR="00EB7145" w:rsidRPr="00A32A5F" w:rsidRDefault="00EB7145" w:rsidP="00EB7145">
      <w:pPr>
        <w:tabs>
          <w:tab w:val="left" w:pos="0"/>
          <w:tab w:val="left" w:pos="8789"/>
        </w:tabs>
        <w:spacing w:line="240" w:lineRule="auto"/>
        <w:rPr>
          <w:rFonts w:cs="Arial"/>
          <w:szCs w:val="22"/>
        </w:rPr>
      </w:pPr>
      <w:r w:rsidRPr="00A32A5F">
        <w:rPr>
          <w:rFonts w:cs="Arial"/>
          <w:szCs w:val="22"/>
        </w:rPr>
        <w:t xml:space="preserve"> </w:t>
      </w:r>
    </w:p>
    <w:p w14:paraId="0C04FB6B" w14:textId="77777777" w:rsidR="00EB7145" w:rsidRPr="00A32A5F" w:rsidRDefault="00EB7145" w:rsidP="00EB7145">
      <w:pPr>
        <w:tabs>
          <w:tab w:val="left" w:pos="0"/>
          <w:tab w:val="left" w:pos="8789"/>
        </w:tabs>
        <w:spacing w:line="240" w:lineRule="auto"/>
        <w:rPr>
          <w:rFonts w:cs="Arial"/>
          <w:szCs w:val="22"/>
        </w:rPr>
      </w:pPr>
      <w:r w:rsidRPr="00A32A5F">
        <w:rPr>
          <w:rFonts w:cs="Arial"/>
          <w:szCs w:val="22"/>
        </w:rPr>
        <w:t xml:space="preserve">All amounts must be in </w:t>
      </w:r>
      <w:r w:rsidRPr="00A32A5F">
        <w:rPr>
          <w:rFonts w:cs="Arial"/>
          <w:szCs w:val="22"/>
          <w:u w:val="single"/>
        </w:rPr>
        <w:t>euros</w:t>
      </w:r>
      <w:r w:rsidRPr="00A32A5F">
        <w:rPr>
          <w:rFonts w:cs="Arial"/>
          <w:szCs w:val="22"/>
        </w:rPr>
        <w:t xml:space="preserve"> unless stated otherwise.</w:t>
      </w:r>
    </w:p>
    <w:p w14:paraId="362E0187" w14:textId="77777777" w:rsidR="00EB7145" w:rsidRPr="00A32A5F" w:rsidRDefault="00EB7145" w:rsidP="00EB7145">
      <w:pPr>
        <w:tabs>
          <w:tab w:val="left" w:pos="0"/>
          <w:tab w:val="left" w:pos="8789"/>
        </w:tabs>
        <w:spacing w:line="240" w:lineRule="auto"/>
        <w:rPr>
          <w:rFonts w:cs="Arial"/>
          <w:szCs w:val="22"/>
        </w:rPr>
      </w:pPr>
    </w:p>
    <w:p w14:paraId="1DFD60BA" w14:textId="77777777" w:rsidR="00EB7145" w:rsidRPr="00A32A5F" w:rsidRDefault="00EB7145" w:rsidP="00EB7145">
      <w:pPr>
        <w:tabs>
          <w:tab w:val="left" w:pos="0"/>
          <w:tab w:val="left" w:pos="8789"/>
        </w:tabs>
        <w:spacing w:line="240" w:lineRule="auto"/>
        <w:rPr>
          <w:rFonts w:cs="Arial"/>
          <w:szCs w:val="22"/>
        </w:rPr>
      </w:pPr>
      <w:r w:rsidRPr="00A32A5F">
        <w:rPr>
          <w:rFonts w:cs="Arial"/>
          <w:szCs w:val="22"/>
        </w:rPr>
        <w:t>The report relates to the most recently completed financial year.</w:t>
      </w:r>
    </w:p>
    <w:p w14:paraId="1C747A64" w14:textId="77777777" w:rsidR="00EB7145" w:rsidRPr="00A32A5F" w:rsidRDefault="00EB7145" w:rsidP="00EB7145">
      <w:pPr>
        <w:tabs>
          <w:tab w:val="left" w:pos="0"/>
          <w:tab w:val="left" w:pos="8789"/>
        </w:tabs>
        <w:spacing w:line="240" w:lineRule="auto"/>
        <w:rPr>
          <w:rFonts w:cs="Arial"/>
          <w:szCs w:val="22"/>
        </w:rPr>
      </w:pPr>
    </w:p>
    <w:p w14:paraId="3B88185C" w14:textId="77777777" w:rsidR="00EB7145" w:rsidRPr="00A32A5F" w:rsidRDefault="00EB7145" w:rsidP="00EB7145">
      <w:pPr>
        <w:tabs>
          <w:tab w:val="left" w:pos="0"/>
          <w:tab w:val="left" w:pos="8789"/>
        </w:tabs>
        <w:spacing w:line="240" w:lineRule="auto"/>
        <w:rPr>
          <w:rFonts w:cs="Arial"/>
          <w:szCs w:val="22"/>
        </w:rPr>
      </w:pPr>
      <w:r w:rsidRPr="00A32A5F">
        <w:rPr>
          <w:rFonts w:cs="Arial"/>
          <w:szCs w:val="22"/>
        </w:rPr>
        <w:t>The report exclusively pertains to branches’ activities in Belgium and not to the activities of the parent company or of branches outside Belgium.</w:t>
      </w:r>
    </w:p>
    <w:p w14:paraId="6F1B4694" w14:textId="77777777" w:rsidR="00EB7145" w:rsidRPr="00A32A5F" w:rsidRDefault="00EB7145" w:rsidP="00EB7145">
      <w:pPr>
        <w:tabs>
          <w:tab w:val="left" w:pos="0"/>
          <w:tab w:val="left" w:pos="8789"/>
        </w:tabs>
        <w:spacing w:line="240" w:lineRule="auto"/>
        <w:rPr>
          <w:rFonts w:cs="Arial"/>
          <w:szCs w:val="22"/>
        </w:rPr>
      </w:pPr>
    </w:p>
    <w:p w14:paraId="046F8EB6" w14:textId="77777777" w:rsidR="00EB7145" w:rsidRPr="00A32A5F" w:rsidRDefault="00EB7145" w:rsidP="00EB7145">
      <w:pPr>
        <w:tabs>
          <w:tab w:val="left" w:pos="0"/>
          <w:tab w:val="left" w:pos="8789"/>
        </w:tabs>
        <w:spacing w:line="240" w:lineRule="auto"/>
        <w:rPr>
          <w:rFonts w:cs="Arial"/>
          <w:szCs w:val="22"/>
        </w:rPr>
      </w:pPr>
    </w:p>
    <w:p w14:paraId="46C281CE" w14:textId="77777777" w:rsidR="00EB7145" w:rsidRPr="00A32A5F" w:rsidRDefault="00EB7145" w:rsidP="00EB7145">
      <w:pPr>
        <w:tabs>
          <w:tab w:val="left" w:pos="0"/>
          <w:tab w:val="left" w:pos="8789"/>
        </w:tabs>
        <w:spacing w:line="240" w:lineRule="auto"/>
        <w:rPr>
          <w:rFonts w:cs="Arial"/>
          <w:szCs w:val="22"/>
          <w:u w:val="single"/>
        </w:rPr>
      </w:pPr>
      <w:r w:rsidRPr="00A32A5F">
        <w:rPr>
          <w:rFonts w:cs="Arial"/>
          <w:szCs w:val="22"/>
          <w:u w:val="single"/>
        </w:rPr>
        <w:t>GENERAL INFORMATION</w:t>
      </w:r>
    </w:p>
    <w:p w14:paraId="2EFAA3B0" w14:textId="77777777" w:rsidR="00EB7145" w:rsidRPr="00A32A5F" w:rsidRDefault="00EB7145" w:rsidP="00EB7145">
      <w:pPr>
        <w:tabs>
          <w:tab w:val="left" w:pos="0"/>
          <w:tab w:val="left" w:pos="8789"/>
        </w:tabs>
        <w:spacing w:line="240" w:lineRule="auto"/>
        <w:rPr>
          <w:rFonts w:cs="Arial"/>
          <w:szCs w:val="22"/>
        </w:rPr>
      </w:pPr>
    </w:p>
    <w:p w14:paraId="60666755" w14:textId="77777777" w:rsidR="00EB7145" w:rsidRPr="00A32A5F" w:rsidRDefault="00EB7145" w:rsidP="00EB7145">
      <w:pPr>
        <w:tabs>
          <w:tab w:val="left" w:pos="0"/>
          <w:tab w:val="left" w:pos="8789"/>
        </w:tabs>
        <w:spacing w:line="240" w:lineRule="auto"/>
        <w:rPr>
          <w:rFonts w:cs="Arial"/>
          <w:szCs w:val="22"/>
        </w:rPr>
      </w:pPr>
      <w:r w:rsidRPr="00A32A5F">
        <w:rPr>
          <w:rFonts w:cs="Arial"/>
          <w:szCs w:val="22"/>
        </w:rPr>
        <w:t>Mandatory field.</w:t>
      </w:r>
    </w:p>
    <w:p w14:paraId="53972442" w14:textId="77777777" w:rsidR="00EB7145" w:rsidRPr="00A32A5F" w:rsidRDefault="00EB7145" w:rsidP="00EB7145">
      <w:pPr>
        <w:tabs>
          <w:tab w:val="left" w:pos="0"/>
          <w:tab w:val="left" w:pos="8789"/>
        </w:tabs>
        <w:spacing w:line="240" w:lineRule="auto"/>
        <w:rPr>
          <w:rFonts w:cs="Arial"/>
          <w:szCs w:val="22"/>
        </w:rPr>
      </w:pPr>
    </w:p>
    <w:p w14:paraId="6856E5E5" w14:textId="77777777" w:rsidR="00EB7145" w:rsidRPr="00A32A5F" w:rsidRDefault="00EB7145" w:rsidP="00EB7145">
      <w:pPr>
        <w:tabs>
          <w:tab w:val="left" w:pos="0"/>
          <w:tab w:val="left" w:pos="8789"/>
        </w:tabs>
        <w:spacing w:line="240" w:lineRule="auto"/>
        <w:rPr>
          <w:rFonts w:cs="Arial"/>
          <w:szCs w:val="22"/>
        </w:rPr>
      </w:pPr>
    </w:p>
    <w:p w14:paraId="68BE6DF0" w14:textId="77777777" w:rsidR="00EB7145" w:rsidRPr="00A32A5F" w:rsidRDefault="00EB7145" w:rsidP="00EB7145">
      <w:pPr>
        <w:tabs>
          <w:tab w:val="left" w:pos="0"/>
          <w:tab w:val="left" w:pos="8789"/>
        </w:tabs>
        <w:spacing w:line="240" w:lineRule="auto"/>
        <w:rPr>
          <w:rFonts w:cs="Arial"/>
          <w:szCs w:val="22"/>
          <w:u w:val="single"/>
        </w:rPr>
      </w:pPr>
      <w:r w:rsidRPr="00A32A5F">
        <w:rPr>
          <w:rFonts w:cs="Arial"/>
          <w:szCs w:val="22"/>
          <w:u w:val="single"/>
        </w:rPr>
        <w:t>PART RELATED TO THE STRUCTURAL SURVEY FOR INSURANCE COMPANIES (BRANCHES)</w:t>
      </w:r>
    </w:p>
    <w:p w14:paraId="6C8C71AB" w14:textId="77777777" w:rsidR="00EB7145" w:rsidRPr="00A32A5F" w:rsidRDefault="00EB7145" w:rsidP="00EB7145">
      <w:pPr>
        <w:tabs>
          <w:tab w:val="left" w:pos="0"/>
          <w:tab w:val="left" w:pos="8789"/>
        </w:tabs>
        <w:spacing w:line="240" w:lineRule="auto"/>
        <w:rPr>
          <w:rFonts w:cs="Arial"/>
          <w:szCs w:val="22"/>
        </w:rPr>
      </w:pPr>
    </w:p>
    <w:p w14:paraId="62F19306" w14:textId="77777777" w:rsidR="00EB7145" w:rsidRPr="00A32A5F" w:rsidRDefault="00EB7145" w:rsidP="00EB7145">
      <w:pPr>
        <w:tabs>
          <w:tab w:val="left" w:pos="0"/>
          <w:tab w:val="left" w:pos="8789"/>
        </w:tabs>
        <w:spacing w:line="240" w:lineRule="auto"/>
        <w:rPr>
          <w:rFonts w:cs="Arial"/>
          <w:szCs w:val="22"/>
        </w:rPr>
      </w:pPr>
      <w:r w:rsidRPr="00A32A5F">
        <w:rPr>
          <w:rFonts w:cs="Arial"/>
          <w:szCs w:val="22"/>
        </w:rPr>
        <w:t>Respondents are required to enter a selection of the accounting schedule, as defined by the Royal Decree of 17 November 1994. The survey pertains to:</w:t>
      </w:r>
    </w:p>
    <w:p w14:paraId="68A22837" w14:textId="77777777" w:rsidR="00EB7145" w:rsidRPr="00A32A5F" w:rsidRDefault="00EB7145" w:rsidP="00EB7145">
      <w:pPr>
        <w:tabs>
          <w:tab w:val="left" w:pos="0"/>
          <w:tab w:val="left" w:pos="8789"/>
        </w:tabs>
        <w:spacing w:line="240" w:lineRule="auto"/>
        <w:rPr>
          <w:rFonts w:cs="Arial"/>
          <w:szCs w:val="22"/>
        </w:rPr>
      </w:pPr>
    </w:p>
    <w:p w14:paraId="2FEDBA6C" w14:textId="77777777" w:rsidR="00EB7145" w:rsidRPr="00A32A5F" w:rsidRDefault="00EB7145" w:rsidP="00EB7145">
      <w:pPr>
        <w:numPr>
          <w:ilvl w:val="0"/>
          <w:numId w:val="1"/>
        </w:numPr>
        <w:tabs>
          <w:tab w:val="clear" w:pos="284"/>
          <w:tab w:val="left" w:pos="567"/>
          <w:tab w:val="left" w:pos="8789"/>
        </w:tabs>
        <w:spacing w:line="240" w:lineRule="auto"/>
        <w:rPr>
          <w:rFonts w:cs="Arial"/>
          <w:szCs w:val="22"/>
        </w:rPr>
      </w:pPr>
      <w:r w:rsidRPr="00A32A5F">
        <w:rPr>
          <w:rFonts w:cs="Arial"/>
          <w:szCs w:val="22"/>
        </w:rPr>
        <w:t xml:space="preserve">Part of the balance </w:t>
      </w:r>
      <w:proofErr w:type="gramStart"/>
      <w:r w:rsidRPr="00A32A5F">
        <w:rPr>
          <w:rFonts w:cs="Arial"/>
          <w:szCs w:val="22"/>
        </w:rPr>
        <w:t>sheet;</w:t>
      </w:r>
      <w:proofErr w:type="gramEnd"/>
    </w:p>
    <w:p w14:paraId="4E157F0D" w14:textId="77777777" w:rsidR="00EB7145" w:rsidRPr="00A32A5F" w:rsidRDefault="00EB7145" w:rsidP="00EB7145">
      <w:pPr>
        <w:numPr>
          <w:ilvl w:val="0"/>
          <w:numId w:val="1"/>
        </w:numPr>
        <w:tabs>
          <w:tab w:val="clear" w:pos="284"/>
          <w:tab w:val="left" w:pos="8789"/>
        </w:tabs>
        <w:spacing w:line="240" w:lineRule="auto"/>
        <w:rPr>
          <w:rFonts w:cs="Arial"/>
          <w:szCs w:val="22"/>
        </w:rPr>
      </w:pPr>
      <w:r w:rsidRPr="00A32A5F">
        <w:rPr>
          <w:rFonts w:cs="Arial"/>
          <w:szCs w:val="22"/>
        </w:rPr>
        <w:t xml:space="preserve">Technical account for non-life </w:t>
      </w:r>
      <w:proofErr w:type="gramStart"/>
      <w:r w:rsidRPr="00A32A5F">
        <w:rPr>
          <w:rFonts w:cs="Arial"/>
          <w:szCs w:val="22"/>
        </w:rPr>
        <w:t>insurance;</w:t>
      </w:r>
      <w:proofErr w:type="gramEnd"/>
    </w:p>
    <w:p w14:paraId="29B7E9F2" w14:textId="77777777" w:rsidR="00EB7145" w:rsidRPr="00A32A5F" w:rsidRDefault="00EB7145" w:rsidP="00EB7145">
      <w:pPr>
        <w:numPr>
          <w:ilvl w:val="0"/>
          <w:numId w:val="1"/>
        </w:numPr>
        <w:tabs>
          <w:tab w:val="clear" w:pos="284"/>
          <w:tab w:val="left" w:pos="8789"/>
        </w:tabs>
        <w:spacing w:line="240" w:lineRule="auto"/>
        <w:rPr>
          <w:rFonts w:cs="Arial"/>
          <w:szCs w:val="22"/>
        </w:rPr>
      </w:pPr>
      <w:r w:rsidRPr="00A32A5F">
        <w:rPr>
          <w:rFonts w:cs="Arial"/>
          <w:szCs w:val="22"/>
        </w:rPr>
        <w:t xml:space="preserve">Technical account for life </w:t>
      </w:r>
      <w:proofErr w:type="gramStart"/>
      <w:r w:rsidRPr="00A32A5F">
        <w:rPr>
          <w:rFonts w:cs="Arial"/>
          <w:szCs w:val="22"/>
        </w:rPr>
        <w:t>assurance;</w:t>
      </w:r>
      <w:proofErr w:type="gramEnd"/>
    </w:p>
    <w:p w14:paraId="0F96A2B0" w14:textId="77777777" w:rsidR="00EB7145" w:rsidRPr="00A32A5F" w:rsidRDefault="00EB7145" w:rsidP="00EB7145">
      <w:pPr>
        <w:numPr>
          <w:ilvl w:val="0"/>
          <w:numId w:val="1"/>
        </w:numPr>
        <w:tabs>
          <w:tab w:val="clear" w:pos="284"/>
          <w:tab w:val="left" w:pos="8789"/>
        </w:tabs>
        <w:spacing w:line="240" w:lineRule="auto"/>
        <w:rPr>
          <w:rFonts w:cs="Arial"/>
          <w:szCs w:val="22"/>
        </w:rPr>
      </w:pPr>
      <w:r w:rsidRPr="00A32A5F">
        <w:rPr>
          <w:rFonts w:cs="Arial"/>
          <w:szCs w:val="22"/>
        </w:rPr>
        <w:t xml:space="preserve">Non-technical </w:t>
      </w:r>
      <w:proofErr w:type="gramStart"/>
      <w:r w:rsidRPr="00A32A5F">
        <w:rPr>
          <w:rFonts w:cs="Arial"/>
          <w:szCs w:val="22"/>
        </w:rPr>
        <w:t>account;</w:t>
      </w:r>
      <w:proofErr w:type="gramEnd"/>
    </w:p>
    <w:p w14:paraId="20EBEF24" w14:textId="77777777" w:rsidR="00EB7145" w:rsidRPr="00A32A5F" w:rsidRDefault="00EB7145" w:rsidP="00EB7145">
      <w:pPr>
        <w:numPr>
          <w:ilvl w:val="0"/>
          <w:numId w:val="1"/>
        </w:numPr>
        <w:tabs>
          <w:tab w:val="clear" w:pos="284"/>
          <w:tab w:val="left" w:pos="8789"/>
        </w:tabs>
        <w:spacing w:line="240" w:lineRule="auto"/>
        <w:rPr>
          <w:rFonts w:cs="Arial"/>
          <w:szCs w:val="22"/>
        </w:rPr>
      </w:pPr>
      <w:r w:rsidRPr="00A32A5F">
        <w:rPr>
          <w:rFonts w:cs="Arial"/>
          <w:szCs w:val="22"/>
        </w:rPr>
        <w:t xml:space="preserve">Allocations and </w:t>
      </w:r>
      <w:proofErr w:type="gramStart"/>
      <w:r w:rsidRPr="00A32A5F">
        <w:rPr>
          <w:rFonts w:cs="Arial"/>
          <w:szCs w:val="22"/>
        </w:rPr>
        <w:t>reductions;</w:t>
      </w:r>
      <w:proofErr w:type="gramEnd"/>
      <w:r w:rsidRPr="00A32A5F">
        <w:rPr>
          <w:rFonts w:cs="Arial"/>
          <w:szCs w:val="22"/>
        </w:rPr>
        <w:t xml:space="preserve"> </w:t>
      </w:r>
    </w:p>
    <w:p w14:paraId="1641EA35" w14:textId="77777777" w:rsidR="00EB7145" w:rsidRPr="00A32A5F" w:rsidRDefault="00EB7145" w:rsidP="00EB7145">
      <w:pPr>
        <w:numPr>
          <w:ilvl w:val="0"/>
          <w:numId w:val="1"/>
        </w:numPr>
        <w:tabs>
          <w:tab w:val="clear" w:pos="284"/>
          <w:tab w:val="left" w:pos="8789"/>
        </w:tabs>
        <w:spacing w:line="240" w:lineRule="auto"/>
        <w:rPr>
          <w:rFonts w:cs="Arial"/>
          <w:szCs w:val="22"/>
        </w:rPr>
      </w:pPr>
      <w:r w:rsidRPr="00A32A5F">
        <w:rPr>
          <w:rFonts w:cs="Arial"/>
          <w:szCs w:val="22"/>
        </w:rPr>
        <w:t xml:space="preserve">Appendix 10 "Information on the technical accounts", in </w:t>
      </w:r>
      <w:proofErr w:type="gramStart"/>
      <w:r w:rsidRPr="00A32A5F">
        <w:rPr>
          <w:rFonts w:cs="Arial"/>
          <w:szCs w:val="22"/>
        </w:rPr>
        <w:t>part;</w:t>
      </w:r>
      <w:proofErr w:type="gramEnd"/>
    </w:p>
    <w:p w14:paraId="79C2BA95" w14:textId="77777777" w:rsidR="00EB7145" w:rsidRPr="00A32A5F" w:rsidRDefault="00EB7145" w:rsidP="00EB7145">
      <w:pPr>
        <w:numPr>
          <w:ilvl w:val="0"/>
          <w:numId w:val="1"/>
        </w:numPr>
        <w:tabs>
          <w:tab w:val="clear" w:pos="284"/>
          <w:tab w:val="left" w:pos="8789"/>
        </w:tabs>
        <w:spacing w:line="240" w:lineRule="auto"/>
        <w:rPr>
          <w:rFonts w:cs="Arial"/>
          <w:szCs w:val="22"/>
        </w:rPr>
      </w:pPr>
      <w:r w:rsidRPr="00A32A5F">
        <w:rPr>
          <w:rFonts w:cs="Arial"/>
          <w:szCs w:val="22"/>
        </w:rPr>
        <w:t>Appendix 11 "Statement on staff members</w:t>
      </w:r>
      <w:proofErr w:type="gramStart"/>
      <w:r w:rsidRPr="00A32A5F">
        <w:rPr>
          <w:rFonts w:cs="Arial"/>
          <w:szCs w:val="22"/>
        </w:rPr>
        <w:t>";</w:t>
      </w:r>
      <w:proofErr w:type="gramEnd"/>
    </w:p>
    <w:p w14:paraId="3E7CE356" w14:textId="77777777" w:rsidR="00EB7145" w:rsidRPr="00A32A5F" w:rsidRDefault="00EB7145" w:rsidP="00EB7145">
      <w:pPr>
        <w:numPr>
          <w:ilvl w:val="0"/>
          <w:numId w:val="1"/>
        </w:numPr>
        <w:tabs>
          <w:tab w:val="clear" w:pos="284"/>
          <w:tab w:val="left" w:pos="8789"/>
        </w:tabs>
        <w:spacing w:line="240" w:lineRule="auto"/>
        <w:rPr>
          <w:rFonts w:cs="Arial"/>
          <w:szCs w:val="22"/>
        </w:rPr>
      </w:pPr>
      <w:r w:rsidRPr="00A32A5F">
        <w:rPr>
          <w:rFonts w:cs="Arial"/>
          <w:szCs w:val="22"/>
        </w:rPr>
        <w:t>Appendix 12 "Statement on total administration and management costs, broken down by type</w:t>
      </w:r>
      <w:proofErr w:type="gramStart"/>
      <w:r w:rsidRPr="00A32A5F">
        <w:rPr>
          <w:rFonts w:cs="Arial"/>
          <w:szCs w:val="22"/>
        </w:rPr>
        <w:t>";</w:t>
      </w:r>
      <w:proofErr w:type="gramEnd"/>
    </w:p>
    <w:p w14:paraId="582A21CC" w14:textId="77777777" w:rsidR="00EB7145" w:rsidRPr="00A32A5F" w:rsidRDefault="00EB7145" w:rsidP="00EB7145">
      <w:pPr>
        <w:numPr>
          <w:ilvl w:val="0"/>
          <w:numId w:val="1"/>
        </w:numPr>
        <w:tabs>
          <w:tab w:val="clear" w:pos="284"/>
          <w:tab w:val="left" w:pos="8789"/>
        </w:tabs>
        <w:spacing w:line="240" w:lineRule="auto"/>
        <w:rPr>
          <w:rFonts w:cs="Arial"/>
          <w:szCs w:val="22"/>
        </w:rPr>
      </w:pPr>
      <w:r w:rsidRPr="00A32A5F">
        <w:rPr>
          <w:rFonts w:cs="Arial"/>
          <w:szCs w:val="22"/>
        </w:rPr>
        <w:t>An overview of your location’s investments and divestments.</w:t>
      </w:r>
    </w:p>
    <w:p w14:paraId="635F7ADB" w14:textId="77777777" w:rsidR="00EB7145" w:rsidRPr="00A32A5F" w:rsidRDefault="00EB7145" w:rsidP="00EB7145">
      <w:pPr>
        <w:spacing w:line="240" w:lineRule="auto"/>
        <w:rPr>
          <w:rFonts w:cs="Arial"/>
          <w:szCs w:val="22"/>
        </w:rPr>
      </w:pPr>
    </w:p>
    <w:p w14:paraId="60F9050A" w14:textId="77777777" w:rsidR="00EB7145" w:rsidRPr="00A32A5F" w:rsidRDefault="00EB7145" w:rsidP="00EB7145">
      <w:pPr>
        <w:spacing w:line="240" w:lineRule="auto"/>
        <w:rPr>
          <w:rFonts w:cs="Arial"/>
          <w:szCs w:val="22"/>
        </w:rPr>
      </w:pPr>
      <w:r w:rsidRPr="00A32A5F">
        <w:rPr>
          <w:rFonts w:cs="Arial"/>
          <w:szCs w:val="22"/>
        </w:rPr>
        <w:t>INVESTMENTS AND DIVESTMENTS</w:t>
      </w:r>
    </w:p>
    <w:p w14:paraId="4C433689" w14:textId="77777777" w:rsidR="00EB7145" w:rsidRPr="00A32A5F" w:rsidRDefault="00EB7145" w:rsidP="00EB7145">
      <w:pPr>
        <w:spacing w:line="240" w:lineRule="auto"/>
        <w:rPr>
          <w:rFonts w:cs="Arial"/>
          <w:szCs w:val="22"/>
        </w:rPr>
      </w:pPr>
    </w:p>
    <w:p w14:paraId="499000CF" w14:textId="77777777" w:rsidR="00EB7145" w:rsidRPr="00A32A5F" w:rsidRDefault="00EB7145" w:rsidP="00EB7145">
      <w:pPr>
        <w:spacing w:line="240" w:lineRule="auto"/>
      </w:pPr>
      <w:r w:rsidRPr="00A32A5F">
        <w:t>This section must break down changes in the capital stock of tangible and intangible fixed assets, both by type of assets and by type of operation (regular purchases, purchases in leasing, sales).</w:t>
      </w:r>
    </w:p>
    <w:p w14:paraId="347BD347" w14:textId="77777777" w:rsidR="00EB7145" w:rsidRPr="00A32A5F" w:rsidRDefault="00EB7145" w:rsidP="00EB7145">
      <w:pPr>
        <w:spacing w:line="240" w:lineRule="auto"/>
        <w:rPr>
          <w:rFonts w:cs="Arial"/>
          <w:szCs w:val="22"/>
        </w:rPr>
      </w:pPr>
    </w:p>
    <w:p w14:paraId="0D65089D" w14:textId="77777777" w:rsidR="00EB7145" w:rsidRPr="00A32A5F" w:rsidRDefault="00EB7145" w:rsidP="00EB7145">
      <w:pPr>
        <w:spacing w:line="240" w:lineRule="auto"/>
      </w:pPr>
      <w:r w:rsidRPr="00A32A5F">
        <w:t>The purchases of software recognised as tangible or intangible fixed assets must be stated under “Software”.</w:t>
      </w:r>
    </w:p>
    <w:p w14:paraId="78081CE3" w14:textId="77777777" w:rsidR="00EB7145" w:rsidRPr="00A32A5F" w:rsidRDefault="00EB7145" w:rsidP="00EB7145">
      <w:pPr>
        <w:spacing w:line="240" w:lineRule="auto"/>
        <w:rPr>
          <w:rFonts w:cs="Arial"/>
          <w:szCs w:val="22"/>
        </w:rPr>
      </w:pPr>
    </w:p>
    <w:p w14:paraId="6A4936F5" w14:textId="77777777" w:rsidR="00EB7145" w:rsidRPr="00A32A5F" w:rsidRDefault="00EB7145" w:rsidP="00EB7145">
      <w:pPr>
        <w:spacing w:line="240" w:lineRule="auto"/>
      </w:pPr>
      <w:r w:rsidRPr="00A32A5F">
        <w:t>“Buildings” include those held for investment purposes and investments for running the business.</w:t>
      </w:r>
    </w:p>
    <w:p w14:paraId="15CE5702" w14:textId="77777777" w:rsidR="00EB7145" w:rsidRPr="00A32A5F" w:rsidRDefault="00EB7145" w:rsidP="00EB7145">
      <w:pPr>
        <w:spacing w:line="240" w:lineRule="auto"/>
        <w:rPr>
          <w:rFonts w:cs="Arial"/>
          <w:szCs w:val="22"/>
        </w:rPr>
      </w:pPr>
    </w:p>
    <w:p w14:paraId="27ECA0D3" w14:textId="77777777" w:rsidR="00EB7145" w:rsidRPr="00A32A5F" w:rsidRDefault="00EB7145" w:rsidP="00EB7145">
      <w:pPr>
        <w:spacing w:line="240" w:lineRule="auto"/>
      </w:pPr>
      <w:r w:rsidRPr="00A32A5F">
        <w:rPr>
          <w:b/>
        </w:rPr>
        <w:t>Non-lease purchases</w:t>
      </w:r>
      <w:r w:rsidRPr="00A32A5F">
        <w:t xml:space="preserve"> pertain to self-produced and “purchased and effectively delivered” fixed assets, </w:t>
      </w:r>
      <w:proofErr w:type="gramStart"/>
      <w:r w:rsidRPr="00A32A5F">
        <w:t>i.e.</w:t>
      </w:r>
      <w:proofErr w:type="gramEnd"/>
      <w:r w:rsidRPr="00A32A5F">
        <w:t xml:space="preserve"> excluding advance payments on purchases yet to be delivered, with the exception of real </w:t>
      </w:r>
      <w:r w:rsidRPr="00A32A5F">
        <w:lastRenderedPageBreak/>
        <w:t>estate under construction, and excluding the acquisition of fixed assets arising from restructuring (absorption, demerger, addition of a new branch of activity...).</w:t>
      </w:r>
    </w:p>
    <w:p w14:paraId="3BE281DD" w14:textId="77777777" w:rsidR="00EB7145" w:rsidRPr="00A32A5F" w:rsidRDefault="00EB7145" w:rsidP="00EB7145">
      <w:pPr>
        <w:spacing w:line="240" w:lineRule="auto"/>
        <w:ind w:left="284" w:hanging="284"/>
        <w:rPr>
          <w:rFonts w:cs="Arial"/>
          <w:szCs w:val="22"/>
        </w:rPr>
      </w:pPr>
    </w:p>
    <w:p w14:paraId="7B9CD280" w14:textId="77777777" w:rsidR="00EB7145" w:rsidRPr="00A32A5F" w:rsidRDefault="00EB7145" w:rsidP="00EB7145">
      <w:pPr>
        <w:spacing w:line="240" w:lineRule="auto"/>
      </w:pPr>
      <w:r w:rsidRPr="00A32A5F">
        <w:rPr>
          <w:b/>
        </w:rPr>
        <w:t>Acquisitions in leasing</w:t>
      </w:r>
      <w:r w:rsidRPr="00A32A5F">
        <w:t xml:space="preserve"> pertain to the purchases of fixed assets in leasing. These purchases must be broken down by the nature of the assets.</w:t>
      </w:r>
    </w:p>
    <w:p w14:paraId="4A4462D3" w14:textId="77777777" w:rsidR="00EB7145" w:rsidRPr="00A32A5F" w:rsidRDefault="00EB7145" w:rsidP="00EB7145">
      <w:pPr>
        <w:spacing w:line="240" w:lineRule="auto"/>
        <w:ind w:left="284" w:hanging="284"/>
        <w:rPr>
          <w:rFonts w:cs="Arial"/>
          <w:szCs w:val="22"/>
        </w:rPr>
      </w:pPr>
    </w:p>
    <w:p w14:paraId="3C9008E7" w14:textId="77777777" w:rsidR="00EB7145" w:rsidRPr="00A32A5F" w:rsidRDefault="00EB7145" w:rsidP="00EB7145">
      <w:pPr>
        <w:spacing w:line="240" w:lineRule="auto"/>
        <w:rPr>
          <w:rFonts w:cs="Arial"/>
          <w:szCs w:val="22"/>
        </w:rPr>
      </w:pPr>
      <w:r w:rsidRPr="00A32A5F">
        <w:rPr>
          <w:rFonts w:cs="Arial"/>
          <w:b/>
          <w:szCs w:val="22"/>
        </w:rPr>
        <w:t>Sales</w:t>
      </w:r>
      <w:r w:rsidRPr="00A32A5F">
        <w:rPr>
          <w:rFonts w:cs="Arial"/>
          <w:szCs w:val="22"/>
        </w:rPr>
        <w:t xml:space="preserve"> pertain exclusively to “effective sales”. This item does not therefore include any advance payments received for sales, nor transfers from restructuring drives, nor disposals. The amounts to be recognised must reflect the market rates of the sales involved (carrying value + realised capital gains – realised capital losses).</w:t>
      </w:r>
    </w:p>
    <w:p w14:paraId="7CB24DFF" w14:textId="77777777" w:rsidR="00EB7145" w:rsidRPr="00A32A5F" w:rsidRDefault="00EB7145" w:rsidP="00EB7145">
      <w:pPr>
        <w:spacing w:line="240" w:lineRule="auto"/>
        <w:ind w:left="284" w:hanging="284"/>
        <w:rPr>
          <w:rFonts w:cs="Arial"/>
          <w:szCs w:val="22"/>
        </w:rPr>
      </w:pPr>
    </w:p>
    <w:p w14:paraId="5F6725CC" w14:textId="77777777" w:rsidR="00EB7145" w:rsidRPr="00A32A5F" w:rsidRDefault="00EB7145" w:rsidP="00EB7145">
      <w:pPr>
        <w:spacing w:line="240" w:lineRule="auto"/>
      </w:pPr>
      <w:r w:rsidRPr="00A32A5F">
        <w:t>Tangible fixed assets comprise land, buildings (existing or new, including renovation and refurbishment projects), valuables and other tangible fixed assets. The value of built</w:t>
      </w:r>
      <w:r w:rsidRPr="00A32A5F">
        <w:noBreakHyphen/>
        <w:t>up land breaks down into the value of the underlying dwellings (and other structures) and the value of the underlying land. If it cannot be established which is the more important, the building or the land, it is assumed the building is the more important.</w:t>
      </w:r>
      <w:bookmarkEnd w:id="0"/>
    </w:p>
    <w:p w14:paraId="31080408" w14:textId="7A07B3AB" w:rsidR="007612A2" w:rsidRPr="00EB7145" w:rsidRDefault="007612A2" w:rsidP="00EB7145"/>
    <w:sectPr w:rsidR="007612A2" w:rsidRPr="00EB7145">
      <w:footerReference w:type="default" r:id="rId8"/>
      <w:pgSz w:w="11907" w:h="16840" w:code="9"/>
      <w:pgMar w:top="1134" w:right="1559" w:bottom="1134" w:left="1559" w:header="567" w:footer="567" w:gutter="0"/>
      <w:paperSrc w:first="15" w:other="15"/>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B3A2C" w14:textId="77777777" w:rsidR="00681719" w:rsidRDefault="00681719">
      <w:r>
        <w:separator/>
      </w:r>
    </w:p>
  </w:endnote>
  <w:endnote w:type="continuationSeparator" w:id="0">
    <w:p w14:paraId="151D9689" w14:textId="77777777" w:rsidR="00681719" w:rsidRDefault="0068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E8511" w14:textId="77777777" w:rsidR="00B70C66" w:rsidRDefault="00B70C6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F6746" w14:textId="77777777" w:rsidR="00681719" w:rsidRDefault="00681719">
      <w:r>
        <w:separator/>
      </w:r>
    </w:p>
  </w:footnote>
  <w:footnote w:type="continuationSeparator" w:id="0">
    <w:p w14:paraId="3F8A0303" w14:textId="77777777" w:rsidR="00681719" w:rsidRDefault="00681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FB6DF0"/>
    <w:multiLevelType w:val="hybridMultilevel"/>
    <w:tmpl w:val="96720B4A"/>
    <w:lvl w:ilvl="0" w:tplc="0F408904">
      <w:numFmt w:val="bullet"/>
      <w:lvlText w:val="-"/>
      <w:lvlJc w:val="left"/>
      <w:pPr>
        <w:tabs>
          <w:tab w:val="num" w:pos="927"/>
        </w:tabs>
        <w:ind w:left="927" w:hanging="360"/>
      </w:pPr>
      <w:rPr>
        <w:rFonts w:ascii="Arial" w:eastAsia="Times New Roman" w:hAnsi="Arial" w:cs="Arial" w:hint="default"/>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47C0"/>
    <w:rsid w:val="000650E5"/>
    <w:rsid w:val="00071EB8"/>
    <w:rsid w:val="00093625"/>
    <w:rsid w:val="000973F4"/>
    <w:rsid w:val="00177A4C"/>
    <w:rsid w:val="001A62E6"/>
    <w:rsid w:val="001F3C97"/>
    <w:rsid w:val="0026690D"/>
    <w:rsid w:val="002848F0"/>
    <w:rsid w:val="002A62F5"/>
    <w:rsid w:val="002E3AEA"/>
    <w:rsid w:val="0035009A"/>
    <w:rsid w:val="00421541"/>
    <w:rsid w:val="00445664"/>
    <w:rsid w:val="0047149E"/>
    <w:rsid w:val="00527165"/>
    <w:rsid w:val="00542716"/>
    <w:rsid w:val="005728EA"/>
    <w:rsid w:val="00681719"/>
    <w:rsid w:val="007056AC"/>
    <w:rsid w:val="00710E46"/>
    <w:rsid w:val="00722D96"/>
    <w:rsid w:val="007612A2"/>
    <w:rsid w:val="00796740"/>
    <w:rsid w:val="007F49E0"/>
    <w:rsid w:val="00804C3C"/>
    <w:rsid w:val="00834595"/>
    <w:rsid w:val="008943C0"/>
    <w:rsid w:val="008B5DC3"/>
    <w:rsid w:val="009067FA"/>
    <w:rsid w:val="009722BF"/>
    <w:rsid w:val="00A84C2F"/>
    <w:rsid w:val="00AA3C67"/>
    <w:rsid w:val="00AD2F66"/>
    <w:rsid w:val="00B10D7B"/>
    <w:rsid w:val="00B70C66"/>
    <w:rsid w:val="00BE74E0"/>
    <w:rsid w:val="00BF1AB6"/>
    <w:rsid w:val="00C347C0"/>
    <w:rsid w:val="00D412D9"/>
    <w:rsid w:val="00D902BC"/>
    <w:rsid w:val="00EB7145"/>
    <w:rsid w:val="00FF4A6D"/>
    <w:rsid w:val="00FF6B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717F4"/>
  <w15:chartTrackingRefBased/>
  <w15:docId w15:val="{94BE5BF3-17C9-4573-94CE-309C759C5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284"/>
      </w:tabs>
      <w:spacing w:line="360" w:lineRule="atLeast"/>
      <w:jc w:val="both"/>
    </w:pPr>
    <w:rPr>
      <w:sz w:val="22"/>
      <w:lang w:val="en-GB" w:eastAsia="en-US"/>
    </w:rPr>
  </w:style>
  <w:style w:type="paragraph" w:styleId="Heading1">
    <w:name w:val="heading 1"/>
    <w:basedOn w:val="Normal"/>
    <w:next w:val="Normal"/>
    <w:qFormat/>
    <w:pPr>
      <w:keepNext/>
      <w:keepLines/>
      <w:spacing w:before="240" w:after="240"/>
      <w:outlineLvl w:val="0"/>
    </w:pPr>
    <w:rPr>
      <w:b/>
      <w:caps/>
      <w:u w:val="single"/>
    </w:rPr>
  </w:style>
  <w:style w:type="paragraph" w:styleId="Heading2">
    <w:name w:val="heading 2"/>
    <w:basedOn w:val="Normal"/>
    <w:next w:val="Normal"/>
    <w:qFormat/>
    <w:pPr>
      <w:keepNext/>
      <w:keepLines/>
      <w:tabs>
        <w:tab w:val="left" w:pos="454"/>
      </w:tabs>
      <w:spacing w:before="120" w:after="120"/>
      <w:outlineLvl w:val="1"/>
    </w:pPr>
    <w:rPr>
      <w:caps/>
      <w:u w:val="single"/>
    </w:rPr>
  </w:style>
  <w:style w:type="paragraph" w:styleId="Heading3">
    <w:name w:val="heading 3"/>
    <w:basedOn w:val="Normal"/>
    <w:next w:val="Normal"/>
    <w:qFormat/>
    <w:pPr>
      <w:keepNext/>
      <w:keepLines/>
      <w:tabs>
        <w:tab w:val="left" w:pos="624"/>
      </w:tabs>
      <w:outlineLvl w:val="2"/>
    </w:pPr>
    <w:rPr>
      <w:caps/>
    </w:rPr>
  </w:style>
  <w:style w:type="paragraph" w:styleId="Heading4">
    <w:name w:val="heading 4"/>
    <w:basedOn w:val="Normal"/>
    <w:next w:val="Normal"/>
    <w:qFormat/>
    <w:pPr>
      <w:keepNext/>
      <w:keepLines/>
      <w:tabs>
        <w:tab w:val="left" w:pos="794"/>
      </w:tabs>
      <w:outlineLvl w:val="3"/>
    </w:pPr>
    <w:rPr>
      <w:u w:val="single"/>
    </w:rPr>
  </w:style>
  <w:style w:type="paragraph" w:styleId="Heading5">
    <w:name w:val="heading 5"/>
    <w:basedOn w:val="Normal"/>
    <w:next w:val="Normal"/>
    <w:qFormat/>
    <w:pPr>
      <w:keepNext/>
      <w:keepLines/>
      <w:tabs>
        <w:tab w:val="left" w:pos="964"/>
      </w:tabs>
      <w:outlineLvl w:val="4"/>
    </w:pPr>
  </w:style>
  <w:style w:type="paragraph" w:styleId="Heading6">
    <w:name w:val="heading 6"/>
    <w:basedOn w:val="Normal"/>
    <w:next w:val="Normal"/>
    <w:qFormat/>
    <w:pPr>
      <w:keepNext/>
      <w:keepLines/>
      <w:tabs>
        <w:tab w:val="left" w:pos="1049"/>
      </w:tabs>
      <w:outlineLvl w:val="5"/>
    </w:pPr>
  </w:style>
  <w:style w:type="paragraph" w:styleId="Heading7">
    <w:name w:val="heading 7"/>
    <w:basedOn w:val="Normal"/>
    <w:next w:val="Normal"/>
    <w:qFormat/>
    <w:pPr>
      <w:keepNext/>
      <w:keepLines/>
      <w:tabs>
        <w:tab w:val="left" w:pos="1219"/>
      </w:tabs>
      <w:outlineLvl w:val="6"/>
    </w:pPr>
  </w:style>
  <w:style w:type="paragraph" w:styleId="Heading8">
    <w:name w:val="heading 8"/>
    <w:basedOn w:val="Normal"/>
    <w:next w:val="Normal"/>
    <w:qFormat/>
    <w:pPr>
      <w:keepNext/>
      <w:keepLines/>
      <w:tabs>
        <w:tab w:val="left" w:pos="1378"/>
      </w:tabs>
      <w:outlineLvl w:val="7"/>
    </w:pPr>
  </w:style>
  <w:style w:type="paragraph" w:styleId="Heading9">
    <w:name w:val="heading 9"/>
    <w:basedOn w:val="Normal"/>
    <w:next w:val="Normal"/>
    <w:qFormat/>
    <w:pPr>
      <w:keepNext/>
      <w:keepLines/>
      <w:tabs>
        <w:tab w:val="left" w:pos="154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pPr>
      <w:keepLines/>
      <w:tabs>
        <w:tab w:val="clear" w:pos="284"/>
        <w:tab w:val="right" w:leader="dot" w:pos="8789"/>
      </w:tabs>
      <w:ind w:left="879" w:right="567" w:hanging="879"/>
      <w:jc w:val="left"/>
    </w:pPr>
  </w:style>
  <w:style w:type="paragraph" w:styleId="TOC4">
    <w:name w:val="toc 4"/>
    <w:basedOn w:val="Normal"/>
    <w:next w:val="Normal"/>
    <w:semiHidden/>
    <w:pPr>
      <w:keepLines/>
      <w:tabs>
        <w:tab w:val="clear" w:pos="284"/>
        <w:tab w:val="right" w:leader="dot" w:pos="8789"/>
      </w:tabs>
      <w:ind w:left="714" w:right="567" w:hanging="714"/>
      <w:jc w:val="left"/>
    </w:pPr>
  </w:style>
  <w:style w:type="paragraph" w:styleId="TOC3">
    <w:name w:val="toc 3"/>
    <w:basedOn w:val="Normal"/>
    <w:next w:val="Normal"/>
    <w:semiHidden/>
    <w:pPr>
      <w:keepLines/>
      <w:tabs>
        <w:tab w:val="clear" w:pos="284"/>
        <w:tab w:val="right" w:leader="dot" w:pos="8789"/>
      </w:tabs>
      <w:ind w:left="556" w:right="567" w:hanging="556"/>
      <w:jc w:val="left"/>
    </w:pPr>
  </w:style>
  <w:style w:type="paragraph" w:styleId="TOC2">
    <w:name w:val="toc 2"/>
    <w:basedOn w:val="Normal"/>
    <w:next w:val="Normal"/>
    <w:semiHidden/>
    <w:pPr>
      <w:keepLines/>
      <w:tabs>
        <w:tab w:val="clear" w:pos="284"/>
        <w:tab w:val="right" w:leader="dot" w:pos="8789"/>
      </w:tabs>
      <w:ind w:left="397" w:right="567" w:hanging="397"/>
      <w:jc w:val="left"/>
    </w:pPr>
  </w:style>
  <w:style w:type="paragraph" w:styleId="TOC1">
    <w:name w:val="toc 1"/>
    <w:basedOn w:val="Normal"/>
    <w:next w:val="Normal"/>
    <w:semiHidden/>
    <w:pPr>
      <w:keepLines/>
      <w:tabs>
        <w:tab w:val="clear" w:pos="284"/>
        <w:tab w:val="right" w:leader="dot" w:pos="8789"/>
      </w:tabs>
      <w:ind w:left="227" w:right="567" w:hanging="227"/>
      <w:jc w:val="left"/>
    </w:pPr>
  </w:style>
  <w:style w:type="paragraph" w:styleId="Footer">
    <w:name w:val="footer"/>
    <w:basedOn w:val="Normal"/>
    <w:pPr>
      <w:tabs>
        <w:tab w:val="center" w:pos="4395"/>
        <w:tab w:val="right" w:pos="8789"/>
      </w:tabs>
      <w:spacing w:line="240" w:lineRule="auto"/>
    </w:pPr>
    <w:rPr>
      <w:sz w:val="18"/>
    </w:rPr>
  </w:style>
  <w:style w:type="paragraph" w:styleId="Header">
    <w:name w:val="header"/>
    <w:basedOn w:val="Normal"/>
    <w:pPr>
      <w:tabs>
        <w:tab w:val="clear" w:pos="284"/>
        <w:tab w:val="center" w:pos="4819"/>
        <w:tab w:val="right" w:pos="9071"/>
      </w:tabs>
      <w:spacing w:line="240" w:lineRule="auto"/>
    </w:pPr>
  </w:style>
  <w:style w:type="character" w:styleId="FootnoteReference">
    <w:name w:val="footnote reference"/>
    <w:semiHidden/>
    <w:rPr>
      <w:position w:val="6"/>
      <w:sz w:val="16"/>
    </w:rPr>
  </w:style>
  <w:style w:type="paragraph" w:styleId="FootnoteText">
    <w:name w:val="footnote text"/>
    <w:basedOn w:val="Normal"/>
    <w:semiHidden/>
    <w:pPr>
      <w:spacing w:line="240" w:lineRule="atLeast"/>
    </w:pPr>
    <w:rPr>
      <w:sz w:val="18"/>
    </w:rPr>
  </w:style>
  <w:style w:type="paragraph" w:styleId="NormalIndent">
    <w:name w:val="Normal Indent"/>
    <w:basedOn w:val="Normal"/>
    <w:pPr>
      <w:tabs>
        <w:tab w:val="clear" w:pos="284"/>
        <w:tab w:val="left" w:pos="567"/>
      </w:tabs>
      <w:ind w:left="284"/>
    </w:pPr>
  </w:style>
  <w:style w:type="paragraph" w:customStyle="1" w:styleId="auteurs">
    <w:name w:val="auteurs"/>
    <w:basedOn w:val="Normal"/>
    <w:pPr>
      <w:tabs>
        <w:tab w:val="center" w:pos="1985"/>
        <w:tab w:val="center" w:pos="6521"/>
      </w:tabs>
      <w:jc w:val="left"/>
    </w:pPr>
  </w:style>
  <w:style w:type="paragraph" w:styleId="MacroText">
    <w:name w:val="macro"/>
    <w:semiHidden/>
    <w:pPr>
      <w:tabs>
        <w:tab w:val="left" w:pos="567"/>
        <w:tab w:val="left" w:pos="1134"/>
        <w:tab w:val="left" w:pos="1701"/>
        <w:tab w:val="left" w:pos="2268"/>
        <w:tab w:val="left" w:pos="2835"/>
      </w:tabs>
      <w:spacing w:line="240" w:lineRule="atLeast"/>
    </w:pPr>
    <w:rPr>
      <w:lang w:val="en-GB" w:eastAsia="en-US"/>
    </w:rPr>
  </w:style>
  <w:style w:type="paragraph" w:styleId="TOC6">
    <w:name w:val="toc 6"/>
    <w:basedOn w:val="Normal"/>
    <w:next w:val="Normal"/>
    <w:semiHidden/>
    <w:pPr>
      <w:keepLines/>
      <w:tabs>
        <w:tab w:val="clear" w:pos="284"/>
        <w:tab w:val="right" w:leader="dot" w:pos="8789"/>
      </w:tabs>
      <w:ind w:left="1049" w:right="567" w:hanging="1049"/>
      <w:jc w:val="left"/>
    </w:pPr>
  </w:style>
  <w:style w:type="paragraph" w:styleId="TOC7">
    <w:name w:val="toc 7"/>
    <w:basedOn w:val="Normal"/>
    <w:next w:val="Normal"/>
    <w:semiHidden/>
    <w:pPr>
      <w:keepLines/>
      <w:tabs>
        <w:tab w:val="clear" w:pos="284"/>
        <w:tab w:val="right" w:leader="dot" w:pos="8789"/>
      </w:tabs>
      <w:ind w:left="1219" w:right="567" w:hanging="1219"/>
      <w:jc w:val="left"/>
    </w:pPr>
  </w:style>
  <w:style w:type="paragraph" w:styleId="TOC8">
    <w:name w:val="toc 8"/>
    <w:basedOn w:val="Normal"/>
    <w:next w:val="Normal"/>
    <w:semiHidden/>
    <w:pPr>
      <w:keepLines/>
      <w:tabs>
        <w:tab w:val="clear" w:pos="284"/>
        <w:tab w:val="right" w:leader="dot" w:pos="8789"/>
      </w:tabs>
      <w:ind w:left="1378" w:right="567" w:hanging="1378"/>
      <w:jc w:val="left"/>
    </w:pPr>
  </w:style>
  <w:style w:type="paragraph" w:styleId="TOC9">
    <w:name w:val="toc 9"/>
    <w:basedOn w:val="Normal"/>
    <w:next w:val="Normal"/>
    <w:semiHidden/>
    <w:pPr>
      <w:keepLines/>
      <w:tabs>
        <w:tab w:val="clear" w:pos="284"/>
        <w:tab w:val="right" w:leader="dot" w:pos="8789"/>
      </w:tabs>
      <w:ind w:left="1548" w:right="567" w:hanging="1548"/>
      <w:jc w:val="left"/>
    </w:pPr>
  </w:style>
  <w:style w:type="character" w:styleId="Hyperlink">
    <w:name w:val="Hyperlink"/>
    <w:rsid w:val="00FF4A6D"/>
    <w:rPr>
      <w:color w:val="0000FF"/>
      <w:u w:val="single"/>
    </w:rPr>
  </w:style>
  <w:style w:type="character" w:styleId="FollowedHyperlink">
    <w:name w:val="FollowedHyperlink"/>
    <w:rsid w:val="00FF4A6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bb.be/doc/dq/onegate/en/login_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499</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Questionnaire détaillé</vt:lpstr>
    </vt:vector>
  </TitlesOfParts>
  <Company>National Bank of Belgium</Company>
  <LinksUpToDate>false</LinksUpToDate>
  <CharactersWithSpaces>3238</CharactersWithSpaces>
  <SharedDoc>false</SharedDoc>
  <HLinks>
    <vt:vector size="18" baseType="variant">
      <vt:variant>
        <vt:i4>2555974</vt:i4>
      </vt:variant>
      <vt:variant>
        <vt:i4>6</vt:i4>
      </vt:variant>
      <vt:variant>
        <vt:i4>0</vt:i4>
      </vt:variant>
      <vt:variant>
        <vt:i4>5</vt:i4>
      </vt:variant>
      <vt:variant>
        <vt:lpwstr>https://www.nbb.be/doc/dq/onegate/en/login_en.html</vt:lpwstr>
      </vt:variant>
      <vt:variant>
        <vt:lpwstr/>
      </vt:variant>
      <vt:variant>
        <vt:i4>2490421</vt:i4>
      </vt:variant>
      <vt:variant>
        <vt:i4>3</vt:i4>
      </vt:variant>
      <vt:variant>
        <vt:i4>0</vt:i4>
      </vt:variant>
      <vt:variant>
        <vt:i4>5</vt:i4>
      </vt:variant>
      <vt:variant>
        <vt:lpwstr>https://onegate-certificate.nbb.be/</vt:lpwstr>
      </vt:variant>
      <vt:variant>
        <vt:lpwstr/>
      </vt:variant>
      <vt:variant>
        <vt:i4>2031693</vt:i4>
      </vt:variant>
      <vt:variant>
        <vt:i4>0</vt:i4>
      </vt:variant>
      <vt:variant>
        <vt:i4>0</vt:i4>
      </vt:variant>
      <vt:variant>
        <vt:i4>5</vt:i4>
      </vt:variant>
      <vt:variant>
        <vt:lpwstr>https://onegate-standard.nbb.be/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détaillé</dc:title>
  <dc:subject/>
  <dc:creator>thiry</dc:creator>
  <cp:keywords/>
  <cp:lastModifiedBy>Raveel Guy</cp:lastModifiedBy>
  <cp:revision>4</cp:revision>
  <cp:lastPrinted>1998-06-11T11:56:00Z</cp:lastPrinted>
  <dcterms:created xsi:type="dcterms:W3CDTF">2021-11-22T14:50:00Z</dcterms:created>
  <dcterms:modified xsi:type="dcterms:W3CDTF">2021-11-24T08:33:00Z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-349525748</vt:i4>
  </property>
  <property fmtid="{D5CDD505-2E9C-101B-9397-08002B2CF9AE}" pid="3" name="_EmailSubject">
    <vt:lpwstr>enquête structurelle SUC 2010</vt:lpwstr>
  </property>
  <property fmtid="{D5CDD505-2E9C-101B-9397-08002B2CF9AE}" pid="4" name="_AuthorEmail">
    <vt:lpwstr>Guy.Raveel@nbb.be</vt:lpwstr>
  </property>
  <property fmtid="{D5CDD505-2E9C-101B-9397-08002B2CF9AE}" pid="5" name="_AuthorEmailDisplayName">
    <vt:lpwstr>Raveel Guy</vt:lpwstr>
  </property>
  <property fmtid="{D5CDD505-2E9C-101B-9397-08002B2CF9AE}" pid="6" name="_NewReviewCycle">
    <vt:lpwstr/>
  </property>
  <property fmtid="{D5CDD505-2E9C-101B-9397-08002B2CF9AE}" pid="7" name="_PreviousAdHocReviewCycleID">
    <vt:i4>-2126930574</vt:i4>
  </property>
  <property fmtid="{D5CDD505-2E9C-101B-9397-08002B2CF9AE}" pid="8" name="_ReviewingToolsShownOnce">
    <vt:lpwstr/>
  </property>
</Properties>
</file>