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8081" w14:textId="165269B0" w:rsidR="007612A2" w:rsidRDefault="007612A2">
      <w:pPr>
        <w:pBdr>
          <w:top w:val="single" w:sz="6" w:space="1" w:color="auto"/>
          <w:left w:val="single" w:sz="6" w:space="1" w:color="auto"/>
          <w:bottom w:val="single" w:sz="6" w:space="0" w:color="auto"/>
          <w:right w:val="single" w:sz="6" w:space="1" w:color="auto"/>
        </w:pBdr>
        <w:spacing w:line="240" w:lineRule="auto"/>
        <w:jc w:val="center"/>
        <w:rPr>
          <w:b/>
          <w:lang w:val="fr-FR"/>
        </w:rPr>
      </w:pPr>
      <w:r>
        <w:rPr>
          <w:b/>
          <w:lang w:val="fr-FR"/>
        </w:rPr>
        <w:t>NOTICE EXPLICATIVE</w:t>
      </w:r>
      <w:r w:rsidR="008B5DC3">
        <w:rPr>
          <w:b/>
          <w:lang w:val="fr-FR"/>
        </w:rPr>
        <w:t xml:space="preserve"> </w:t>
      </w:r>
      <w:r w:rsidR="001A62E6">
        <w:rPr>
          <w:b/>
          <w:lang w:val="fr-FR"/>
        </w:rPr>
        <w:t>COMPAGNIES DE REASSURANCE</w:t>
      </w:r>
    </w:p>
    <w:p w14:paraId="58A99154" w14:textId="77777777" w:rsidR="007612A2" w:rsidRDefault="007612A2">
      <w:pPr>
        <w:tabs>
          <w:tab w:val="clear" w:pos="284"/>
          <w:tab w:val="left" w:pos="0"/>
        </w:tabs>
        <w:spacing w:line="240" w:lineRule="auto"/>
        <w:rPr>
          <w:lang w:val="fr-FR"/>
        </w:rPr>
      </w:pPr>
      <w:r>
        <w:rPr>
          <w:lang w:val="fr-FR"/>
        </w:rPr>
        <w:tab/>
      </w:r>
    </w:p>
    <w:p w14:paraId="7C3933C1" w14:textId="77777777" w:rsidR="007612A2" w:rsidRDefault="007612A2">
      <w:pPr>
        <w:tabs>
          <w:tab w:val="clear" w:pos="284"/>
          <w:tab w:val="left" w:pos="0"/>
        </w:tabs>
        <w:spacing w:line="240" w:lineRule="auto"/>
        <w:rPr>
          <w:lang w:val="fr-FR"/>
        </w:rPr>
      </w:pPr>
    </w:p>
    <w:p w14:paraId="39837710" w14:textId="77777777" w:rsidR="007612A2" w:rsidRDefault="007612A2">
      <w:pPr>
        <w:tabs>
          <w:tab w:val="clear" w:pos="284"/>
          <w:tab w:val="left" w:pos="0"/>
        </w:tabs>
        <w:spacing w:line="240" w:lineRule="auto"/>
        <w:rPr>
          <w:lang w:val="fr-FR"/>
        </w:rPr>
      </w:pPr>
    </w:p>
    <w:p w14:paraId="037B75B6" w14:textId="77777777" w:rsidR="007612A2" w:rsidRDefault="007612A2">
      <w:pPr>
        <w:tabs>
          <w:tab w:val="clear" w:pos="284"/>
          <w:tab w:val="left" w:pos="0"/>
        </w:tabs>
        <w:spacing w:line="240" w:lineRule="auto"/>
        <w:rPr>
          <w:sz w:val="20"/>
          <w:lang w:val="fr-FR"/>
        </w:rPr>
      </w:pPr>
      <w:r>
        <w:rPr>
          <w:sz w:val="20"/>
          <w:lang w:val="fr-FR"/>
        </w:rPr>
        <w:t xml:space="preserve">Cette enquête est destinée à récolter des données statistiques concernant les entreprises </w:t>
      </w:r>
      <w:r w:rsidR="00796740">
        <w:rPr>
          <w:sz w:val="20"/>
          <w:lang w:val="fr-FR"/>
        </w:rPr>
        <w:t>d'assurance actives en Belgique</w:t>
      </w:r>
      <w:r>
        <w:rPr>
          <w:sz w:val="20"/>
          <w:lang w:val="fr-FR"/>
        </w:rPr>
        <w:t xml:space="preserve">. Il s'agit des succursales en Belgique d'entreprises ayant leur siège social dans un pays membre de l'Espace économique européen. </w:t>
      </w:r>
    </w:p>
    <w:p w14:paraId="325F72E0" w14:textId="77777777" w:rsidR="007612A2" w:rsidRDefault="007612A2">
      <w:pPr>
        <w:tabs>
          <w:tab w:val="clear" w:pos="284"/>
          <w:tab w:val="left" w:pos="0"/>
        </w:tabs>
        <w:spacing w:line="240" w:lineRule="auto"/>
        <w:rPr>
          <w:sz w:val="20"/>
          <w:lang w:val="fr-FR"/>
        </w:rPr>
      </w:pPr>
    </w:p>
    <w:p w14:paraId="12C6D837" w14:textId="77777777" w:rsidR="007612A2" w:rsidRDefault="007612A2">
      <w:pPr>
        <w:spacing w:line="240" w:lineRule="auto"/>
        <w:rPr>
          <w:sz w:val="20"/>
          <w:lang w:val="fr-FR"/>
        </w:rPr>
      </w:pPr>
      <w:r>
        <w:rPr>
          <w:sz w:val="20"/>
          <w:lang w:val="fr-FR"/>
        </w:rPr>
        <w:t xml:space="preserve">En dehors de quelques renseignements concernant l'identification de l'entreprise, les informations demandées sont d'ordre comptable. </w:t>
      </w:r>
    </w:p>
    <w:p w14:paraId="71616B7A" w14:textId="77777777" w:rsidR="007612A2" w:rsidRDefault="007612A2">
      <w:pPr>
        <w:tabs>
          <w:tab w:val="clear" w:pos="284"/>
          <w:tab w:val="left" w:pos="0"/>
        </w:tabs>
        <w:spacing w:line="240" w:lineRule="auto"/>
        <w:rPr>
          <w:sz w:val="20"/>
          <w:lang w:val="fr-FR"/>
        </w:rPr>
      </w:pPr>
    </w:p>
    <w:p w14:paraId="41651BAF" w14:textId="30FFB534" w:rsidR="007612A2" w:rsidRDefault="007612A2">
      <w:pPr>
        <w:tabs>
          <w:tab w:val="clear" w:pos="284"/>
          <w:tab w:val="left" w:pos="0"/>
        </w:tabs>
        <w:spacing w:line="240" w:lineRule="auto"/>
        <w:rPr>
          <w:sz w:val="20"/>
          <w:lang w:val="fr-FR"/>
        </w:rPr>
      </w:pPr>
      <w:r>
        <w:rPr>
          <w:sz w:val="20"/>
          <w:lang w:val="fr-FR"/>
        </w:rPr>
        <w:t xml:space="preserve">La déclaration </w:t>
      </w:r>
      <w:r w:rsidR="00B70C66">
        <w:rPr>
          <w:sz w:val="20"/>
          <w:lang w:val="fr-FR"/>
        </w:rPr>
        <w:t>doit</w:t>
      </w:r>
      <w:r>
        <w:rPr>
          <w:sz w:val="20"/>
          <w:lang w:val="fr-FR"/>
        </w:rPr>
        <w:t xml:space="preserve"> être effectuée sous forme électronique </w:t>
      </w:r>
      <w:r w:rsidR="00FF4A6D">
        <w:rPr>
          <w:sz w:val="20"/>
          <w:lang w:val="fr-FR"/>
        </w:rPr>
        <w:t xml:space="preserve">via </w:t>
      </w:r>
      <w:proofErr w:type="spellStart"/>
      <w:r w:rsidR="00FF4A6D">
        <w:rPr>
          <w:sz w:val="20"/>
          <w:lang w:val="fr-FR"/>
        </w:rPr>
        <w:t>OneGate</w:t>
      </w:r>
      <w:proofErr w:type="spellEnd"/>
      <w:r w:rsidR="00FF4A6D">
        <w:rPr>
          <w:sz w:val="20"/>
          <w:lang w:val="fr-FR"/>
        </w:rPr>
        <w:t xml:space="preserve"> </w:t>
      </w:r>
      <w:r w:rsidR="008B5DC3">
        <w:rPr>
          <w:sz w:val="20"/>
          <w:lang w:val="fr-FR"/>
        </w:rPr>
        <w:t xml:space="preserve"> de la Banque nationale de Belgique</w:t>
      </w:r>
      <w:r w:rsidR="0047149E">
        <w:rPr>
          <w:sz w:val="20"/>
          <w:lang w:val="fr-FR"/>
        </w:rPr>
        <w:t xml:space="preserve"> </w:t>
      </w:r>
      <w:hyperlink r:id="rId6" w:history="1">
        <w:proofErr w:type="spellStart"/>
        <w:r w:rsidR="001F3C97" w:rsidRPr="001F3C97">
          <w:rPr>
            <w:rStyle w:val="Hyperlink"/>
            <w:sz w:val="20"/>
            <w:lang w:val="fr-FR"/>
          </w:rPr>
          <w:t>OneGate</w:t>
        </w:r>
        <w:proofErr w:type="spellEnd"/>
      </w:hyperlink>
      <w:r w:rsidR="001F3C97">
        <w:rPr>
          <w:sz w:val="20"/>
          <w:lang w:val="fr-FR"/>
        </w:rPr>
        <w:t>)</w:t>
      </w:r>
    </w:p>
    <w:p w14:paraId="5CD74A9B" w14:textId="1EFD9438" w:rsidR="004D075A" w:rsidRDefault="004D075A">
      <w:pPr>
        <w:tabs>
          <w:tab w:val="clear" w:pos="284"/>
          <w:tab w:val="left" w:pos="0"/>
        </w:tabs>
        <w:spacing w:line="240" w:lineRule="auto"/>
        <w:rPr>
          <w:sz w:val="20"/>
          <w:lang w:val="fr-FR"/>
        </w:rPr>
      </w:pPr>
      <w:r w:rsidRPr="004D075A">
        <w:rPr>
          <w:sz w:val="20"/>
          <w:lang w:val="fr-FR"/>
        </w:rPr>
        <w:t>https://www.nbb.be/doc/dd/onegate/fr_login.html</w:t>
      </w:r>
    </w:p>
    <w:p w14:paraId="5EE3E5DC" w14:textId="77777777" w:rsidR="007612A2" w:rsidRDefault="007612A2">
      <w:pPr>
        <w:tabs>
          <w:tab w:val="clear" w:pos="284"/>
          <w:tab w:val="left" w:pos="0"/>
        </w:tabs>
        <w:spacing w:line="240" w:lineRule="auto"/>
        <w:rPr>
          <w:sz w:val="20"/>
          <w:lang w:val="fr-FR"/>
        </w:rPr>
      </w:pPr>
    </w:p>
    <w:p w14:paraId="67F6083B" w14:textId="77777777" w:rsidR="007612A2" w:rsidRDefault="007612A2">
      <w:pPr>
        <w:tabs>
          <w:tab w:val="clear" w:pos="284"/>
          <w:tab w:val="left" w:pos="0"/>
        </w:tabs>
        <w:spacing w:line="240" w:lineRule="auto"/>
        <w:rPr>
          <w:b/>
          <w:sz w:val="20"/>
          <w:lang w:val="fr-FR"/>
        </w:rPr>
      </w:pPr>
      <w:r>
        <w:rPr>
          <w:sz w:val="20"/>
          <w:lang w:val="fr-FR"/>
        </w:rPr>
        <w:t>Sauf indication contraire, les montants doivent être libellés en</w:t>
      </w:r>
      <w:r>
        <w:rPr>
          <w:b/>
          <w:sz w:val="20"/>
          <w:lang w:val="fr-FR"/>
        </w:rPr>
        <w:t xml:space="preserve"> unités d'euros.</w:t>
      </w:r>
    </w:p>
    <w:p w14:paraId="64A69B12" w14:textId="77777777" w:rsidR="007612A2" w:rsidRDefault="007612A2">
      <w:pPr>
        <w:tabs>
          <w:tab w:val="clear" w:pos="284"/>
          <w:tab w:val="left" w:pos="0"/>
        </w:tabs>
        <w:spacing w:line="240" w:lineRule="auto"/>
        <w:rPr>
          <w:sz w:val="20"/>
          <w:lang w:val="fr-FR"/>
        </w:rPr>
      </w:pPr>
    </w:p>
    <w:p w14:paraId="6697E0FF" w14:textId="77777777" w:rsidR="007612A2" w:rsidRDefault="007612A2">
      <w:pPr>
        <w:tabs>
          <w:tab w:val="clear" w:pos="284"/>
          <w:tab w:val="left" w:pos="0"/>
        </w:tabs>
        <w:spacing w:line="240" w:lineRule="auto"/>
        <w:rPr>
          <w:sz w:val="20"/>
          <w:lang w:val="fr-FR"/>
        </w:rPr>
      </w:pPr>
      <w:r>
        <w:rPr>
          <w:sz w:val="20"/>
          <w:lang w:val="fr-FR"/>
        </w:rPr>
        <w:t xml:space="preserve">Cette déclaration porte sur </w:t>
      </w:r>
      <w:r w:rsidR="00093625">
        <w:rPr>
          <w:sz w:val="20"/>
          <w:lang w:val="fr-FR"/>
        </w:rPr>
        <w:t>la</w:t>
      </w:r>
      <w:r w:rsidR="00093625" w:rsidRPr="00093625">
        <w:rPr>
          <w:lang w:val="fr-BE"/>
        </w:rPr>
        <w:t xml:space="preserve"> </w:t>
      </w:r>
      <w:r w:rsidR="00093625" w:rsidRPr="00093625">
        <w:rPr>
          <w:sz w:val="20"/>
          <w:lang w:val="fr-FR"/>
        </w:rPr>
        <w:t>dernier exercice comptable clôturé</w:t>
      </w:r>
      <w:r w:rsidR="00093625">
        <w:rPr>
          <w:sz w:val="20"/>
          <w:lang w:val="fr-FR"/>
        </w:rPr>
        <w:t>.</w:t>
      </w:r>
    </w:p>
    <w:p w14:paraId="6B9F8035" w14:textId="77777777" w:rsidR="007612A2" w:rsidRDefault="007612A2">
      <w:pPr>
        <w:tabs>
          <w:tab w:val="clear" w:pos="284"/>
          <w:tab w:val="left" w:pos="0"/>
        </w:tabs>
        <w:spacing w:line="240" w:lineRule="auto"/>
        <w:rPr>
          <w:sz w:val="20"/>
          <w:lang w:val="fr-FR"/>
        </w:rPr>
      </w:pPr>
    </w:p>
    <w:p w14:paraId="61066ED5" w14:textId="77777777" w:rsidR="007612A2" w:rsidRDefault="007612A2">
      <w:pPr>
        <w:tabs>
          <w:tab w:val="clear" w:pos="284"/>
          <w:tab w:val="left" w:pos="0"/>
        </w:tabs>
        <w:spacing w:line="240" w:lineRule="auto"/>
        <w:rPr>
          <w:sz w:val="20"/>
          <w:lang w:val="fr-FR"/>
        </w:rPr>
      </w:pPr>
      <w:r>
        <w:rPr>
          <w:sz w:val="20"/>
          <w:lang w:val="fr-FR"/>
        </w:rPr>
        <w:t xml:space="preserve">La déclaration concerne uniquement les activités des établissements en Belgique </w:t>
      </w:r>
      <w:r w:rsidR="00B70C66">
        <w:rPr>
          <w:sz w:val="20"/>
          <w:lang w:val="fr-FR"/>
        </w:rPr>
        <w:t>mais</w:t>
      </w:r>
      <w:r>
        <w:rPr>
          <w:sz w:val="20"/>
          <w:lang w:val="fr-FR"/>
        </w:rPr>
        <w:t xml:space="preserve"> pas les activités de la maison mère ou des sièges à l'étranger.</w:t>
      </w:r>
    </w:p>
    <w:p w14:paraId="4ED6CBB4" w14:textId="77777777" w:rsidR="007612A2" w:rsidRDefault="007612A2">
      <w:pPr>
        <w:tabs>
          <w:tab w:val="clear" w:pos="284"/>
          <w:tab w:val="left" w:pos="0"/>
        </w:tabs>
        <w:spacing w:line="240" w:lineRule="auto"/>
        <w:rPr>
          <w:sz w:val="20"/>
          <w:lang w:val="fr-FR"/>
        </w:rPr>
      </w:pPr>
    </w:p>
    <w:p w14:paraId="21518891" w14:textId="77777777" w:rsidR="007612A2" w:rsidRDefault="007612A2">
      <w:pPr>
        <w:tabs>
          <w:tab w:val="clear" w:pos="284"/>
          <w:tab w:val="left" w:pos="0"/>
        </w:tabs>
        <w:spacing w:line="240" w:lineRule="auto"/>
        <w:rPr>
          <w:sz w:val="20"/>
          <w:lang w:val="fr-FR"/>
        </w:rPr>
      </w:pPr>
    </w:p>
    <w:p w14:paraId="4FF0E3CA" w14:textId="77777777" w:rsidR="007612A2" w:rsidRDefault="007612A2">
      <w:pPr>
        <w:tabs>
          <w:tab w:val="clear" w:pos="284"/>
          <w:tab w:val="left" w:pos="0"/>
        </w:tabs>
        <w:spacing w:line="240" w:lineRule="auto"/>
        <w:rPr>
          <w:sz w:val="20"/>
          <w:lang w:val="fr-FR"/>
        </w:rPr>
      </w:pPr>
    </w:p>
    <w:p w14:paraId="675F904D" w14:textId="77777777" w:rsidR="007612A2" w:rsidRDefault="007612A2">
      <w:pPr>
        <w:tabs>
          <w:tab w:val="clear" w:pos="284"/>
          <w:tab w:val="left" w:pos="0"/>
        </w:tabs>
        <w:spacing w:line="240" w:lineRule="auto"/>
        <w:rPr>
          <w:sz w:val="20"/>
          <w:u w:val="single"/>
          <w:lang w:val="fr-FR"/>
        </w:rPr>
      </w:pPr>
      <w:r>
        <w:rPr>
          <w:sz w:val="20"/>
          <w:u w:val="single"/>
          <w:lang w:val="fr-FR"/>
        </w:rPr>
        <w:t xml:space="preserve">PARTIE </w:t>
      </w:r>
      <w:r w:rsidR="008B5DC3">
        <w:rPr>
          <w:sz w:val="20"/>
          <w:u w:val="single"/>
          <w:lang w:val="fr-FR"/>
        </w:rPr>
        <w:t>SIGNALÉTIQUE</w:t>
      </w:r>
    </w:p>
    <w:p w14:paraId="582FC498" w14:textId="77777777" w:rsidR="007612A2" w:rsidRDefault="007612A2">
      <w:pPr>
        <w:tabs>
          <w:tab w:val="clear" w:pos="284"/>
          <w:tab w:val="left" w:pos="0"/>
        </w:tabs>
        <w:spacing w:line="240" w:lineRule="auto"/>
        <w:rPr>
          <w:b/>
          <w:sz w:val="20"/>
          <w:lang w:val="fr-FR"/>
        </w:rPr>
      </w:pPr>
    </w:p>
    <w:p w14:paraId="3B95E744" w14:textId="77777777" w:rsidR="007612A2" w:rsidRDefault="008B5DC3">
      <w:pPr>
        <w:tabs>
          <w:tab w:val="clear" w:pos="284"/>
          <w:tab w:val="left" w:pos="0"/>
        </w:tabs>
        <w:spacing w:line="240" w:lineRule="auto"/>
        <w:rPr>
          <w:sz w:val="20"/>
          <w:lang w:val="fr-FR"/>
        </w:rPr>
      </w:pPr>
      <w:r>
        <w:rPr>
          <w:sz w:val="20"/>
          <w:lang w:val="fr-FR"/>
        </w:rPr>
        <w:t>A remplir obligatoirement.</w:t>
      </w:r>
    </w:p>
    <w:p w14:paraId="00D5F2B3" w14:textId="77777777" w:rsidR="007612A2" w:rsidRDefault="007612A2">
      <w:pPr>
        <w:tabs>
          <w:tab w:val="clear" w:pos="284"/>
          <w:tab w:val="left" w:pos="0"/>
        </w:tabs>
        <w:spacing w:line="240" w:lineRule="auto"/>
        <w:rPr>
          <w:sz w:val="20"/>
          <w:lang w:val="fr-FR"/>
        </w:rPr>
      </w:pPr>
    </w:p>
    <w:p w14:paraId="2ACC6C15" w14:textId="77777777" w:rsidR="007612A2" w:rsidRDefault="007612A2">
      <w:pPr>
        <w:tabs>
          <w:tab w:val="clear" w:pos="284"/>
          <w:tab w:val="left" w:pos="0"/>
        </w:tabs>
        <w:spacing w:line="240" w:lineRule="auto"/>
        <w:rPr>
          <w:sz w:val="20"/>
          <w:lang w:val="fr-FR"/>
        </w:rPr>
      </w:pPr>
    </w:p>
    <w:p w14:paraId="7F5B3E2A" w14:textId="77777777" w:rsidR="007612A2" w:rsidRDefault="007612A2">
      <w:pPr>
        <w:tabs>
          <w:tab w:val="clear" w:pos="284"/>
          <w:tab w:val="left" w:pos="0"/>
        </w:tabs>
        <w:spacing w:line="240" w:lineRule="auto"/>
        <w:rPr>
          <w:sz w:val="20"/>
          <w:lang w:val="fr-FR"/>
        </w:rPr>
      </w:pPr>
    </w:p>
    <w:p w14:paraId="6A6CC31C" w14:textId="77777777" w:rsidR="007612A2" w:rsidRPr="008B5DC3" w:rsidRDefault="007612A2">
      <w:pPr>
        <w:tabs>
          <w:tab w:val="clear" w:pos="284"/>
          <w:tab w:val="left" w:pos="0"/>
        </w:tabs>
        <w:spacing w:line="240" w:lineRule="auto"/>
        <w:rPr>
          <w:sz w:val="20"/>
          <w:u w:val="single"/>
          <w:lang w:val="fr-FR"/>
        </w:rPr>
      </w:pPr>
      <w:r>
        <w:rPr>
          <w:sz w:val="20"/>
          <w:u w:val="single"/>
          <w:lang w:val="fr-FR"/>
        </w:rPr>
        <w:t xml:space="preserve">PARTIE </w:t>
      </w:r>
      <w:r w:rsidR="008B5DC3" w:rsidRPr="008B5DC3">
        <w:rPr>
          <w:sz w:val="20"/>
          <w:u w:val="single"/>
          <w:lang w:val="fr-FR"/>
        </w:rPr>
        <w:t>E</w:t>
      </w:r>
      <w:r w:rsidR="008B5DC3">
        <w:rPr>
          <w:sz w:val="20"/>
          <w:u w:val="single"/>
          <w:lang w:val="fr-FR"/>
        </w:rPr>
        <w:t>NQUÊTE STRUCTURELLE ASSURANCES</w:t>
      </w:r>
      <w:r w:rsidR="008B5DC3" w:rsidRPr="008B5DC3">
        <w:rPr>
          <w:sz w:val="20"/>
          <w:u w:val="single"/>
          <w:lang w:val="fr-FR"/>
        </w:rPr>
        <w:t xml:space="preserve">  (SUC</w:t>
      </w:r>
      <w:r w:rsidR="00BF1AB6">
        <w:rPr>
          <w:sz w:val="20"/>
          <w:u w:val="single"/>
          <w:lang w:val="fr-FR"/>
        </w:rPr>
        <w:t>CURSALES</w:t>
      </w:r>
      <w:r w:rsidR="008B5DC3" w:rsidRPr="008B5DC3">
        <w:rPr>
          <w:sz w:val="20"/>
          <w:u w:val="single"/>
          <w:lang w:val="fr-FR"/>
        </w:rPr>
        <w:t>)</w:t>
      </w:r>
    </w:p>
    <w:p w14:paraId="6985F657" w14:textId="77777777" w:rsidR="007612A2" w:rsidRDefault="007612A2">
      <w:pPr>
        <w:tabs>
          <w:tab w:val="clear" w:pos="284"/>
          <w:tab w:val="left" w:pos="0"/>
        </w:tabs>
        <w:spacing w:line="240" w:lineRule="auto"/>
        <w:rPr>
          <w:sz w:val="20"/>
          <w:lang w:val="fr-FR"/>
        </w:rPr>
      </w:pPr>
    </w:p>
    <w:p w14:paraId="53485A65" w14:textId="77777777" w:rsidR="007612A2" w:rsidRDefault="007612A2">
      <w:pPr>
        <w:tabs>
          <w:tab w:val="clear" w:pos="284"/>
          <w:tab w:val="left" w:pos="0"/>
        </w:tabs>
        <w:spacing w:line="240" w:lineRule="auto"/>
        <w:rPr>
          <w:sz w:val="20"/>
          <w:lang w:val="fr-FR"/>
        </w:rPr>
      </w:pPr>
      <w:r>
        <w:rPr>
          <w:sz w:val="20"/>
          <w:lang w:val="fr-FR"/>
        </w:rPr>
        <w:t>Il s'agit de compléter une partie du schéma comptable défini par l'Arrêté royal du 17 novembre 1994. Le questionnaire reprend :</w:t>
      </w:r>
    </w:p>
    <w:p w14:paraId="19C0B906" w14:textId="77777777" w:rsidR="007612A2" w:rsidRDefault="007612A2">
      <w:pPr>
        <w:tabs>
          <w:tab w:val="clear" w:pos="284"/>
          <w:tab w:val="left" w:pos="567"/>
        </w:tabs>
        <w:spacing w:line="240" w:lineRule="auto"/>
        <w:ind w:left="567"/>
        <w:jc w:val="left"/>
        <w:rPr>
          <w:sz w:val="20"/>
          <w:lang w:val="fr-FR"/>
        </w:rPr>
      </w:pPr>
      <w:r>
        <w:rPr>
          <w:sz w:val="20"/>
          <w:lang w:val="fr-FR"/>
        </w:rPr>
        <w:t xml:space="preserve">- </w:t>
      </w:r>
      <w:r w:rsidR="008B5DC3">
        <w:rPr>
          <w:sz w:val="20"/>
          <w:lang w:val="fr-FR"/>
        </w:rPr>
        <w:t>Une partie du</w:t>
      </w:r>
      <w:r>
        <w:rPr>
          <w:sz w:val="20"/>
          <w:lang w:val="fr-FR"/>
        </w:rPr>
        <w:t xml:space="preserve"> bilan;</w:t>
      </w:r>
    </w:p>
    <w:p w14:paraId="1186D6FA" w14:textId="77777777" w:rsidR="007612A2" w:rsidRDefault="007612A2">
      <w:pPr>
        <w:spacing w:line="240" w:lineRule="auto"/>
        <w:ind w:left="709" w:hanging="142"/>
        <w:jc w:val="left"/>
        <w:rPr>
          <w:sz w:val="20"/>
          <w:lang w:val="fr-FR"/>
        </w:rPr>
      </w:pPr>
      <w:r>
        <w:rPr>
          <w:sz w:val="20"/>
          <w:lang w:val="fr-FR"/>
        </w:rPr>
        <w:t>- le compte technique</w:t>
      </w:r>
      <w:r w:rsidR="00804C3C">
        <w:rPr>
          <w:sz w:val="20"/>
          <w:lang w:val="fr-FR"/>
        </w:rPr>
        <w:t xml:space="preserve"> non</w:t>
      </w:r>
      <w:r>
        <w:rPr>
          <w:sz w:val="20"/>
          <w:lang w:val="fr-FR"/>
        </w:rPr>
        <w:t xml:space="preserve"> vie;</w:t>
      </w:r>
    </w:p>
    <w:p w14:paraId="7CF1E658" w14:textId="77777777" w:rsidR="007612A2" w:rsidRDefault="007612A2">
      <w:pPr>
        <w:spacing w:line="240" w:lineRule="auto"/>
        <w:ind w:left="709" w:hanging="142"/>
        <w:jc w:val="left"/>
        <w:rPr>
          <w:sz w:val="20"/>
          <w:lang w:val="fr-FR"/>
        </w:rPr>
      </w:pPr>
      <w:r>
        <w:rPr>
          <w:sz w:val="20"/>
          <w:lang w:val="fr-FR"/>
        </w:rPr>
        <w:t>- le compte technique vie;</w:t>
      </w:r>
    </w:p>
    <w:p w14:paraId="671EC0A4" w14:textId="77777777" w:rsidR="007612A2" w:rsidRDefault="007612A2">
      <w:pPr>
        <w:spacing w:line="240" w:lineRule="auto"/>
        <w:ind w:left="709" w:hanging="142"/>
        <w:jc w:val="left"/>
        <w:rPr>
          <w:sz w:val="20"/>
          <w:lang w:val="fr-FR"/>
        </w:rPr>
      </w:pPr>
      <w:r>
        <w:rPr>
          <w:sz w:val="20"/>
          <w:lang w:val="fr-FR"/>
        </w:rPr>
        <w:t>- le compte non technique;</w:t>
      </w:r>
    </w:p>
    <w:p w14:paraId="21D14B64" w14:textId="77777777" w:rsidR="00804C3C" w:rsidRDefault="00804C3C">
      <w:pPr>
        <w:spacing w:line="240" w:lineRule="auto"/>
        <w:ind w:left="709" w:hanging="142"/>
        <w:jc w:val="left"/>
        <w:rPr>
          <w:sz w:val="20"/>
          <w:lang w:val="fr-FR"/>
        </w:rPr>
      </w:pPr>
      <w:r>
        <w:rPr>
          <w:sz w:val="20"/>
          <w:lang w:val="fr-FR"/>
        </w:rPr>
        <w:t xml:space="preserve">- </w:t>
      </w:r>
      <w:r w:rsidRPr="00804C3C">
        <w:rPr>
          <w:sz w:val="20"/>
          <w:lang w:val="fr-FR"/>
        </w:rPr>
        <w:t>Affectations et prélèvements</w:t>
      </w:r>
      <w:r>
        <w:rPr>
          <w:sz w:val="20"/>
          <w:lang w:val="fr-FR"/>
        </w:rPr>
        <w:t>;</w:t>
      </w:r>
    </w:p>
    <w:p w14:paraId="7545FFCF" w14:textId="77777777" w:rsidR="007612A2" w:rsidRDefault="007612A2">
      <w:pPr>
        <w:spacing w:line="240" w:lineRule="auto"/>
        <w:ind w:left="709" w:hanging="142"/>
        <w:jc w:val="left"/>
        <w:rPr>
          <w:sz w:val="20"/>
          <w:lang w:val="fr-FR"/>
        </w:rPr>
      </w:pPr>
      <w:r>
        <w:rPr>
          <w:sz w:val="20"/>
          <w:lang w:val="fr-FR"/>
        </w:rPr>
        <w:t xml:space="preserve">- l'annexe 10 "Information concernant les comptes techniques", </w:t>
      </w:r>
      <w:proofErr w:type="spellStart"/>
      <w:r>
        <w:rPr>
          <w:sz w:val="20"/>
          <w:lang w:val="fr-FR"/>
        </w:rPr>
        <w:t>partim</w:t>
      </w:r>
      <w:proofErr w:type="spellEnd"/>
      <w:r>
        <w:rPr>
          <w:sz w:val="20"/>
          <w:lang w:val="fr-FR"/>
        </w:rPr>
        <w:t>;</w:t>
      </w:r>
    </w:p>
    <w:p w14:paraId="1973A927" w14:textId="77777777" w:rsidR="007612A2" w:rsidRDefault="007612A2">
      <w:pPr>
        <w:spacing w:line="240" w:lineRule="auto"/>
        <w:ind w:left="709" w:hanging="142"/>
        <w:jc w:val="left"/>
        <w:rPr>
          <w:sz w:val="20"/>
          <w:lang w:val="fr-FR"/>
        </w:rPr>
      </w:pPr>
      <w:r>
        <w:rPr>
          <w:sz w:val="20"/>
          <w:lang w:val="fr-FR"/>
        </w:rPr>
        <w:t xml:space="preserve">- l'annexe 11 "Etat relatif au personnel </w:t>
      </w:r>
      <w:r w:rsidR="00BF1AB6">
        <w:rPr>
          <w:sz w:val="20"/>
          <w:lang w:val="fr-FR"/>
        </w:rPr>
        <w:t>employé"</w:t>
      </w:r>
      <w:r>
        <w:rPr>
          <w:sz w:val="20"/>
          <w:lang w:val="fr-FR"/>
        </w:rPr>
        <w:t>;</w:t>
      </w:r>
    </w:p>
    <w:p w14:paraId="052D07E0" w14:textId="77777777" w:rsidR="007612A2" w:rsidRDefault="007612A2">
      <w:pPr>
        <w:spacing w:line="240" w:lineRule="auto"/>
        <w:ind w:left="709" w:hanging="142"/>
        <w:jc w:val="left"/>
        <w:rPr>
          <w:sz w:val="20"/>
          <w:lang w:val="fr-FR"/>
        </w:rPr>
      </w:pPr>
      <w:r>
        <w:rPr>
          <w:sz w:val="20"/>
          <w:lang w:val="fr-FR"/>
        </w:rPr>
        <w:t>- l'annexe 12 "Etat relatif à l'ensemble des frais d'administration et gestion, ventilés par nature";</w:t>
      </w:r>
    </w:p>
    <w:p w14:paraId="2B93D386" w14:textId="77777777" w:rsidR="007612A2" w:rsidRDefault="007612A2">
      <w:pPr>
        <w:spacing w:line="240" w:lineRule="auto"/>
        <w:ind w:left="709" w:hanging="142"/>
        <w:jc w:val="left"/>
        <w:rPr>
          <w:sz w:val="20"/>
          <w:lang w:val="fr-FR"/>
        </w:rPr>
      </w:pPr>
      <w:r>
        <w:rPr>
          <w:sz w:val="20"/>
          <w:lang w:val="fr-FR"/>
        </w:rPr>
        <w:t>- une annexe se rapportant aux investissements et désinvestissements de votre établissement.</w:t>
      </w:r>
    </w:p>
    <w:p w14:paraId="61268987" w14:textId="77777777" w:rsidR="007612A2" w:rsidRDefault="007612A2">
      <w:pPr>
        <w:spacing w:line="240" w:lineRule="auto"/>
        <w:ind w:left="709" w:hanging="142"/>
        <w:jc w:val="left"/>
        <w:rPr>
          <w:sz w:val="20"/>
          <w:lang w:val="fr-FR"/>
        </w:rPr>
      </w:pPr>
    </w:p>
    <w:p w14:paraId="1E76F5AF" w14:textId="77777777" w:rsidR="007612A2" w:rsidRDefault="007612A2">
      <w:pPr>
        <w:spacing w:line="240" w:lineRule="auto"/>
        <w:ind w:left="709" w:hanging="142"/>
        <w:jc w:val="left"/>
        <w:rPr>
          <w:sz w:val="20"/>
          <w:lang w:val="fr-FR"/>
        </w:rPr>
      </w:pPr>
    </w:p>
    <w:p w14:paraId="54BBF4CB" w14:textId="77777777" w:rsidR="007612A2" w:rsidRPr="00804C3C" w:rsidRDefault="007612A2">
      <w:pPr>
        <w:spacing w:line="240" w:lineRule="auto"/>
        <w:rPr>
          <w:sz w:val="20"/>
          <w:lang w:val="fr-FR"/>
        </w:rPr>
      </w:pPr>
      <w:r w:rsidRPr="00804C3C">
        <w:rPr>
          <w:sz w:val="20"/>
          <w:lang w:val="fr-FR"/>
        </w:rPr>
        <w:t>INVESTISSEMENTS ET DESINVESTISSEMENTS</w:t>
      </w:r>
    </w:p>
    <w:p w14:paraId="49AAEEC1" w14:textId="77777777" w:rsidR="007612A2" w:rsidRDefault="007612A2">
      <w:pPr>
        <w:spacing w:line="240" w:lineRule="auto"/>
        <w:rPr>
          <w:sz w:val="20"/>
          <w:lang w:val="fr-FR"/>
        </w:rPr>
      </w:pPr>
      <w:r>
        <w:rPr>
          <w:sz w:val="20"/>
          <w:lang w:val="fr-FR"/>
        </w:rPr>
        <w:tab/>
      </w:r>
    </w:p>
    <w:p w14:paraId="3D96483E" w14:textId="77777777" w:rsidR="007612A2" w:rsidRDefault="007612A2">
      <w:pPr>
        <w:spacing w:line="240" w:lineRule="auto"/>
        <w:rPr>
          <w:sz w:val="20"/>
          <w:lang w:val="fr-FR"/>
        </w:rPr>
      </w:pPr>
      <w:r>
        <w:rPr>
          <w:sz w:val="20"/>
          <w:lang w:val="fr-FR"/>
        </w:rPr>
        <w:t>On demande de donner la ventilation des variations effectives des immobilisations corporelles ou incorporelles d'une part selon le type d'immobilisations, et d'autre part selon le type d'opérations (acquisition ordinaire, acquisition en leasing, vente).</w:t>
      </w:r>
    </w:p>
    <w:p w14:paraId="495E3C1A" w14:textId="77777777" w:rsidR="007612A2" w:rsidRDefault="007612A2">
      <w:pPr>
        <w:spacing w:line="240" w:lineRule="auto"/>
        <w:rPr>
          <w:sz w:val="20"/>
          <w:lang w:val="fr-FR"/>
        </w:rPr>
      </w:pPr>
    </w:p>
    <w:p w14:paraId="3F349985" w14:textId="77777777" w:rsidR="007612A2" w:rsidRDefault="007612A2">
      <w:pPr>
        <w:spacing w:line="240" w:lineRule="auto"/>
        <w:rPr>
          <w:sz w:val="20"/>
          <w:lang w:val="fr-FR"/>
        </w:rPr>
      </w:pPr>
      <w:r>
        <w:rPr>
          <w:sz w:val="20"/>
          <w:lang w:val="fr-FR"/>
        </w:rPr>
        <w:t>Les acquisitions de software qui seraient comptabilisées comme immobilisations corporelles ou incorporelles doivent être mentionnées dans la rubrique “Software”.</w:t>
      </w:r>
    </w:p>
    <w:p w14:paraId="5FF2689E" w14:textId="77777777" w:rsidR="007612A2" w:rsidRDefault="007612A2">
      <w:pPr>
        <w:spacing w:line="240" w:lineRule="auto"/>
        <w:rPr>
          <w:sz w:val="20"/>
          <w:lang w:val="fr-FR"/>
        </w:rPr>
      </w:pPr>
    </w:p>
    <w:p w14:paraId="71A4656A" w14:textId="77777777" w:rsidR="007612A2" w:rsidRDefault="007612A2">
      <w:pPr>
        <w:spacing w:line="240" w:lineRule="auto"/>
        <w:rPr>
          <w:sz w:val="20"/>
          <w:lang w:val="fr-FR"/>
        </w:rPr>
      </w:pPr>
      <w:r>
        <w:rPr>
          <w:sz w:val="20"/>
          <w:lang w:val="fr-FR"/>
        </w:rPr>
        <w:t xml:space="preserve">Les postes “Bâtiments” comprennent les immeubles de placement et les constructions destinées au fonctionnement de l’entreprise. </w:t>
      </w:r>
    </w:p>
    <w:p w14:paraId="4AD3828D" w14:textId="77777777" w:rsidR="007612A2" w:rsidRDefault="007612A2">
      <w:pPr>
        <w:spacing w:line="240" w:lineRule="auto"/>
        <w:rPr>
          <w:sz w:val="20"/>
          <w:lang w:val="fr-FR"/>
        </w:rPr>
      </w:pPr>
      <w:r>
        <w:rPr>
          <w:sz w:val="20"/>
          <w:lang w:val="fr-FR"/>
        </w:rPr>
        <w:tab/>
      </w:r>
    </w:p>
    <w:p w14:paraId="2F443C8E" w14:textId="77777777" w:rsidR="007612A2" w:rsidRDefault="007612A2">
      <w:pPr>
        <w:spacing w:line="240" w:lineRule="auto"/>
        <w:ind w:left="284" w:hanging="284"/>
        <w:rPr>
          <w:sz w:val="20"/>
          <w:lang w:val="fr-FR"/>
        </w:rPr>
      </w:pPr>
      <w:r>
        <w:rPr>
          <w:b/>
          <w:sz w:val="20"/>
          <w:lang w:val="fr-FR"/>
        </w:rPr>
        <w:t>Acquisitions hors leasing</w:t>
      </w:r>
      <w:r>
        <w:rPr>
          <w:sz w:val="20"/>
          <w:lang w:val="fr-FR"/>
        </w:rPr>
        <w:t>: ce poste comprend la production immobilisée et les “acquisitions physiques effectives”. Il ne comprend ni les acomptes sur les acquisitions non encore livrées sauf dans le cas des bâtiments en construction, ni les reprises d'immobilisations résultant d'opérations de restructuration d'une société (absorption, scission, apport d’activités,...).</w:t>
      </w:r>
    </w:p>
    <w:p w14:paraId="67D3EB8D" w14:textId="77777777" w:rsidR="007612A2" w:rsidRDefault="007612A2">
      <w:pPr>
        <w:spacing w:line="240" w:lineRule="auto"/>
        <w:ind w:left="284" w:hanging="284"/>
        <w:rPr>
          <w:b/>
          <w:sz w:val="20"/>
          <w:lang w:val="fr-FR"/>
        </w:rPr>
      </w:pPr>
    </w:p>
    <w:p w14:paraId="48006381" w14:textId="77777777" w:rsidR="007612A2" w:rsidRDefault="007612A2">
      <w:pPr>
        <w:spacing w:line="240" w:lineRule="auto"/>
        <w:ind w:left="284" w:hanging="284"/>
        <w:rPr>
          <w:sz w:val="20"/>
          <w:lang w:val="fr-FR"/>
        </w:rPr>
      </w:pPr>
      <w:r>
        <w:rPr>
          <w:b/>
          <w:sz w:val="20"/>
          <w:lang w:val="fr-FR"/>
        </w:rPr>
        <w:lastRenderedPageBreak/>
        <w:t>Acquisitions en leasing</w:t>
      </w:r>
      <w:r>
        <w:rPr>
          <w:sz w:val="20"/>
          <w:lang w:val="fr-FR"/>
        </w:rPr>
        <w:t>:  ce poste concerne les acquisitions corporelles en leasing.  Ces acquisitions sont à ventiler selon le type d’actif.</w:t>
      </w:r>
      <w:r>
        <w:rPr>
          <w:sz w:val="20"/>
          <w:lang w:val="fr-FR"/>
        </w:rPr>
        <w:tab/>
      </w:r>
    </w:p>
    <w:p w14:paraId="51F61930" w14:textId="77777777" w:rsidR="007612A2" w:rsidRDefault="007612A2">
      <w:pPr>
        <w:spacing w:line="240" w:lineRule="auto"/>
        <w:ind w:left="284" w:hanging="284"/>
        <w:rPr>
          <w:b/>
          <w:sz w:val="20"/>
          <w:lang w:val="fr-FR"/>
        </w:rPr>
      </w:pPr>
    </w:p>
    <w:p w14:paraId="693131A8" w14:textId="77777777" w:rsidR="007612A2" w:rsidRDefault="007612A2">
      <w:pPr>
        <w:spacing w:line="240" w:lineRule="auto"/>
        <w:ind w:left="284" w:hanging="284"/>
        <w:rPr>
          <w:sz w:val="20"/>
          <w:lang w:val="fr-FR"/>
        </w:rPr>
      </w:pPr>
      <w:r>
        <w:rPr>
          <w:b/>
          <w:sz w:val="20"/>
          <w:lang w:val="fr-FR"/>
        </w:rPr>
        <w:t>Ventes</w:t>
      </w:r>
      <w:r>
        <w:rPr>
          <w:sz w:val="20"/>
          <w:lang w:val="fr-FR"/>
        </w:rPr>
        <w:t>: ce poste ne concerne également  que les “ventes physiques effectives”. Il ne comprend donc ni les acomptes sur ventes,  ni les cessions liées aux opérations de restructuration, ni les mises au rebut. Les montants à indiquer sont ceux correspondant aux prix du marché (valeur comptable + plus-value réalisée - moins-value réalisée).</w:t>
      </w:r>
    </w:p>
    <w:p w14:paraId="1F4AF777" w14:textId="77777777" w:rsidR="007612A2" w:rsidRDefault="007612A2">
      <w:pPr>
        <w:spacing w:line="240" w:lineRule="auto"/>
        <w:ind w:left="284" w:hanging="284"/>
        <w:rPr>
          <w:sz w:val="20"/>
          <w:lang w:val="fr-FR"/>
        </w:rPr>
      </w:pPr>
    </w:p>
    <w:p w14:paraId="1A044642" w14:textId="77777777" w:rsidR="007612A2" w:rsidRDefault="007612A2">
      <w:pPr>
        <w:spacing w:line="240" w:lineRule="auto"/>
        <w:rPr>
          <w:sz w:val="20"/>
          <w:lang w:val="fr-FR"/>
        </w:rPr>
      </w:pPr>
      <w:r>
        <w:rPr>
          <w:sz w:val="20"/>
          <w:lang w:val="fr-FR"/>
        </w:rPr>
        <w:t xml:space="preserve">Les immobilisations corporelles comprennent les terrains, les bâtiments (existants ou neufs - y compris les autres travaux de construction), les objets de valeur et les autres immobilisations corporelles. Les terrains bâtis seront, selon la valeur relative du bâtiment, considérés comme bâtiments ou comme terrain.  S‘il n’est pas possible de préciser lequel du bâtiment ou du terrain est le plus important, on considère qu’il s’agit d’un bâtiment. </w:t>
      </w:r>
    </w:p>
    <w:p w14:paraId="31080408" w14:textId="77777777" w:rsidR="007612A2" w:rsidRDefault="007612A2">
      <w:pPr>
        <w:tabs>
          <w:tab w:val="clear" w:pos="284"/>
          <w:tab w:val="left" w:pos="0"/>
        </w:tabs>
        <w:spacing w:line="240" w:lineRule="auto"/>
        <w:rPr>
          <w:lang w:val="fr-FR"/>
        </w:rPr>
      </w:pPr>
    </w:p>
    <w:sectPr w:rsidR="007612A2">
      <w:footerReference w:type="default" r:id="rId7"/>
      <w:pgSz w:w="11907" w:h="16840" w:code="9"/>
      <w:pgMar w:top="1134" w:right="1559" w:bottom="1134" w:left="1559" w:header="567" w:footer="567"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3A2C" w14:textId="77777777" w:rsidR="00681719" w:rsidRDefault="00681719">
      <w:r>
        <w:separator/>
      </w:r>
    </w:p>
  </w:endnote>
  <w:endnote w:type="continuationSeparator" w:id="0">
    <w:p w14:paraId="151D9689" w14:textId="77777777" w:rsidR="00681719" w:rsidRDefault="0068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8511" w14:textId="77777777" w:rsidR="00B70C66" w:rsidRDefault="00B70C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6746" w14:textId="77777777" w:rsidR="00681719" w:rsidRDefault="00681719">
      <w:r>
        <w:separator/>
      </w:r>
    </w:p>
  </w:footnote>
  <w:footnote w:type="continuationSeparator" w:id="0">
    <w:p w14:paraId="3F8A0303" w14:textId="77777777" w:rsidR="00681719" w:rsidRDefault="00681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7C0"/>
    <w:rsid w:val="00071EB8"/>
    <w:rsid w:val="00093625"/>
    <w:rsid w:val="000973F4"/>
    <w:rsid w:val="00177A4C"/>
    <w:rsid w:val="001A62E6"/>
    <w:rsid w:val="001F3C97"/>
    <w:rsid w:val="0026690D"/>
    <w:rsid w:val="002848F0"/>
    <w:rsid w:val="002A62F5"/>
    <w:rsid w:val="002E3AEA"/>
    <w:rsid w:val="0035009A"/>
    <w:rsid w:val="00421541"/>
    <w:rsid w:val="00445664"/>
    <w:rsid w:val="0047149E"/>
    <w:rsid w:val="004D075A"/>
    <w:rsid w:val="00527165"/>
    <w:rsid w:val="00542716"/>
    <w:rsid w:val="005728EA"/>
    <w:rsid w:val="00681719"/>
    <w:rsid w:val="007056AC"/>
    <w:rsid w:val="00710E46"/>
    <w:rsid w:val="00722D96"/>
    <w:rsid w:val="007612A2"/>
    <w:rsid w:val="00796740"/>
    <w:rsid w:val="007F49E0"/>
    <w:rsid w:val="00804C3C"/>
    <w:rsid w:val="00834595"/>
    <w:rsid w:val="008943C0"/>
    <w:rsid w:val="008B5DC3"/>
    <w:rsid w:val="009067FA"/>
    <w:rsid w:val="00A84C2F"/>
    <w:rsid w:val="00AA3C67"/>
    <w:rsid w:val="00AD2F66"/>
    <w:rsid w:val="00B10D7B"/>
    <w:rsid w:val="00B70C66"/>
    <w:rsid w:val="00BE74E0"/>
    <w:rsid w:val="00BF1AB6"/>
    <w:rsid w:val="00C347C0"/>
    <w:rsid w:val="00D412D9"/>
    <w:rsid w:val="00D902BC"/>
    <w:rsid w:val="00FF4A6D"/>
    <w:rsid w:val="00FF6B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717F4"/>
  <w15:chartTrackingRefBased/>
  <w15:docId w15:val="{94BE5BF3-17C9-4573-94CE-309C759C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spacing w:line="360" w:lineRule="atLeast"/>
      <w:jc w:val="both"/>
    </w:pPr>
    <w:rPr>
      <w:sz w:val="22"/>
      <w:lang w:val="en-GB" w:eastAsia="en-US"/>
    </w:rPr>
  </w:style>
  <w:style w:type="paragraph" w:styleId="Heading1">
    <w:name w:val="heading 1"/>
    <w:basedOn w:val="Normal"/>
    <w:next w:val="Normal"/>
    <w:qFormat/>
    <w:pPr>
      <w:keepNext/>
      <w:keepLines/>
      <w:spacing w:before="240" w:after="240"/>
      <w:outlineLvl w:val="0"/>
    </w:pPr>
    <w:rPr>
      <w:b/>
      <w:caps/>
      <w:u w:val="single"/>
    </w:rPr>
  </w:style>
  <w:style w:type="paragraph" w:styleId="Heading2">
    <w:name w:val="heading 2"/>
    <w:basedOn w:val="Normal"/>
    <w:next w:val="Normal"/>
    <w:qFormat/>
    <w:pPr>
      <w:keepNext/>
      <w:keepLines/>
      <w:tabs>
        <w:tab w:val="left" w:pos="454"/>
      </w:tabs>
      <w:spacing w:before="120" w:after="120"/>
      <w:outlineLvl w:val="1"/>
    </w:pPr>
    <w:rPr>
      <w:caps/>
      <w:u w:val="single"/>
    </w:rPr>
  </w:style>
  <w:style w:type="paragraph" w:styleId="Heading3">
    <w:name w:val="heading 3"/>
    <w:basedOn w:val="Normal"/>
    <w:next w:val="Normal"/>
    <w:qFormat/>
    <w:pPr>
      <w:keepNext/>
      <w:keepLines/>
      <w:tabs>
        <w:tab w:val="left" w:pos="624"/>
      </w:tabs>
      <w:outlineLvl w:val="2"/>
    </w:pPr>
    <w:rPr>
      <w:caps/>
    </w:rPr>
  </w:style>
  <w:style w:type="paragraph" w:styleId="Heading4">
    <w:name w:val="heading 4"/>
    <w:basedOn w:val="Normal"/>
    <w:next w:val="Normal"/>
    <w:qFormat/>
    <w:pPr>
      <w:keepNext/>
      <w:keepLines/>
      <w:tabs>
        <w:tab w:val="left" w:pos="794"/>
      </w:tabs>
      <w:outlineLvl w:val="3"/>
    </w:pPr>
    <w:rPr>
      <w:u w:val="single"/>
    </w:rPr>
  </w:style>
  <w:style w:type="paragraph" w:styleId="Heading5">
    <w:name w:val="heading 5"/>
    <w:basedOn w:val="Normal"/>
    <w:next w:val="Normal"/>
    <w:qFormat/>
    <w:pPr>
      <w:keepNext/>
      <w:keepLines/>
      <w:tabs>
        <w:tab w:val="left" w:pos="964"/>
      </w:tabs>
      <w:outlineLvl w:val="4"/>
    </w:pPr>
  </w:style>
  <w:style w:type="paragraph" w:styleId="Heading6">
    <w:name w:val="heading 6"/>
    <w:basedOn w:val="Normal"/>
    <w:next w:val="Normal"/>
    <w:qFormat/>
    <w:pPr>
      <w:keepNext/>
      <w:keepLines/>
      <w:tabs>
        <w:tab w:val="left" w:pos="1049"/>
      </w:tabs>
      <w:outlineLvl w:val="5"/>
    </w:pPr>
  </w:style>
  <w:style w:type="paragraph" w:styleId="Heading7">
    <w:name w:val="heading 7"/>
    <w:basedOn w:val="Normal"/>
    <w:next w:val="Normal"/>
    <w:qFormat/>
    <w:pPr>
      <w:keepNext/>
      <w:keepLines/>
      <w:tabs>
        <w:tab w:val="left" w:pos="1219"/>
      </w:tabs>
      <w:outlineLvl w:val="6"/>
    </w:pPr>
  </w:style>
  <w:style w:type="paragraph" w:styleId="Heading8">
    <w:name w:val="heading 8"/>
    <w:basedOn w:val="Normal"/>
    <w:next w:val="Normal"/>
    <w:qFormat/>
    <w:pPr>
      <w:keepNext/>
      <w:keepLines/>
      <w:tabs>
        <w:tab w:val="left" w:pos="1378"/>
      </w:tabs>
      <w:outlineLvl w:val="7"/>
    </w:pPr>
  </w:style>
  <w:style w:type="paragraph" w:styleId="Heading9">
    <w:name w:val="heading 9"/>
    <w:basedOn w:val="Normal"/>
    <w:next w:val="Normal"/>
    <w:qFormat/>
    <w:pPr>
      <w:keepNext/>
      <w:keepLines/>
      <w:tabs>
        <w:tab w:val="left" w:pos="154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keepLines/>
      <w:tabs>
        <w:tab w:val="clear" w:pos="284"/>
        <w:tab w:val="right" w:leader="dot" w:pos="8789"/>
      </w:tabs>
      <w:ind w:left="879" w:right="567" w:hanging="879"/>
      <w:jc w:val="left"/>
    </w:pPr>
  </w:style>
  <w:style w:type="paragraph" w:styleId="TOC4">
    <w:name w:val="toc 4"/>
    <w:basedOn w:val="Normal"/>
    <w:next w:val="Normal"/>
    <w:semiHidden/>
    <w:pPr>
      <w:keepLines/>
      <w:tabs>
        <w:tab w:val="clear" w:pos="284"/>
        <w:tab w:val="right" w:leader="dot" w:pos="8789"/>
      </w:tabs>
      <w:ind w:left="714" w:right="567" w:hanging="714"/>
      <w:jc w:val="left"/>
    </w:pPr>
  </w:style>
  <w:style w:type="paragraph" w:styleId="TOC3">
    <w:name w:val="toc 3"/>
    <w:basedOn w:val="Normal"/>
    <w:next w:val="Normal"/>
    <w:semiHidden/>
    <w:pPr>
      <w:keepLines/>
      <w:tabs>
        <w:tab w:val="clear" w:pos="284"/>
        <w:tab w:val="right" w:leader="dot" w:pos="8789"/>
      </w:tabs>
      <w:ind w:left="556" w:right="567" w:hanging="556"/>
      <w:jc w:val="left"/>
    </w:pPr>
  </w:style>
  <w:style w:type="paragraph" w:styleId="TOC2">
    <w:name w:val="toc 2"/>
    <w:basedOn w:val="Normal"/>
    <w:next w:val="Normal"/>
    <w:semiHidden/>
    <w:pPr>
      <w:keepLines/>
      <w:tabs>
        <w:tab w:val="clear" w:pos="284"/>
        <w:tab w:val="right" w:leader="dot" w:pos="8789"/>
      </w:tabs>
      <w:ind w:left="397" w:right="567" w:hanging="397"/>
      <w:jc w:val="left"/>
    </w:pPr>
  </w:style>
  <w:style w:type="paragraph" w:styleId="TOC1">
    <w:name w:val="toc 1"/>
    <w:basedOn w:val="Normal"/>
    <w:next w:val="Normal"/>
    <w:semiHidden/>
    <w:pPr>
      <w:keepLines/>
      <w:tabs>
        <w:tab w:val="clear" w:pos="284"/>
        <w:tab w:val="right" w:leader="dot" w:pos="8789"/>
      </w:tabs>
      <w:ind w:left="227" w:right="567" w:hanging="227"/>
      <w:jc w:val="left"/>
    </w:pPr>
  </w:style>
  <w:style w:type="paragraph" w:styleId="Footer">
    <w:name w:val="footer"/>
    <w:basedOn w:val="Normal"/>
    <w:pPr>
      <w:tabs>
        <w:tab w:val="center" w:pos="4395"/>
        <w:tab w:val="right" w:pos="8789"/>
      </w:tabs>
      <w:spacing w:line="240" w:lineRule="auto"/>
    </w:pPr>
    <w:rPr>
      <w:sz w:val="18"/>
    </w:rPr>
  </w:style>
  <w:style w:type="paragraph" w:styleId="Header">
    <w:name w:val="header"/>
    <w:basedOn w:val="Normal"/>
    <w:pPr>
      <w:tabs>
        <w:tab w:val="clear" w:pos="284"/>
        <w:tab w:val="center" w:pos="4819"/>
        <w:tab w:val="right" w:pos="9071"/>
      </w:tabs>
      <w:spacing w:line="240" w:lineRule="auto"/>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styleId="NormalIndent">
    <w:name w:val="Normal Indent"/>
    <w:basedOn w:val="Normal"/>
    <w:pPr>
      <w:tabs>
        <w:tab w:val="clear" w:pos="284"/>
        <w:tab w:val="left" w:pos="567"/>
      </w:tabs>
      <w:ind w:left="284"/>
    </w:pPr>
  </w:style>
  <w:style w:type="paragraph" w:customStyle="1" w:styleId="auteurs">
    <w:name w:val="auteurs"/>
    <w:basedOn w:val="Normal"/>
    <w:pPr>
      <w:tabs>
        <w:tab w:val="center" w:pos="1985"/>
        <w:tab w:val="center" w:pos="6521"/>
      </w:tabs>
      <w:jc w:val="left"/>
    </w:pPr>
  </w:style>
  <w:style w:type="paragraph" w:styleId="MacroText">
    <w:name w:val="macro"/>
    <w:semiHidden/>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pPr>
      <w:keepLines/>
      <w:tabs>
        <w:tab w:val="clear" w:pos="284"/>
        <w:tab w:val="right" w:leader="dot" w:pos="8789"/>
      </w:tabs>
      <w:ind w:left="1049" w:right="567" w:hanging="1049"/>
      <w:jc w:val="left"/>
    </w:pPr>
  </w:style>
  <w:style w:type="paragraph" w:styleId="TOC7">
    <w:name w:val="toc 7"/>
    <w:basedOn w:val="Normal"/>
    <w:next w:val="Normal"/>
    <w:semiHidden/>
    <w:pPr>
      <w:keepLines/>
      <w:tabs>
        <w:tab w:val="clear" w:pos="284"/>
        <w:tab w:val="right" w:leader="dot" w:pos="8789"/>
      </w:tabs>
      <w:ind w:left="1219" w:right="567" w:hanging="1219"/>
      <w:jc w:val="left"/>
    </w:pPr>
  </w:style>
  <w:style w:type="paragraph" w:styleId="TOC8">
    <w:name w:val="toc 8"/>
    <w:basedOn w:val="Normal"/>
    <w:next w:val="Normal"/>
    <w:semiHidden/>
    <w:pPr>
      <w:keepLines/>
      <w:tabs>
        <w:tab w:val="clear" w:pos="284"/>
        <w:tab w:val="right" w:leader="dot" w:pos="8789"/>
      </w:tabs>
      <w:ind w:left="1378" w:right="567" w:hanging="1378"/>
      <w:jc w:val="left"/>
    </w:pPr>
  </w:style>
  <w:style w:type="paragraph" w:styleId="TOC9">
    <w:name w:val="toc 9"/>
    <w:basedOn w:val="Normal"/>
    <w:next w:val="Normal"/>
    <w:semiHidden/>
    <w:pPr>
      <w:keepLines/>
      <w:tabs>
        <w:tab w:val="clear" w:pos="284"/>
        <w:tab w:val="right" w:leader="dot" w:pos="8789"/>
      </w:tabs>
      <w:ind w:left="1548" w:right="567" w:hanging="1548"/>
      <w:jc w:val="left"/>
    </w:pPr>
  </w:style>
  <w:style w:type="character" w:styleId="Hyperlink">
    <w:name w:val="Hyperlink"/>
    <w:rsid w:val="00FF4A6D"/>
    <w:rPr>
      <w:color w:val="0000FF"/>
      <w:u w:val="single"/>
    </w:rPr>
  </w:style>
  <w:style w:type="character" w:styleId="FollowedHyperlink">
    <w:name w:val="FollowedHyperlink"/>
    <w:rsid w:val="00FF4A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b.be/doc/dq/onegate/en/login_e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Questionnaire détaillé</vt:lpstr>
    </vt:vector>
  </TitlesOfParts>
  <Company>National Bank of Belgium</Company>
  <LinksUpToDate>false</LinksUpToDate>
  <CharactersWithSpaces>3556</CharactersWithSpaces>
  <SharedDoc>false</SharedDoc>
  <HLinks>
    <vt:vector size="18" baseType="variant">
      <vt:variant>
        <vt:i4>2555974</vt:i4>
      </vt:variant>
      <vt:variant>
        <vt:i4>6</vt:i4>
      </vt:variant>
      <vt:variant>
        <vt:i4>0</vt:i4>
      </vt:variant>
      <vt:variant>
        <vt:i4>5</vt:i4>
      </vt:variant>
      <vt:variant>
        <vt:lpwstr>https://www.nbb.be/doc/dq/onegate/en/login_en.html</vt:lpwstr>
      </vt:variant>
      <vt:variant>
        <vt:lpwstr/>
      </vt:variant>
      <vt:variant>
        <vt:i4>2490421</vt:i4>
      </vt:variant>
      <vt:variant>
        <vt:i4>3</vt:i4>
      </vt:variant>
      <vt:variant>
        <vt:i4>0</vt:i4>
      </vt:variant>
      <vt:variant>
        <vt:i4>5</vt:i4>
      </vt:variant>
      <vt:variant>
        <vt:lpwstr>https://onegate-certificate.nbb.be/</vt:lpwstr>
      </vt:variant>
      <vt:variant>
        <vt:lpwstr/>
      </vt:variant>
      <vt:variant>
        <vt:i4>2031693</vt:i4>
      </vt:variant>
      <vt:variant>
        <vt:i4>0</vt:i4>
      </vt:variant>
      <vt:variant>
        <vt:i4>0</vt:i4>
      </vt:variant>
      <vt:variant>
        <vt:i4>5</vt:i4>
      </vt:variant>
      <vt:variant>
        <vt:lpwstr>https://onegate-standard.nbb.be/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détaillé</dc:title>
  <dc:subject/>
  <dc:creator>thiry</dc:creator>
  <cp:keywords/>
  <cp:lastModifiedBy>Raveel Guy</cp:lastModifiedBy>
  <cp:revision>3</cp:revision>
  <cp:lastPrinted>1998-06-11T11:56:00Z</cp:lastPrinted>
  <dcterms:created xsi:type="dcterms:W3CDTF">2021-11-22T14:49:00Z</dcterms:created>
  <dcterms:modified xsi:type="dcterms:W3CDTF">2021-11-24T13:43:00Z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-349525748</vt:i4>
  </property>
  <property fmtid="{D5CDD505-2E9C-101B-9397-08002B2CF9AE}" pid="3" name="_EmailSubject">
    <vt:lpwstr>enquête structurelle SUC 2010</vt:lpwstr>
  </property>
  <property fmtid="{D5CDD505-2E9C-101B-9397-08002B2CF9AE}" pid="4" name="_AuthorEmail">
    <vt:lpwstr>Guy.Raveel@nbb.be</vt:lpwstr>
  </property>
  <property fmtid="{D5CDD505-2E9C-101B-9397-08002B2CF9AE}" pid="5" name="_AuthorEmailDisplayName">
    <vt:lpwstr>Raveel Guy</vt:lpwstr>
  </property>
  <property fmtid="{D5CDD505-2E9C-101B-9397-08002B2CF9AE}" pid="6" name="_NewReviewCycle">
    <vt:lpwstr/>
  </property>
  <property fmtid="{D5CDD505-2E9C-101B-9397-08002B2CF9AE}" pid="7" name="_PreviousAdHocReviewCycleID">
    <vt:i4>-2126930574</vt:i4>
  </property>
  <property fmtid="{D5CDD505-2E9C-101B-9397-08002B2CF9AE}" pid="8" name="_ReviewingToolsShownOnce">
    <vt:lpwstr/>
  </property>
</Properties>
</file>