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06412" w14:textId="77777777" w:rsidR="00000FCF" w:rsidRPr="00FA24E3" w:rsidRDefault="00000FCF" w:rsidP="00FA24E3">
      <w:pPr>
        <w:pBdr>
          <w:top w:val="single" w:sz="6" w:space="1" w:color="auto"/>
          <w:left w:val="single" w:sz="6" w:space="1" w:color="auto"/>
          <w:bottom w:val="single" w:sz="6" w:space="0" w:color="auto"/>
          <w:right w:val="single" w:sz="6" w:space="1" w:color="auto"/>
        </w:pBdr>
        <w:tabs>
          <w:tab w:val="left" w:pos="8789"/>
        </w:tabs>
        <w:spacing w:line="240" w:lineRule="auto"/>
        <w:jc w:val="center"/>
        <w:rPr>
          <w:rFonts w:ascii="Arial" w:hAnsi="Arial" w:cs="Arial"/>
          <w:b/>
          <w:szCs w:val="22"/>
          <w:lang w:val="nl-NL"/>
        </w:rPr>
      </w:pPr>
      <w:bookmarkStart w:id="0" w:name="_Hlk87964379"/>
      <w:r w:rsidRPr="00FA24E3">
        <w:rPr>
          <w:rFonts w:ascii="Arial" w:hAnsi="Arial" w:cs="Arial"/>
          <w:b/>
          <w:szCs w:val="22"/>
          <w:lang w:val="nl-NL"/>
        </w:rPr>
        <w:t>TOELICHTING</w:t>
      </w:r>
      <w:r w:rsidR="0026371E" w:rsidRPr="00FA24E3">
        <w:rPr>
          <w:rFonts w:ascii="Arial" w:hAnsi="Arial" w:cs="Arial"/>
          <w:b/>
          <w:szCs w:val="22"/>
          <w:lang w:val="nl-NL"/>
        </w:rPr>
        <w:t xml:space="preserve"> BIJKANTOREN</w:t>
      </w:r>
    </w:p>
    <w:p w14:paraId="62DBF475" w14:textId="77777777" w:rsidR="00000FCF" w:rsidRPr="00FA24E3" w:rsidRDefault="00000FCF" w:rsidP="00EF5B53">
      <w:pPr>
        <w:tabs>
          <w:tab w:val="left" w:pos="0"/>
          <w:tab w:val="left" w:pos="8789"/>
        </w:tabs>
        <w:spacing w:line="240" w:lineRule="auto"/>
        <w:rPr>
          <w:rFonts w:ascii="Arial" w:hAnsi="Arial" w:cs="Arial"/>
          <w:szCs w:val="22"/>
          <w:lang w:val="nl-NL"/>
        </w:rPr>
      </w:pPr>
    </w:p>
    <w:p w14:paraId="2B3E1854" w14:textId="77777777" w:rsidR="00000FCF" w:rsidRPr="00FA24E3" w:rsidRDefault="00000FCF" w:rsidP="00EF5B53">
      <w:pPr>
        <w:tabs>
          <w:tab w:val="left" w:pos="0"/>
          <w:tab w:val="left" w:pos="8789"/>
        </w:tabs>
        <w:spacing w:line="240" w:lineRule="auto"/>
        <w:rPr>
          <w:rFonts w:ascii="Arial" w:hAnsi="Arial" w:cs="Arial"/>
          <w:szCs w:val="22"/>
          <w:lang w:val="nl-NL"/>
        </w:rPr>
      </w:pPr>
    </w:p>
    <w:p w14:paraId="0838109B" w14:textId="77777777" w:rsidR="00000FCF" w:rsidRPr="00FA24E3" w:rsidRDefault="00000FCF" w:rsidP="00EF5B53">
      <w:pPr>
        <w:tabs>
          <w:tab w:val="left" w:pos="0"/>
          <w:tab w:val="left" w:pos="8789"/>
        </w:tabs>
        <w:spacing w:line="240" w:lineRule="auto"/>
        <w:rPr>
          <w:rFonts w:ascii="Arial" w:hAnsi="Arial" w:cs="Arial"/>
          <w:szCs w:val="22"/>
          <w:lang w:val="nl-NL"/>
        </w:rPr>
      </w:pPr>
    </w:p>
    <w:p w14:paraId="69E1C5B9" w14:textId="77777777" w:rsidR="00000FCF" w:rsidRPr="00FA24E3" w:rsidRDefault="0026371E" w:rsidP="00EF5B53">
      <w:pPr>
        <w:tabs>
          <w:tab w:val="left" w:pos="0"/>
          <w:tab w:val="left" w:pos="8789"/>
        </w:tabs>
        <w:spacing w:line="240" w:lineRule="auto"/>
        <w:rPr>
          <w:rFonts w:ascii="Arial" w:hAnsi="Arial" w:cs="Arial"/>
          <w:szCs w:val="22"/>
          <w:lang w:val="nl-NL"/>
        </w:rPr>
      </w:pPr>
      <w:r w:rsidRPr="00FA24E3">
        <w:rPr>
          <w:rFonts w:ascii="Arial" w:hAnsi="Arial" w:cs="Arial"/>
          <w:szCs w:val="22"/>
          <w:lang w:val="nl-NL"/>
        </w:rPr>
        <w:t>D</w:t>
      </w:r>
      <w:r w:rsidR="00000FCF" w:rsidRPr="00FA24E3">
        <w:rPr>
          <w:rFonts w:ascii="Arial" w:hAnsi="Arial" w:cs="Arial"/>
          <w:szCs w:val="22"/>
          <w:lang w:val="nl-NL"/>
        </w:rPr>
        <w:t xml:space="preserve">eze enquête </w:t>
      </w:r>
      <w:r w:rsidRPr="00FA24E3">
        <w:rPr>
          <w:rFonts w:ascii="Arial" w:hAnsi="Arial" w:cs="Arial"/>
          <w:szCs w:val="22"/>
          <w:lang w:val="nl-NL"/>
        </w:rPr>
        <w:t xml:space="preserve">is bestemd voor de inzameling van </w:t>
      </w:r>
      <w:r w:rsidR="00000FCF" w:rsidRPr="00FA24E3">
        <w:rPr>
          <w:rFonts w:ascii="Arial" w:hAnsi="Arial" w:cs="Arial"/>
          <w:szCs w:val="22"/>
          <w:lang w:val="nl-NL"/>
        </w:rPr>
        <w:t>statistische gegevens van de verzekerings</w:t>
      </w:r>
      <w:r w:rsidR="00236F9B">
        <w:rPr>
          <w:rFonts w:ascii="Arial" w:hAnsi="Arial" w:cs="Arial"/>
          <w:szCs w:val="22"/>
          <w:lang w:val="nl-NL"/>
        </w:rPr>
        <w:t>maatschappijen</w:t>
      </w:r>
      <w:r w:rsidR="00000FCF" w:rsidRPr="00FA24E3">
        <w:rPr>
          <w:rFonts w:ascii="Arial" w:hAnsi="Arial" w:cs="Arial"/>
          <w:szCs w:val="22"/>
          <w:lang w:val="nl-NL"/>
        </w:rPr>
        <w:t xml:space="preserve"> </w:t>
      </w:r>
      <w:r w:rsidRPr="00FA24E3">
        <w:rPr>
          <w:rFonts w:ascii="Arial" w:hAnsi="Arial" w:cs="Arial"/>
          <w:szCs w:val="22"/>
          <w:lang w:val="nl-NL"/>
        </w:rPr>
        <w:t>die in België actief zij</w:t>
      </w:r>
      <w:r w:rsidR="00D07E21">
        <w:rPr>
          <w:rFonts w:ascii="Arial" w:hAnsi="Arial" w:cs="Arial"/>
          <w:szCs w:val="22"/>
          <w:lang w:val="nl-NL"/>
        </w:rPr>
        <w:t>n.</w:t>
      </w:r>
      <w:r w:rsidR="00000FCF" w:rsidRPr="00FA24E3">
        <w:rPr>
          <w:rFonts w:ascii="Arial" w:hAnsi="Arial" w:cs="Arial"/>
          <w:szCs w:val="22"/>
          <w:lang w:val="nl-NL"/>
        </w:rPr>
        <w:t xml:space="preserve"> Het betreft de in België gevestigde bijkantoren die hun sociale zetel in een lidstaat van de Europese Economische Ruimte hebben. </w:t>
      </w:r>
    </w:p>
    <w:p w14:paraId="156B4BFC" w14:textId="77777777" w:rsidR="00000FCF" w:rsidRPr="00FA24E3" w:rsidRDefault="00000FCF" w:rsidP="00EF5B53">
      <w:pPr>
        <w:tabs>
          <w:tab w:val="left" w:pos="0"/>
          <w:tab w:val="left" w:pos="8789"/>
        </w:tabs>
        <w:spacing w:line="240" w:lineRule="auto"/>
        <w:rPr>
          <w:rFonts w:ascii="Arial" w:hAnsi="Arial" w:cs="Arial"/>
          <w:szCs w:val="22"/>
          <w:lang w:val="nl-NL"/>
        </w:rPr>
      </w:pPr>
    </w:p>
    <w:p w14:paraId="504ECD1A" w14:textId="77777777" w:rsidR="00000FCF" w:rsidRPr="00FA24E3" w:rsidRDefault="00000FCF" w:rsidP="00EF5B53">
      <w:pPr>
        <w:tabs>
          <w:tab w:val="left" w:pos="8789"/>
        </w:tabs>
        <w:spacing w:line="240" w:lineRule="auto"/>
        <w:rPr>
          <w:rFonts w:ascii="Arial" w:hAnsi="Arial" w:cs="Arial"/>
          <w:szCs w:val="22"/>
          <w:lang w:val="nl-NL"/>
        </w:rPr>
      </w:pPr>
      <w:r w:rsidRPr="00FA24E3">
        <w:rPr>
          <w:rFonts w:ascii="Arial" w:hAnsi="Arial" w:cs="Arial"/>
          <w:szCs w:val="22"/>
          <w:lang w:val="nl-NL"/>
        </w:rPr>
        <w:t xml:space="preserve">Behalve sommige inlichtingen m.b.t. de identificatie van de </w:t>
      </w:r>
      <w:r w:rsidR="00236F9B">
        <w:rPr>
          <w:rFonts w:ascii="Arial" w:hAnsi="Arial" w:cs="Arial"/>
          <w:szCs w:val="22"/>
          <w:lang w:val="nl-NL"/>
        </w:rPr>
        <w:t>maatschappijen</w:t>
      </w:r>
      <w:r w:rsidRPr="00FA24E3">
        <w:rPr>
          <w:rFonts w:ascii="Arial" w:hAnsi="Arial" w:cs="Arial"/>
          <w:szCs w:val="22"/>
          <w:lang w:val="nl-NL"/>
        </w:rPr>
        <w:t xml:space="preserve">, is de gevraagde informatie van boekhoudkundige aard. </w:t>
      </w:r>
    </w:p>
    <w:p w14:paraId="7A1F2E04" w14:textId="77777777" w:rsidR="00000FCF" w:rsidRPr="00FA24E3" w:rsidRDefault="00000FCF" w:rsidP="00EF5B53">
      <w:pPr>
        <w:tabs>
          <w:tab w:val="left" w:pos="0"/>
          <w:tab w:val="left" w:pos="8789"/>
        </w:tabs>
        <w:spacing w:line="240" w:lineRule="auto"/>
        <w:rPr>
          <w:rFonts w:ascii="Arial" w:hAnsi="Arial" w:cs="Arial"/>
          <w:szCs w:val="22"/>
          <w:lang w:val="nl-NL"/>
        </w:rPr>
      </w:pPr>
    </w:p>
    <w:p w14:paraId="19354BE9" w14:textId="77777777" w:rsidR="00000FCF" w:rsidRPr="00FA24E3" w:rsidRDefault="00000FCF" w:rsidP="00EF5B53">
      <w:pPr>
        <w:tabs>
          <w:tab w:val="left" w:pos="0"/>
          <w:tab w:val="left" w:pos="8789"/>
        </w:tabs>
        <w:spacing w:line="240" w:lineRule="auto"/>
        <w:rPr>
          <w:rFonts w:ascii="Arial" w:hAnsi="Arial" w:cs="Arial"/>
          <w:szCs w:val="22"/>
          <w:lang w:val="nl-NL"/>
        </w:rPr>
      </w:pPr>
      <w:r w:rsidRPr="00FA24E3">
        <w:rPr>
          <w:rFonts w:ascii="Arial" w:hAnsi="Arial" w:cs="Arial"/>
          <w:szCs w:val="22"/>
          <w:lang w:val="nl-NL"/>
        </w:rPr>
        <w:t xml:space="preserve">De aangifte </w:t>
      </w:r>
      <w:r w:rsidR="005141D5" w:rsidRPr="00FA24E3">
        <w:rPr>
          <w:rFonts w:ascii="Arial" w:hAnsi="Arial" w:cs="Arial"/>
          <w:szCs w:val="22"/>
          <w:lang w:val="nl-NL"/>
        </w:rPr>
        <w:t>moet</w:t>
      </w:r>
      <w:r w:rsidRPr="00FA24E3">
        <w:rPr>
          <w:rFonts w:ascii="Arial" w:hAnsi="Arial" w:cs="Arial"/>
          <w:szCs w:val="22"/>
          <w:lang w:val="nl-NL"/>
        </w:rPr>
        <w:t xml:space="preserve"> elektronisch</w:t>
      </w:r>
      <w:r w:rsidR="005141D5" w:rsidRPr="00FA24E3">
        <w:rPr>
          <w:rFonts w:ascii="Arial" w:hAnsi="Arial" w:cs="Arial"/>
          <w:szCs w:val="22"/>
          <w:lang w:val="nl-NL"/>
        </w:rPr>
        <w:t xml:space="preserve"> worden</w:t>
      </w:r>
      <w:r w:rsidRPr="00FA24E3">
        <w:rPr>
          <w:rFonts w:ascii="Arial" w:hAnsi="Arial" w:cs="Arial"/>
          <w:szCs w:val="22"/>
          <w:lang w:val="nl-NL"/>
        </w:rPr>
        <w:t xml:space="preserve"> </w:t>
      </w:r>
      <w:r w:rsidR="005141D5" w:rsidRPr="00FA24E3">
        <w:rPr>
          <w:rFonts w:ascii="Arial" w:hAnsi="Arial" w:cs="Arial"/>
          <w:szCs w:val="22"/>
          <w:lang w:val="nl-NL"/>
        </w:rPr>
        <w:t xml:space="preserve">ingediend via </w:t>
      </w:r>
      <w:r w:rsidR="003835DC">
        <w:rPr>
          <w:rFonts w:ascii="Arial" w:hAnsi="Arial" w:cs="Arial"/>
          <w:szCs w:val="22"/>
          <w:lang w:val="nl-NL"/>
        </w:rPr>
        <w:t>OneGate, het rapporteringssysteem</w:t>
      </w:r>
      <w:r w:rsidR="005141D5" w:rsidRPr="00FA24E3">
        <w:rPr>
          <w:rFonts w:ascii="Arial" w:hAnsi="Arial" w:cs="Arial"/>
          <w:szCs w:val="22"/>
          <w:lang w:val="nl-NL"/>
        </w:rPr>
        <w:t xml:space="preserve"> van de Nationale Bank va</w:t>
      </w:r>
      <w:r w:rsidR="003835DC">
        <w:rPr>
          <w:rFonts w:ascii="Arial" w:hAnsi="Arial" w:cs="Arial"/>
          <w:szCs w:val="22"/>
          <w:lang w:val="nl-NL"/>
        </w:rPr>
        <w:t>n België (</w:t>
      </w:r>
      <w:hyperlink r:id="rId7" w:history="1">
        <w:r w:rsidR="00C57CB5">
          <w:rPr>
            <w:rStyle w:val="Hyperlink"/>
            <w:rFonts w:ascii="Arial" w:hAnsi="Arial" w:cs="Arial"/>
            <w:szCs w:val="22"/>
            <w:lang w:val="nl-NL"/>
          </w:rPr>
          <w:t>https://onegate-certificate.nbb.be/my.policy</w:t>
        </w:r>
      </w:hyperlink>
      <w:r w:rsidR="003835DC">
        <w:rPr>
          <w:rFonts w:ascii="Arial" w:hAnsi="Arial" w:cs="Arial"/>
          <w:szCs w:val="22"/>
          <w:lang w:val="nl-NL"/>
        </w:rPr>
        <w:t xml:space="preserve"> of </w:t>
      </w:r>
      <w:hyperlink r:id="rId8" w:history="1">
        <w:r w:rsidR="00C57CB5">
          <w:rPr>
            <w:rStyle w:val="Hyperlink"/>
            <w:rFonts w:ascii="Arial" w:hAnsi="Arial" w:cs="Arial"/>
            <w:szCs w:val="22"/>
            <w:lang w:val="nl-NL"/>
          </w:rPr>
          <w:t>https://onegate-standard.nbb.be/my.policy</w:t>
        </w:r>
      </w:hyperlink>
      <w:r w:rsidR="003835DC">
        <w:rPr>
          <w:rFonts w:ascii="Arial" w:hAnsi="Arial" w:cs="Arial"/>
          <w:szCs w:val="22"/>
          <w:lang w:val="nl-NL"/>
        </w:rPr>
        <w:t xml:space="preserve"> </w:t>
      </w:r>
      <w:r w:rsidR="005141D5" w:rsidRPr="00FA24E3">
        <w:rPr>
          <w:rFonts w:ascii="Arial" w:hAnsi="Arial" w:cs="Arial"/>
          <w:szCs w:val="22"/>
          <w:lang w:val="nl-NL"/>
        </w:rPr>
        <w:t>).</w:t>
      </w:r>
      <w:r w:rsidR="00853F5C">
        <w:rPr>
          <w:rFonts w:ascii="Arial" w:hAnsi="Arial" w:cs="Arial"/>
          <w:szCs w:val="22"/>
          <w:lang w:val="nl-NL"/>
        </w:rPr>
        <w:t xml:space="preserve"> (</w:t>
      </w:r>
      <w:hyperlink r:id="rId9" w:history="1">
        <w:r w:rsidR="00853F5C" w:rsidRPr="00853F5C">
          <w:rPr>
            <w:rStyle w:val="Hyperlink"/>
            <w:rFonts w:ascii="Arial" w:hAnsi="Arial" w:cs="Arial"/>
            <w:szCs w:val="22"/>
            <w:lang w:val="nl-NL"/>
          </w:rPr>
          <w:t>One</w:t>
        </w:r>
        <w:r w:rsidR="00853F5C" w:rsidRPr="00853F5C">
          <w:rPr>
            <w:rStyle w:val="Hyperlink"/>
            <w:rFonts w:ascii="Arial" w:hAnsi="Arial" w:cs="Arial"/>
            <w:szCs w:val="22"/>
            <w:lang w:val="nl-NL"/>
          </w:rPr>
          <w:t>G</w:t>
        </w:r>
        <w:r w:rsidR="00853F5C" w:rsidRPr="00853F5C">
          <w:rPr>
            <w:rStyle w:val="Hyperlink"/>
            <w:rFonts w:ascii="Arial" w:hAnsi="Arial" w:cs="Arial"/>
            <w:szCs w:val="22"/>
            <w:lang w:val="nl-NL"/>
          </w:rPr>
          <w:t>ate</w:t>
        </w:r>
      </w:hyperlink>
      <w:r w:rsidR="00853F5C">
        <w:rPr>
          <w:rFonts w:ascii="Arial" w:hAnsi="Arial" w:cs="Arial"/>
          <w:szCs w:val="22"/>
          <w:lang w:val="nl-NL"/>
        </w:rPr>
        <w:t>)</w:t>
      </w:r>
    </w:p>
    <w:p w14:paraId="2CADF83F" w14:textId="77777777" w:rsidR="00000FCF" w:rsidRPr="00FA24E3" w:rsidRDefault="00000FCF" w:rsidP="00EF5B53">
      <w:pPr>
        <w:tabs>
          <w:tab w:val="left" w:pos="0"/>
          <w:tab w:val="left" w:pos="8789"/>
        </w:tabs>
        <w:spacing w:line="240" w:lineRule="auto"/>
        <w:rPr>
          <w:rFonts w:ascii="Arial" w:hAnsi="Arial" w:cs="Arial"/>
          <w:szCs w:val="22"/>
          <w:lang w:val="nl-NL"/>
        </w:rPr>
      </w:pPr>
      <w:r w:rsidRPr="00FA24E3">
        <w:rPr>
          <w:rFonts w:ascii="Arial" w:hAnsi="Arial" w:cs="Arial"/>
          <w:szCs w:val="22"/>
          <w:lang w:val="nl-NL"/>
        </w:rPr>
        <w:t xml:space="preserve"> </w:t>
      </w:r>
    </w:p>
    <w:p w14:paraId="2919511F" w14:textId="77777777" w:rsidR="00000FCF" w:rsidRPr="00FA24E3" w:rsidRDefault="00000FCF" w:rsidP="00EF5B53">
      <w:pPr>
        <w:tabs>
          <w:tab w:val="left" w:pos="0"/>
          <w:tab w:val="left" w:pos="8789"/>
        </w:tabs>
        <w:spacing w:line="240" w:lineRule="auto"/>
        <w:rPr>
          <w:rFonts w:ascii="Arial" w:hAnsi="Arial" w:cs="Arial"/>
          <w:szCs w:val="22"/>
          <w:lang w:val="nl-NL"/>
        </w:rPr>
      </w:pPr>
      <w:r w:rsidRPr="00FA24E3">
        <w:rPr>
          <w:rFonts w:ascii="Arial" w:hAnsi="Arial" w:cs="Arial"/>
          <w:szCs w:val="22"/>
          <w:lang w:val="nl-NL"/>
        </w:rPr>
        <w:t>Tenzij anders vermeld</w:t>
      </w:r>
      <w:r w:rsidR="00575124" w:rsidRPr="00FA24E3">
        <w:rPr>
          <w:rFonts w:ascii="Arial" w:hAnsi="Arial" w:cs="Arial"/>
          <w:szCs w:val="22"/>
          <w:lang w:val="nl-NL"/>
        </w:rPr>
        <w:t>,</w:t>
      </w:r>
      <w:r w:rsidRPr="00FA24E3">
        <w:rPr>
          <w:rFonts w:ascii="Arial" w:hAnsi="Arial" w:cs="Arial"/>
          <w:szCs w:val="22"/>
          <w:lang w:val="nl-NL"/>
        </w:rPr>
        <w:t xml:space="preserve"> moeten de </w:t>
      </w:r>
      <w:r w:rsidR="00575124" w:rsidRPr="00FA24E3">
        <w:rPr>
          <w:rFonts w:ascii="Arial" w:hAnsi="Arial" w:cs="Arial"/>
          <w:szCs w:val="22"/>
          <w:lang w:val="nl-NL"/>
        </w:rPr>
        <w:t xml:space="preserve">bedragen </w:t>
      </w:r>
      <w:r w:rsidRPr="00FA24E3">
        <w:rPr>
          <w:rFonts w:ascii="Arial" w:hAnsi="Arial" w:cs="Arial"/>
          <w:szCs w:val="22"/>
          <w:lang w:val="nl-NL"/>
        </w:rPr>
        <w:t xml:space="preserve">in </w:t>
      </w:r>
      <w:r w:rsidRPr="00853F5C">
        <w:rPr>
          <w:rFonts w:ascii="Arial" w:hAnsi="Arial" w:cs="Arial"/>
          <w:szCs w:val="22"/>
          <w:u w:val="single"/>
          <w:lang w:val="nl-NL"/>
        </w:rPr>
        <w:t>eenheden van euro's</w:t>
      </w:r>
      <w:r w:rsidRPr="00FA24E3">
        <w:rPr>
          <w:rFonts w:ascii="Arial" w:hAnsi="Arial" w:cs="Arial"/>
          <w:szCs w:val="22"/>
          <w:lang w:val="nl-NL"/>
        </w:rPr>
        <w:t xml:space="preserve"> worden</w:t>
      </w:r>
      <w:r w:rsidR="00575124" w:rsidRPr="00FA24E3">
        <w:rPr>
          <w:rFonts w:ascii="Arial" w:hAnsi="Arial" w:cs="Arial"/>
          <w:szCs w:val="22"/>
          <w:lang w:val="nl-NL"/>
        </w:rPr>
        <w:t xml:space="preserve"> ingegeven</w:t>
      </w:r>
      <w:r w:rsidRPr="00FA24E3">
        <w:rPr>
          <w:rFonts w:ascii="Arial" w:hAnsi="Arial" w:cs="Arial"/>
          <w:szCs w:val="22"/>
          <w:lang w:val="nl-NL"/>
        </w:rPr>
        <w:t>.</w:t>
      </w:r>
    </w:p>
    <w:p w14:paraId="4B49C9A2" w14:textId="77777777" w:rsidR="00000FCF" w:rsidRPr="00FA24E3" w:rsidRDefault="00000FCF" w:rsidP="00EF5B53">
      <w:pPr>
        <w:tabs>
          <w:tab w:val="left" w:pos="0"/>
          <w:tab w:val="left" w:pos="8789"/>
        </w:tabs>
        <w:spacing w:line="240" w:lineRule="auto"/>
        <w:rPr>
          <w:rFonts w:ascii="Arial" w:hAnsi="Arial" w:cs="Arial"/>
          <w:szCs w:val="22"/>
          <w:lang w:val="nl-NL"/>
        </w:rPr>
      </w:pPr>
    </w:p>
    <w:p w14:paraId="68C92E9B" w14:textId="77777777" w:rsidR="00000FCF" w:rsidRPr="00FA24E3" w:rsidRDefault="00000FCF" w:rsidP="00EF5B53">
      <w:pPr>
        <w:tabs>
          <w:tab w:val="left" w:pos="0"/>
          <w:tab w:val="left" w:pos="8789"/>
        </w:tabs>
        <w:spacing w:line="240" w:lineRule="auto"/>
        <w:rPr>
          <w:rFonts w:ascii="Arial" w:hAnsi="Arial" w:cs="Arial"/>
          <w:szCs w:val="22"/>
          <w:lang w:val="nl-NL"/>
        </w:rPr>
      </w:pPr>
      <w:r w:rsidRPr="00FA24E3">
        <w:rPr>
          <w:rFonts w:ascii="Arial" w:hAnsi="Arial" w:cs="Arial"/>
          <w:szCs w:val="22"/>
          <w:lang w:val="nl-NL"/>
        </w:rPr>
        <w:t xml:space="preserve">Deze aangifte </w:t>
      </w:r>
      <w:r w:rsidR="002866E4">
        <w:rPr>
          <w:rFonts w:ascii="Arial" w:hAnsi="Arial" w:cs="Arial"/>
          <w:szCs w:val="22"/>
          <w:lang w:val="nl-NL"/>
        </w:rPr>
        <w:t>heeft betrekking op het laatst afgesloten boekjaar</w:t>
      </w:r>
      <w:r w:rsidRPr="00FA24E3">
        <w:rPr>
          <w:rFonts w:ascii="Arial" w:hAnsi="Arial" w:cs="Arial"/>
          <w:szCs w:val="22"/>
          <w:lang w:val="nl-NL"/>
        </w:rPr>
        <w:t>.</w:t>
      </w:r>
    </w:p>
    <w:p w14:paraId="090DD996" w14:textId="77777777" w:rsidR="00000FCF" w:rsidRPr="00FA24E3" w:rsidRDefault="00000FCF" w:rsidP="00EF5B53">
      <w:pPr>
        <w:tabs>
          <w:tab w:val="left" w:pos="0"/>
          <w:tab w:val="left" w:pos="8789"/>
        </w:tabs>
        <w:spacing w:line="240" w:lineRule="auto"/>
        <w:rPr>
          <w:rFonts w:ascii="Arial" w:hAnsi="Arial" w:cs="Arial"/>
          <w:szCs w:val="22"/>
          <w:lang w:val="nl-NL"/>
        </w:rPr>
      </w:pPr>
    </w:p>
    <w:p w14:paraId="73610AD5" w14:textId="77777777" w:rsidR="00000FCF" w:rsidRPr="00FA24E3" w:rsidRDefault="00000FCF" w:rsidP="00EF5B53">
      <w:pPr>
        <w:tabs>
          <w:tab w:val="left" w:pos="0"/>
          <w:tab w:val="left" w:pos="8789"/>
        </w:tabs>
        <w:spacing w:line="240" w:lineRule="auto"/>
        <w:rPr>
          <w:rFonts w:ascii="Arial" w:hAnsi="Arial" w:cs="Arial"/>
          <w:szCs w:val="22"/>
          <w:lang w:val="nl-NL"/>
        </w:rPr>
      </w:pPr>
      <w:r w:rsidRPr="00FA24E3">
        <w:rPr>
          <w:rFonts w:ascii="Arial" w:hAnsi="Arial" w:cs="Arial"/>
          <w:szCs w:val="22"/>
          <w:lang w:val="nl-NL"/>
        </w:rPr>
        <w:t>De aangifte heeft enkel betrekking op de activiteiten van de vestigingen in België en niet op de activiteiten van de moedermaatschappij of van de vestigingen in het buitenland.</w:t>
      </w:r>
    </w:p>
    <w:p w14:paraId="6CE9882F" w14:textId="77777777" w:rsidR="00000FCF" w:rsidRPr="00FA24E3" w:rsidRDefault="00000FCF" w:rsidP="00EF5B53">
      <w:pPr>
        <w:tabs>
          <w:tab w:val="left" w:pos="0"/>
          <w:tab w:val="left" w:pos="8789"/>
        </w:tabs>
        <w:spacing w:line="240" w:lineRule="auto"/>
        <w:rPr>
          <w:rFonts w:ascii="Arial" w:hAnsi="Arial" w:cs="Arial"/>
          <w:szCs w:val="22"/>
          <w:lang w:val="nl-NL"/>
        </w:rPr>
      </w:pPr>
    </w:p>
    <w:p w14:paraId="561A6830" w14:textId="77777777" w:rsidR="00000FCF" w:rsidRPr="00FA24E3" w:rsidRDefault="00000FCF" w:rsidP="00EF5B53">
      <w:pPr>
        <w:tabs>
          <w:tab w:val="left" w:pos="0"/>
          <w:tab w:val="left" w:pos="8789"/>
        </w:tabs>
        <w:spacing w:line="240" w:lineRule="auto"/>
        <w:rPr>
          <w:rFonts w:ascii="Arial" w:hAnsi="Arial" w:cs="Arial"/>
          <w:szCs w:val="22"/>
          <w:lang w:val="nl-NL"/>
        </w:rPr>
      </w:pPr>
    </w:p>
    <w:p w14:paraId="4E1BCFAE" w14:textId="77777777" w:rsidR="00000FCF" w:rsidRPr="00FA24E3" w:rsidRDefault="00AA3419" w:rsidP="00EF5B53">
      <w:pPr>
        <w:tabs>
          <w:tab w:val="left" w:pos="0"/>
          <w:tab w:val="left" w:pos="8789"/>
        </w:tabs>
        <w:spacing w:line="240" w:lineRule="auto"/>
        <w:rPr>
          <w:rFonts w:ascii="Arial" w:hAnsi="Arial" w:cs="Arial"/>
          <w:szCs w:val="22"/>
          <w:u w:val="single"/>
          <w:lang w:val="nl-NL"/>
        </w:rPr>
      </w:pPr>
      <w:r w:rsidRPr="00FA24E3">
        <w:rPr>
          <w:rFonts w:ascii="Arial" w:hAnsi="Arial" w:cs="Arial"/>
          <w:szCs w:val="22"/>
          <w:u w:val="single"/>
          <w:lang w:val="nl-NL"/>
        </w:rPr>
        <w:t>ALGEMENE GEGEVENS</w:t>
      </w:r>
    </w:p>
    <w:p w14:paraId="1BFB22AD" w14:textId="77777777" w:rsidR="00000FCF" w:rsidRPr="00FA24E3" w:rsidRDefault="00000FCF" w:rsidP="00EF5B53">
      <w:pPr>
        <w:tabs>
          <w:tab w:val="left" w:pos="0"/>
          <w:tab w:val="left" w:pos="8789"/>
        </w:tabs>
        <w:spacing w:line="240" w:lineRule="auto"/>
        <w:rPr>
          <w:rFonts w:ascii="Arial" w:hAnsi="Arial" w:cs="Arial"/>
          <w:szCs w:val="22"/>
          <w:lang w:val="nl-NL"/>
        </w:rPr>
      </w:pPr>
    </w:p>
    <w:p w14:paraId="0C6DFFDF" w14:textId="77777777" w:rsidR="00000FCF" w:rsidRPr="00FA24E3" w:rsidRDefault="00575124" w:rsidP="00EF5B53">
      <w:pPr>
        <w:tabs>
          <w:tab w:val="left" w:pos="0"/>
          <w:tab w:val="left" w:pos="8789"/>
        </w:tabs>
        <w:spacing w:line="240" w:lineRule="auto"/>
        <w:rPr>
          <w:rFonts w:ascii="Arial" w:hAnsi="Arial" w:cs="Arial"/>
          <w:szCs w:val="22"/>
          <w:lang w:val="nl-NL"/>
        </w:rPr>
      </w:pPr>
      <w:r w:rsidRPr="00FA24E3">
        <w:rPr>
          <w:rFonts w:ascii="Arial" w:hAnsi="Arial" w:cs="Arial"/>
          <w:szCs w:val="22"/>
          <w:lang w:val="nl-NL"/>
        </w:rPr>
        <w:t>Verplicht in te vullen.</w:t>
      </w:r>
    </w:p>
    <w:p w14:paraId="72FDCA40" w14:textId="77777777" w:rsidR="00000FCF" w:rsidRPr="00FA24E3" w:rsidRDefault="00000FCF" w:rsidP="00EF5B53">
      <w:pPr>
        <w:tabs>
          <w:tab w:val="left" w:pos="0"/>
          <w:tab w:val="left" w:pos="8789"/>
        </w:tabs>
        <w:spacing w:line="240" w:lineRule="auto"/>
        <w:rPr>
          <w:rFonts w:ascii="Arial" w:hAnsi="Arial" w:cs="Arial"/>
          <w:szCs w:val="22"/>
          <w:lang w:val="nl-NL"/>
        </w:rPr>
      </w:pPr>
    </w:p>
    <w:p w14:paraId="0D44FAF4" w14:textId="77777777" w:rsidR="00000FCF" w:rsidRPr="00FA24E3" w:rsidRDefault="00000FCF" w:rsidP="00EF5B53">
      <w:pPr>
        <w:tabs>
          <w:tab w:val="left" w:pos="0"/>
          <w:tab w:val="left" w:pos="8789"/>
        </w:tabs>
        <w:spacing w:line="240" w:lineRule="auto"/>
        <w:rPr>
          <w:rFonts w:ascii="Arial" w:hAnsi="Arial" w:cs="Arial"/>
          <w:szCs w:val="22"/>
          <w:lang w:val="nl-NL"/>
        </w:rPr>
      </w:pPr>
    </w:p>
    <w:p w14:paraId="2A5C264D" w14:textId="77777777" w:rsidR="00000FCF" w:rsidRPr="00FA24E3" w:rsidRDefault="00575124" w:rsidP="00EF5B53">
      <w:pPr>
        <w:tabs>
          <w:tab w:val="left" w:pos="0"/>
          <w:tab w:val="left" w:pos="8789"/>
        </w:tabs>
        <w:spacing w:line="240" w:lineRule="auto"/>
        <w:rPr>
          <w:rFonts w:ascii="Arial" w:hAnsi="Arial" w:cs="Arial"/>
          <w:szCs w:val="22"/>
          <w:u w:val="single"/>
          <w:lang w:val="nl-NL"/>
        </w:rPr>
      </w:pPr>
      <w:r w:rsidRPr="00FA24E3">
        <w:rPr>
          <w:rFonts w:ascii="Arial" w:hAnsi="Arial" w:cs="Arial"/>
          <w:szCs w:val="22"/>
          <w:u w:val="single"/>
          <w:lang w:val="nl-NL"/>
        </w:rPr>
        <w:t>GEDEELTE M.B.T. DE STRUCTU</w:t>
      </w:r>
      <w:r w:rsidR="00AA3419" w:rsidRPr="00FA24E3">
        <w:rPr>
          <w:rFonts w:ascii="Arial" w:hAnsi="Arial" w:cs="Arial"/>
          <w:szCs w:val="22"/>
          <w:u w:val="single"/>
          <w:lang w:val="nl-NL"/>
        </w:rPr>
        <w:t>U</w:t>
      </w:r>
      <w:r w:rsidRPr="00FA24E3">
        <w:rPr>
          <w:rFonts w:ascii="Arial" w:hAnsi="Arial" w:cs="Arial"/>
          <w:szCs w:val="22"/>
          <w:u w:val="single"/>
          <w:lang w:val="nl-NL"/>
        </w:rPr>
        <w:t>RENQUÊTE BIJ DE VERZEKERINGS</w:t>
      </w:r>
      <w:r w:rsidR="00236F9B">
        <w:rPr>
          <w:rFonts w:ascii="Arial" w:hAnsi="Arial" w:cs="Arial"/>
          <w:szCs w:val="22"/>
          <w:u w:val="single"/>
          <w:lang w:val="nl-NL"/>
        </w:rPr>
        <w:softHyphen/>
        <w:t>MAATSCHAPPIJEN</w:t>
      </w:r>
      <w:r w:rsidRPr="00FA24E3">
        <w:rPr>
          <w:rFonts w:ascii="Arial" w:hAnsi="Arial" w:cs="Arial"/>
          <w:szCs w:val="22"/>
          <w:u w:val="single"/>
          <w:lang w:val="nl-NL"/>
        </w:rPr>
        <w:t xml:space="preserve"> (BIJKANTOREN)</w:t>
      </w:r>
    </w:p>
    <w:p w14:paraId="2C3632A3" w14:textId="77777777" w:rsidR="00000FCF" w:rsidRPr="00FA24E3" w:rsidRDefault="00000FCF" w:rsidP="00EF5B53">
      <w:pPr>
        <w:tabs>
          <w:tab w:val="left" w:pos="0"/>
          <w:tab w:val="left" w:pos="8789"/>
        </w:tabs>
        <w:spacing w:line="240" w:lineRule="auto"/>
        <w:rPr>
          <w:rFonts w:ascii="Arial" w:hAnsi="Arial" w:cs="Arial"/>
          <w:szCs w:val="22"/>
          <w:lang w:val="nl-NL"/>
        </w:rPr>
      </w:pPr>
    </w:p>
    <w:p w14:paraId="364168D0" w14:textId="77777777" w:rsidR="00000FCF" w:rsidRPr="00FA24E3" w:rsidRDefault="00000FCF" w:rsidP="00EF5B53">
      <w:pPr>
        <w:tabs>
          <w:tab w:val="left" w:pos="0"/>
          <w:tab w:val="left" w:pos="8789"/>
        </w:tabs>
        <w:spacing w:line="240" w:lineRule="auto"/>
        <w:rPr>
          <w:rFonts w:ascii="Arial" w:hAnsi="Arial" w:cs="Arial"/>
          <w:szCs w:val="22"/>
          <w:lang w:val="nl-NL"/>
        </w:rPr>
      </w:pPr>
      <w:r w:rsidRPr="00FA24E3">
        <w:rPr>
          <w:rFonts w:ascii="Arial" w:hAnsi="Arial" w:cs="Arial"/>
          <w:szCs w:val="22"/>
          <w:lang w:val="nl-NL"/>
        </w:rPr>
        <w:t>Er wordt gevraagd een deel van het boekhoudkundige schema, gedefinieerd door het Koninklijk Be</w:t>
      </w:r>
      <w:r w:rsidR="00EF5998">
        <w:rPr>
          <w:rFonts w:ascii="Arial" w:hAnsi="Arial" w:cs="Arial"/>
          <w:szCs w:val="22"/>
          <w:lang w:val="nl-NL"/>
        </w:rPr>
        <w:t>sluit van 17 november 1994, in</w:t>
      </w:r>
      <w:r w:rsidRPr="00FA24E3">
        <w:rPr>
          <w:rFonts w:ascii="Arial" w:hAnsi="Arial" w:cs="Arial"/>
          <w:szCs w:val="22"/>
          <w:lang w:val="nl-NL"/>
        </w:rPr>
        <w:t xml:space="preserve"> te brengen. De vragenlijst betreft:</w:t>
      </w:r>
    </w:p>
    <w:p w14:paraId="065EC5FD" w14:textId="77777777" w:rsidR="00000FCF" w:rsidRPr="00FA24E3" w:rsidRDefault="00000FCF" w:rsidP="00EF5B53">
      <w:pPr>
        <w:tabs>
          <w:tab w:val="left" w:pos="0"/>
          <w:tab w:val="left" w:pos="8789"/>
        </w:tabs>
        <w:spacing w:line="240" w:lineRule="auto"/>
        <w:rPr>
          <w:rFonts w:ascii="Arial" w:hAnsi="Arial" w:cs="Arial"/>
          <w:szCs w:val="22"/>
          <w:lang w:val="nl-NL"/>
        </w:rPr>
      </w:pPr>
    </w:p>
    <w:p w14:paraId="7CDE26E4" w14:textId="77777777" w:rsidR="00000FCF" w:rsidRPr="00FA24E3" w:rsidRDefault="00EF5B53" w:rsidP="00EF5B53">
      <w:pPr>
        <w:numPr>
          <w:ilvl w:val="0"/>
          <w:numId w:val="12"/>
        </w:numPr>
        <w:tabs>
          <w:tab w:val="left" w:pos="567"/>
          <w:tab w:val="left" w:pos="8789"/>
        </w:tabs>
        <w:spacing w:line="240" w:lineRule="auto"/>
        <w:rPr>
          <w:rFonts w:ascii="Arial" w:hAnsi="Arial" w:cs="Arial"/>
          <w:szCs w:val="22"/>
          <w:lang w:val="nl-NL"/>
        </w:rPr>
      </w:pPr>
      <w:r w:rsidRPr="00FA24E3">
        <w:rPr>
          <w:rFonts w:ascii="Arial" w:hAnsi="Arial" w:cs="Arial"/>
          <w:szCs w:val="22"/>
          <w:lang w:val="nl-NL"/>
        </w:rPr>
        <w:t xml:space="preserve">een deel van </w:t>
      </w:r>
      <w:r w:rsidR="00000FCF" w:rsidRPr="00FA24E3">
        <w:rPr>
          <w:rFonts w:ascii="Arial" w:hAnsi="Arial" w:cs="Arial"/>
          <w:szCs w:val="22"/>
          <w:lang w:val="nl-NL"/>
        </w:rPr>
        <w:t>de balans;</w:t>
      </w:r>
    </w:p>
    <w:p w14:paraId="7186EA91" w14:textId="77777777" w:rsidR="00000FCF" w:rsidRPr="00FA24E3" w:rsidRDefault="00000FCF" w:rsidP="00EF5B53">
      <w:pPr>
        <w:numPr>
          <w:ilvl w:val="0"/>
          <w:numId w:val="12"/>
        </w:numPr>
        <w:tabs>
          <w:tab w:val="left" w:pos="8789"/>
        </w:tabs>
        <w:spacing w:line="240" w:lineRule="auto"/>
        <w:rPr>
          <w:rFonts w:ascii="Arial" w:hAnsi="Arial" w:cs="Arial"/>
          <w:szCs w:val="22"/>
          <w:lang w:val="nl-NL"/>
        </w:rPr>
      </w:pPr>
      <w:r w:rsidRPr="00FA24E3">
        <w:rPr>
          <w:rFonts w:ascii="Arial" w:hAnsi="Arial" w:cs="Arial"/>
          <w:szCs w:val="22"/>
          <w:lang w:val="nl-NL"/>
        </w:rPr>
        <w:t>de technische rekening niet-levensverzekering;</w:t>
      </w:r>
    </w:p>
    <w:p w14:paraId="5FE1B2B0" w14:textId="77777777" w:rsidR="00000FCF" w:rsidRPr="00FA24E3" w:rsidRDefault="00000FCF" w:rsidP="00EF5B53">
      <w:pPr>
        <w:numPr>
          <w:ilvl w:val="0"/>
          <w:numId w:val="12"/>
        </w:numPr>
        <w:tabs>
          <w:tab w:val="left" w:pos="8789"/>
        </w:tabs>
        <w:spacing w:line="240" w:lineRule="auto"/>
        <w:rPr>
          <w:rFonts w:ascii="Arial" w:hAnsi="Arial" w:cs="Arial"/>
          <w:szCs w:val="22"/>
          <w:lang w:val="nl-NL"/>
        </w:rPr>
      </w:pPr>
      <w:r w:rsidRPr="00FA24E3">
        <w:rPr>
          <w:rFonts w:ascii="Arial" w:hAnsi="Arial" w:cs="Arial"/>
          <w:szCs w:val="22"/>
          <w:lang w:val="nl-NL"/>
        </w:rPr>
        <w:t>de technische rekening levensverzekering;</w:t>
      </w:r>
    </w:p>
    <w:p w14:paraId="7090E712" w14:textId="77777777" w:rsidR="00000FCF" w:rsidRDefault="00000FCF" w:rsidP="00EF5B53">
      <w:pPr>
        <w:numPr>
          <w:ilvl w:val="0"/>
          <w:numId w:val="12"/>
        </w:numPr>
        <w:tabs>
          <w:tab w:val="left" w:pos="8789"/>
        </w:tabs>
        <w:spacing w:line="240" w:lineRule="auto"/>
        <w:rPr>
          <w:rFonts w:ascii="Arial" w:hAnsi="Arial" w:cs="Arial"/>
          <w:szCs w:val="22"/>
          <w:lang w:val="nl-NL"/>
        </w:rPr>
      </w:pPr>
      <w:r w:rsidRPr="00FA24E3">
        <w:rPr>
          <w:rFonts w:ascii="Arial" w:hAnsi="Arial" w:cs="Arial"/>
          <w:szCs w:val="22"/>
          <w:lang w:val="nl-NL"/>
        </w:rPr>
        <w:t>de niet-technische rekening;</w:t>
      </w:r>
    </w:p>
    <w:p w14:paraId="01FD9547" w14:textId="77777777" w:rsidR="00D07E21" w:rsidRPr="00FA24E3" w:rsidRDefault="00D07E21" w:rsidP="00EF5B53">
      <w:pPr>
        <w:numPr>
          <w:ilvl w:val="0"/>
          <w:numId w:val="12"/>
        </w:numPr>
        <w:tabs>
          <w:tab w:val="left" w:pos="8789"/>
        </w:tabs>
        <w:spacing w:line="240" w:lineRule="auto"/>
        <w:rPr>
          <w:rFonts w:ascii="Arial" w:hAnsi="Arial" w:cs="Arial"/>
          <w:szCs w:val="22"/>
          <w:lang w:val="nl-NL"/>
        </w:rPr>
      </w:pPr>
      <w:r>
        <w:rPr>
          <w:rFonts w:ascii="Arial" w:hAnsi="Arial" w:cs="Arial"/>
          <w:szCs w:val="22"/>
          <w:lang w:val="nl-NL"/>
        </w:rPr>
        <w:t>toewijzingen en voorafnemingen</w:t>
      </w:r>
    </w:p>
    <w:p w14:paraId="78548275" w14:textId="77777777" w:rsidR="00000FCF" w:rsidRPr="00FA24E3" w:rsidRDefault="00000FCF" w:rsidP="00EF5B53">
      <w:pPr>
        <w:numPr>
          <w:ilvl w:val="0"/>
          <w:numId w:val="12"/>
        </w:numPr>
        <w:tabs>
          <w:tab w:val="left" w:pos="8789"/>
        </w:tabs>
        <w:spacing w:line="240" w:lineRule="auto"/>
        <w:rPr>
          <w:rFonts w:ascii="Arial" w:hAnsi="Arial" w:cs="Arial"/>
          <w:szCs w:val="22"/>
          <w:lang w:val="nl-NL"/>
        </w:rPr>
      </w:pPr>
      <w:r w:rsidRPr="00FA24E3">
        <w:rPr>
          <w:rFonts w:ascii="Arial" w:hAnsi="Arial" w:cs="Arial"/>
          <w:szCs w:val="22"/>
          <w:lang w:val="nl-NL"/>
        </w:rPr>
        <w:t xml:space="preserve">de </w:t>
      </w:r>
      <w:r w:rsidR="00EF5B53" w:rsidRPr="00FA24E3">
        <w:rPr>
          <w:rFonts w:ascii="Arial" w:hAnsi="Arial" w:cs="Arial"/>
          <w:szCs w:val="22"/>
          <w:lang w:val="nl-NL"/>
        </w:rPr>
        <w:t>bijlage</w:t>
      </w:r>
      <w:r w:rsidRPr="00FA24E3">
        <w:rPr>
          <w:rFonts w:ascii="Arial" w:hAnsi="Arial" w:cs="Arial"/>
          <w:szCs w:val="22"/>
          <w:lang w:val="nl-NL"/>
        </w:rPr>
        <w:t xml:space="preserve"> 10 "Inlichting</w:t>
      </w:r>
      <w:r w:rsidR="00EF5B53" w:rsidRPr="00FA24E3">
        <w:rPr>
          <w:rFonts w:ascii="Arial" w:hAnsi="Arial" w:cs="Arial"/>
          <w:szCs w:val="22"/>
          <w:lang w:val="nl-NL"/>
        </w:rPr>
        <w:t>en</w:t>
      </w:r>
      <w:r w:rsidRPr="00FA24E3">
        <w:rPr>
          <w:rFonts w:ascii="Arial" w:hAnsi="Arial" w:cs="Arial"/>
          <w:szCs w:val="22"/>
          <w:lang w:val="nl-NL"/>
        </w:rPr>
        <w:t xml:space="preserve"> betreffende de technische rekeningen", partim;</w:t>
      </w:r>
    </w:p>
    <w:p w14:paraId="5D1DAF27" w14:textId="77777777" w:rsidR="00000FCF" w:rsidRPr="00FA24E3" w:rsidRDefault="00000FCF" w:rsidP="00EF5B53">
      <w:pPr>
        <w:numPr>
          <w:ilvl w:val="0"/>
          <w:numId w:val="12"/>
        </w:numPr>
        <w:tabs>
          <w:tab w:val="left" w:pos="8789"/>
        </w:tabs>
        <w:spacing w:line="240" w:lineRule="auto"/>
        <w:rPr>
          <w:rFonts w:ascii="Arial" w:hAnsi="Arial" w:cs="Arial"/>
          <w:szCs w:val="22"/>
          <w:lang w:val="nl-NL"/>
        </w:rPr>
      </w:pPr>
      <w:r w:rsidRPr="00FA24E3">
        <w:rPr>
          <w:rFonts w:ascii="Arial" w:hAnsi="Arial" w:cs="Arial"/>
          <w:szCs w:val="22"/>
          <w:lang w:val="nl-NL"/>
        </w:rPr>
        <w:t xml:space="preserve">de </w:t>
      </w:r>
      <w:r w:rsidR="00EF5B53" w:rsidRPr="00FA24E3">
        <w:rPr>
          <w:rFonts w:ascii="Arial" w:hAnsi="Arial" w:cs="Arial"/>
          <w:szCs w:val="22"/>
          <w:lang w:val="nl-NL"/>
        </w:rPr>
        <w:t>bijlage</w:t>
      </w:r>
      <w:r w:rsidRPr="00FA24E3">
        <w:rPr>
          <w:rFonts w:ascii="Arial" w:hAnsi="Arial" w:cs="Arial"/>
          <w:szCs w:val="22"/>
          <w:lang w:val="nl-NL"/>
        </w:rPr>
        <w:t xml:space="preserve"> 11 "Staat betreffende de personeelsleden in dienst"</w:t>
      </w:r>
      <w:r w:rsidR="00C273F1">
        <w:rPr>
          <w:rFonts w:ascii="Arial" w:hAnsi="Arial" w:cs="Arial"/>
          <w:szCs w:val="22"/>
          <w:lang w:val="nl-NL"/>
        </w:rPr>
        <w:t>;</w:t>
      </w:r>
    </w:p>
    <w:p w14:paraId="56D54442" w14:textId="77777777" w:rsidR="00000FCF" w:rsidRPr="00FA24E3" w:rsidRDefault="00000FCF" w:rsidP="00EF5B53">
      <w:pPr>
        <w:numPr>
          <w:ilvl w:val="0"/>
          <w:numId w:val="12"/>
        </w:numPr>
        <w:tabs>
          <w:tab w:val="left" w:pos="8789"/>
        </w:tabs>
        <w:spacing w:line="240" w:lineRule="auto"/>
        <w:rPr>
          <w:rFonts w:ascii="Arial" w:hAnsi="Arial" w:cs="Arial"/>
          <w:szCs w:val="22"/>
          <w:lang w:val="nl-NL"/>
        </w:rPr>
      </w:pPr>
      <w:r w:rsidRPr="00FA24E3">
        <w:rPr>
          <w:rFonts w:ascii="Arial" w:hAnsi="Arial" w:cs="Arial"/>
          <w:szCs w:val="22"/>
          <w:lang w:val="nl-NL"/>
        </w:rPr>
        <w:t xml:space="preserve">de </w:t>
      </w:r>
      <w:r w:rsidR="00EF5B53" w:rsidRPr="00FA24E3">
        <w:rPr>
          <w:rFonts w:ascii="Arial" w:hAnsi="Arial" w:cs="Arial"/>
          <w:szCs w:val="22"/>
          <w:lang w:val="nl-NL"/>
        </w:rPr>
        <w:t>bijlage</w:t>
      </w:r>
      <w:r w:rsidRPr="00FA24E3">
        <w:rPr>
          <w:rFonts w:ascii="Arial" w:hAnsi="Arial" w:cs="Arial"/>
          <w:szCs w:val="22"/>
          <w:lang w:val="nl-NL"/>
        </w:rPr>
        <w:t xml:space="preserve"> 12 "Staat betreffende het geheel van de administratie- en beheerskosten, uitgesplitst volgens aard";</w:t>
      </w:r>
    </w:p>
    <w:p w14:paraId="4EA870B1" w14:textId="77777777" w:rsidR="00000FCF" w:rsidRPr="00FA24E3" w:rsidRDefault="00000FCF" w:rsidP="00EF5B53">
      <w:pPr>
        <w:numPr>
          <w:ilvl w:val="0"/>
          <w:numId w:val="12"/>
        </w:numPr>
        <w:tabs>
          <w:tab w:val="left" w:pos="8789"/>
        </w:tabs>
        <w:spacing w:line="240" w:lineRule="auto"/>
        <w:rPr>
          <w:rFonts w:ascii="Arial" w:hAnsi="Arial" w:cs="Arial"/>
          <w:szCs w:val="22"/>
          <w:lang w:val="nl-NL"/>
        </w:rPr>
      </w:pPr>
      <w:r w:rsidRPr="00FA24E3">
        <w:rPr>
          <w:rFonts w:ascii="Arial" w:hAnsi="Arial" w:cs="Arial"/>
          <w:szCs w:val="22"/>
          <w:lang w:val="nl-NL"/>
        </w:rPr>
        <w:t xml:space="preserve">een </w:t>
      </w:r>
      <w:r w:rsidR="00EF5B53" w:rsidRPr="00FA24E3">
        <w:rPr>
          <w:rFonts w:ascii="Arial" w:hAnsi="Arial" w:cs="Arial"/>
          <w:szCs w:val="22"/>
          <w:lang w:val="nl-NL"/>
        </w:rPr>
        <w:t>bijlage</w:t>
      </w:r>
      <w:r w:rsidRPr="00FA24E3">
        <w:rPr>
          <w:rFonts w:ascii="Arial" w:hAnsi="Arial" w:cs="Arial"/>
          <w:szCs w:val="22"/>
          <w:lang w:val="nl-NL"/>
        </w:rPr>
        <w:t xml:space="preserve"> </w:t>
      </w:r>
      <w:r w:rsidR="00EF5B53" w:rsidRPr="00FA24E3">
        <w:rPr>
          <w:rFonts w:ascii="Arial" w:hAnsi="Arial" w:cs="Arial"/>
          <w:szCs w:val="22"/>
          <w:lang w:val="nl-NL"/>
        </w:rPr>
        <w:t xml:space="preserve">m.b.t. </w:t>
      </w:r>
      <w:r w:rsidRPr="00FA24E3">
        <w:rPr>
          <w:rFonts w:ascii="Arial" w:hAnsi="Arial" w:cs="Arial"/>
          <w:szCs w:val="22"/>
          <w:lang w:val="nl-NL"/>
        </w:rPr>
        <w:t>de investeringen en desinvesteringen van uw vestiging.</w:t>
      </w:r>
    </w:p>
    <w:p w14:paraId="2EF8128A" w14:textId="77777777" w:rsidR="00000FCF" w:rsidRPr="00FA24E3" w:rsidRDefault="00000FCF" w:rsidP="00EF5B53">
      <w:pPr>
        <w:spacing w:line="240" w:lineRule="auto"/>
        <w:rPr>
          <w:rFonts w:ascii="Arial" w:hAnsi="Arial" w:cs="Arial"/>
          <w:szCs w:val="22"/>
          <w:lang w:val="nl-NL"/>
        </w:rPr>
      </w:pPr>
    </w:p>
    <w:p w14:paraId="7DEC029C" w14:textId="77777777" w:rsidR="00000FCF" w:rsidRPr="00FA24E3" w:rsidRDefault="00000FCF" w:rsidP="00EF5B53">
      <w:pPr>
        <w:spacing w:line="240" w:lineRule="auto"/>
        <w:rPr>
          <w:rFonts w:ascii="Arial" w:hAnsi="Arial" w:cs="Arial"/>
          <w:szCs w:val="22"/>
          <w:lang w:val="nl-NL"/>
        </w:rPr>
      </w:pPr>
      <w:r w:rsidRPr="00FA24E3">
        <w:rPr>
          <w:rFonts w:ascii="Arial" w:hAnsi="Arial" w:cs="Arial"/>
          <w:szCs w:val="22"/>
          <w:lang w:val="nl-NL"/>
        </w:rPr>
        <w:t>INVESTERINGEN EN DESINVESTERINGEN</w:t>
      </w:r>
    </w:p>
    <w:p w14:paraId="622D09A4" w14:textId="77777777" w:rsidR="00000FCF" w:rsidRPr="00FA24E3" w:rsidRDefault="00000FCF" w:rsidP="00EF5B53">
      <w:pPr>
        <w:spacing w:line="240" w:lineRule="auto"/>
        <w:rPr>
          <w:rFonts w:ascii="Arial" w:hAnsi="Arial" w:cs="Arial"/>
          <w:szCs w:val="22"/>
          <w:lang w:val="nl-NL"/>
        </w:rPr>
      </w:pPr>
    </w:p>
    <w:p w14:paraId="74D7B2DD" w14:textId="77777777" w:rsidR="00000FCF" w:rsidRPr="00FA24E3" w:rsidRDefault="00EF5B53" w:rsidP="00EF5B53">
      <w:pPr>
        <w:spacing w:line="240" w:lineRule="auto"/>
        <w:rPr>
          <w:rFonts w:ascii="Arial" w:hAnsi="Arial" w:cs="Arial"/>
          <w:szCs w:val="22"/>
          <w:lang w:val="nl-NL"/>
        </w:rPr>
      </w:pPr>
      <w:r w:rsidRPr="00FA24E3">
        <w:rPr>
          <w:rFonts w:ascii="Arial" w:hAnsi="Arial" w:cs="Arial"/>
          <w:szCs w:val="22"/>
          <w:lang w:val="nl-NL"/>
        </w:rPr>
        <w:t>Bewegingen</w:t>
      </w:r>
      <w:r w:rsidR="00000FCF" w:rsidRPr="00FA24E3">
        <w:rPr>
          <w:rFonts w:ascii="Arial" w:hAnsi="Arial" w:cs="Arial"/>
          <w:szCs w:val="22"/>
          <w:lang w:val="nl-NL"/>
        </w:rPr>
        <w:t xml:space="preserve"> in de kapitaalvoorraad van materiële en immateriële vaste activa moeten worden opgesplitst enerzijds volgens het soort van activa en anderzijds volgens het soort van </w:t>
      </w:r>
      <w:r w:rsidR="00DC0D87" w:rsidRPr="00FA24E3">
        <w:rPr>
          <w:rFonts w:ascii="Arial" w:hAnsi="Arial" w:cs="Arial"/>
          <w:szCs w:val="22"/>
          <w:lang w:val="nl-NL"/>
        </w:rPr>
        <w:t>verrichting</w:t>
      </w:r>
      <w:r w:rsidR="00000FCF" w:rsidRPr="00FA24E3">
        <w:rPr>
          <w:rFonts w:ascii="Arial" w:hAnsi="Arial" w:cs="Arial"/>
          <w:szCs w:val="22"/>
          <w:lang w:val="nl-NL"/>
        </w:rPr>
        <w:t xml:space="preserve"> (gewone aanschaffingen, aanschaffingen in leasing, verkopen).</w:t>
      </w:r>
    </w:p>
    <w:p w14:paraId="11F5C3C5" w14:textId="77777777" w:rsidR="00000FCF" w:rsidRPr="00FA24E3" w:rsidRDefault="00000FCF" w:rsidP="00EF5B53">
      <w:pPr>
        <w:spacing w:line="240" w:lineRule="auto"/>
        <w:rPr>
          <w:rFonts w:ascii="Arial" w:hAnsi="Arial" w:cs="Arial"/>
          <w:szCs w:val="22"/>
          <w:lang w:val="nl-NL"/>
        </w:rPr>
      </w:pPr>
    </w:p>
    <w:p w14:paraId="1C641D3B" w14:textId="77777777" w:rsidR="00000FCF" w:rsidRPr="00FA24E3" w:rsidRDefault="00000FCF" w:rsidP="00EF5B53">
      <w:pPr>
        <w:spacing w:line="240" w:lineRule="auto"/>
        <w:rPr>
          <w:rFonts w:ascii="Arial" w:hAnsi="Arial" w:cs="Arial"/>
          <w:szCs w:val="22"/>
          <w:lang w:val="nl-NL"/>
        </w:rPr>
      </w:pPr>
      <w:r w:rsidRPr="00FA24E3">
        <w:rPr>
          <w:rFonts w:ascii="Arial" w:hAnsi="Arial" w:cs="Arial"/>
          <w:szCs w:val="22"/>
          <w:lang w:val="nl-NL"/>
        </w:rPr>
        <w:t>De aanschaffingen van computersoftware die zouden worden geboekt als materiële of immateriële vaste activa moeten worden vermeld in de rubriek “Computersoftware”.</w:t>
      </w:r>
    </w:p>
    <w:p w14:paraId="47C230E8" w14:textId="77777777" w:rsidR="00000FCF" w:rsidRPr="00FA24E3" w:rsidRDefault="00000FCF" w:rsidP="00EF5B53">
      <w:pPr>
        <w:spacing w:line="240" w:lineRule="auto"/>
        <w:rPr>
          <w:rFonts w:ascii="Arial" w:hAnsi="Arial" w:cs="Arial"/>
          <w:szCs w:val="22"/>
          <w:lang w:val="nl-NL"/>
        </w:rPr>
      </w:pPr>
    </w:p>
    <w:p w14:paraId="7FDB1144" w14:textId="77777777" w:rsidR="00000FCF" w:rsidRPr="00FA24E3" w:rsidRDefault="00000FCF" w:rsidP="00EF5B53">
      <w:pPr>
        <w:spacing w:line="240" w:lineRule="auto"/>
        <w:rPr>
          <w:rFonts w:ascii="Arial" w:hAnsi="Arial" w:cs="Arial"/>
          <w:szCs w:val="22"/>
          <w:lang w:val="nl-NL"/>
        </w:rPr>
      </w:pPr>
      <w:r w:rsidRPr="00FA24E3">
        <w:rPr>
          <w:rFonts w:ascii="Arial" w:hAnsi="Arial" w:cs="Arial"/>
          <w:szCs w:val="22"/>
          <w:lang w:val="nl-NL"/>
        </w:rPr>
        <w:t>De rubrieken “Gebouwen” bevatten de beleggingsgebouwen en de investeringen bestemd voor de werking van het bedrijf.</w:t>
      </w:r>
    </w:p>
    <w:p w14:paraId="12324781" w14:textId="77777777" w:rsidR="00000FCF" w:rsidRPr="00FA24E3" w:rsidRDefault="00000FCF" w:rsidP="00EF5B53">
      <w:pPr>
        <w:spacing w:line="240" w:lineRule="auto"/>
        <w:rPr>
          <w:rFonts w:ascii="Arial" w:hAnsi="Arial" w:cs="Arial"/>
          <w:szCs w:val="22"/>
          <w:lang w:val="nl-NL"/>
        </w:rPr>
      </w:pPr>
    </w:p>
    <w:p w14:paraId="2DEDE59F" w14:textId="77777777" w:rsidR="00000FCF" w:rsidRPr="00FA24E3" w:rsidRDefault="00000FCF" w:rsidP="00DC0D87">
      <w:pPr>
        <w:spacing w:line="240" w:lineRule="auto"/>
        <w:rPr>
          <w:rFonts w:ascii="Arial" w:hAnsi="Arial" w:cs="Arial"/>
          <w:szCs w:val="22"/>
          <w:lang w:val="nl-NL"/>
        </w:rPr>
      </w:pPr>
      <w:r w:rsidRPr="00FA24E3">
        <w:rPr>
          <w:rFonts w:ascii="Arial" w:hAnsi="Arial" w:cs="Arial"/>
          <w:b/>
          <w:szCs w:val="22"/>
          <w:lang w:val="nl-NL"/>
        </w:rPr>
        <w:t xml:space="preserve">Aanschaffingen exclusief </w:t>
      </w:r>
      <w:r w:rsidR="00FA24E3" w:rsidRPr="00FA24E3">
        <w:rPr>
          <w:rFonts w:ascii="Arial" w:hAnsi="Arial" w:cs="Arial"/>
          <w:b/>
          <w:szCs w:val="22"/>
          <w:lang w:val="nl-NL"/>
        </w:rPr>
        <w:t>leasing:</w:t>
      </w:r>
      <w:r w:rsidRPr="00FA24E3">
        <w:rPr>
          <w:rFonts w:ascii="Arial" w:hAnsi="Arial" w:cs="Arial"/>
          <w:szCs w:val="22"/>
          <w:lang w:val="nl-NL"/>
        </w:rPr>
        <w:t xml:space="preserve"> </w:t>
      </w:r>
      <w:r w:rsidR="00DC0D87" w:rsidRPr="00FA24E3">
        <w:rPr>
          <w:rFonts w:ascii="Arial" w:hAnsi="Arial" w:cs="Arial"/>
          <w:szCs w:val="22"/>
          <w:lang w:val="nl-NL"/>
        </w:rPr>
        <w:t xml:space="preserve">deze rubriek </w:t>
      </w:r>
      <w:r w:rsidRPr="00FA24E3">
        <w:rPr>
          <w:rFonts w:ascii="Arial" w:hAnsi="Arial" w:cs="Arial"/>
          <w:szCs w:val="22"/>
          <w:lang w:val="nl-NL"/>
        </w:rPr>
        <w:t>omvat de zelfgeproduceerde en de “aangekochte en effectief geleverde” vaste activa. Deze rubriek is exclusief de voo</w:t>
      </w:r>
      <w:r w:rsidR="00DC0D87" w:rsidRPr="00FA24E3">
        <w:rPr>
          <w:rFonts w:ascii="Arial" w:hAnsi="Arial" w:cs="Arial"/>
          <w:szCs w:val="22"/>
          <w:lang w:val="nl-NL"/>
        </w:rPr>
        <w:t>ruitbetalingen op nog niet-</w:t>
      </w:r>
      <w:r w:rsidRPr="00FA24E3">
        <w:rPr>
          <w:rFonts w:ascii="Arial" w:hAnsi="Arial" w:cs="Arial"/>
          <w:szCs w:val="22"/>
          <w:lang w:val="nl-NL"/>
        </w:rPr>
        <w:t xml:space="preserve">geleverde aanschaffingen, behalve in het geval van in aanbouw zijnde onroerende goederen, en exclusief de overnames van vaste activa </w:t>
      </w:r>
      <w:r w:rsidR="00DC0D87" w:rsidRPr="00FA24E3">
        <w:rPr>
          <w:rFonts w:ascii="Arial" w:hAnsi="Arial" w:cs="Arial"/>
          <w:szCs w:val="22"/>
          <w:lang w:val="nl-NL"/>
        </w:rPr>
        <w:t>voortspruitend uit herstructure</w:t>
      </w:r>
      <w:r w:rsidRPr="00FA24E3">
        <w:rPr>
          <w:rFonts w:ascii="Arial" w:hAnsi="Arial" w:cs="Arial"/>
          <w:szCs w:val="22"/>
          <w:lang w:val="nl-NL"/>
        </w:rPr>
        <w:t>ringsoperaties (opslorping, splitsing, inbreng van een bedrijfstak, ...).</w:t>
      </w:r>
    </w:p>
    <w:p w14:paraId="1A8EE2B9" w14:textId="77777777" w:rsidR="00000FCF" w:rsidRPr="00FA24E3" w:rsidRDefault="00000FCF" w:rsidP="00EF5B53">
      <w:pPr>
        <w:spacing w:line="240" w:lineRule="auto"/>
        <w:ind w:left="284" w:hanging="284"/>
        <w:rPr>
          <w:rFonts w:ascii="Arial" w:hAnsi="Arial" w:cs="Arial"/>
          <w:szCs w:val="22"/>
          <w:lang w:val="nl-NL"/>
        </w:rPr>
      </w:pPr>
    </w:p>
    <w:p w14:paraId="769CA480" w14:textId="77777777" w:rsidR="00000FCF" w:rsidRPr="00FA24E3" w:rsidRDefault="00000FCF" w:rsidP="00DC0D87">
      <w:pPr>
        <w:spacing w:line="240" w:lineRule="auto"/>
        <w:rPr>
          <w:rFonts w:ascii="Arial" w:hAnsi="Arial" w:cs="Arial"/>
          <w:szCs w:val="22"/>
          <w:lang w:val="nl-NL"/>
        </w:rPr>
      </w:pPr>
      <w:r w:rsidRPr="00FA24E3">
        <w:rPr>
          <w:rFonts w:ascii="Arial" w:hAnsi="Arial" w:cs="Arial"/>
          <w:b/>
          <w:szCs w:val="22"/>
          <w:lang w:val="nl-NL"/>
        </w:rPr>
        <w:t xml:space="preserve">Aanschaffingen in </w:t>
      </w:r>
      <w:r w:rsidR="00FA24E3" w:rsidRPr="00FA24E3">
        <w:rPr>
          <w:rFonts w:ascii="Arial" w:hAnsi="Arial" w:cs="Arial"/>
          <w:b/>
          <w:szCs w:val="22"/>
          <w:lang w:val="nl-NL"/>
        </w:rPr>
        <w:t>leasing:</w:t>
      </w:r>
      <w:r w:rsidR="00DC0D87" w:rsidRPr="00FA24E3">
        <w:rPr>
          <w:rFonts w:ascii="Arial" w:hAnsi="Arial" w:cs="Arial"/>
          <w:szCs w:val="22"/>
          <w:lang w:val="nl-NL"/>
        </w:rPr>
        <w:t xml:space="preserve"> deze rubriek omvat </w:t>
      </w:r>
      <w:r w:rsidRPr="00FA24E3">
        <w:rPr>
          <w:rFonts w:ascii="Arial" w:hAnsi="Arial" w:cs="Arial"/>
          <w:szCs w:val="22"/>
          <w:lang w:val="nl-NL"/>
        </w:rPr>
        <w:t xml:space="preserve">de aanschaffingen van vaste activa in </w:t>
      </w:r>
      <w:r w:rsidR="00DC0D87" w:rsidRPr="00FA24E3">
        <w:rPr>
          <w:rFonts w:ascii="Arial" w:hAnsi="Arial" w:cs="Arial"/>
          <w:szCs w:val="22"/>
          <w:lang w:val="nl-NL"/>
        </w:rPr>
        <w:t xml:space="preserve">leasing. </w:t>
      </w:r>
      <w:r w:rsidRPr="00FA24E3">
        <w:rPr>
          <w:rFonts w:ascii="Arial" w:hAnsi="Arial" w:cs="Arial"/>
          <w:szCs w:val="22"/>
          <w:lang w:val="nl-NL"/>
        </w:rPr>
        <w:t>Deze aanschaffingen moeten worden uitgesplitst naar aard van activa.</w:t>
      </w:r>
    </w:p>
    <w:p w14:paraId="725FC5C6" w14:textId="77777777" w:rsidR="00000FCF" w:rsidRPr="00FA24E3" w:rsidRDefault="00000FCF" w:rsidP="00EF5B53">
      <w:pPr>
        <w:spacing w:line="240" w:lineRule="auto"/>
        <w:ind w:left="284" w:hanging="284"/>
        <w:rPr>
          <w:rFonts w:ascii="Arial" w:hAnsi="Arial" w:cs="Arial"/>
          <w:szCs w:val="22"/>
          <w:lang w:val="nl-NL"/>
        </w:rPr>
      </w:pPr>
    </w:p>
    <w:p w14:paraId="5F331FC2" w14:textId="77777777" w:rsidR="00000FCF" w:rsidRPr="00FA24E3" w:rsidRDefault="00FA24E3" w:rsidP="00DC0D87">
      <w:pPr>
        <w:spacing w:line="240" w:lineRule="auto"/>
        <w:rPr>
          <w:rFonts w:ascii="Arial" w:hAnsi="Arial" w:cs="Arial"/>
          <w:szCs w:val="22"/>
          <w:lang w:val="nl-NL"/>
        </w:rPr>
      </w:pPr>
      <w:r w:rsidRPr="00FA24E3">
        <w:rPr>
          <w:rFonts w:ascii="Arial" w:hAnsi="Arial" w:cs="Arial"/>
          <w:b/>
          <w:szCs w:val="22"/>
          <w:lang w:val="nl-NL"/>
        </w:rPr>
        <w:t>Verkopen:</w:t>
      </w:r>
      <w:r w:rsidR="00DC0D87" w:rsidRPr="00FA24E3">
        <w:rPr>
          <w:rFonts w:ascii="Arial" w:hAnsi="Arial" w:cs="Arial"/>
          <w:szCs w:val="22"/>
          <w:lang w:val="nl-NL"/>
        </w:rPr>
        <w:t xml:space="preserve"> deze rubriek omvat </w:t>
      </w:r>
      <w:r w:rsidR="00000FCF" w:rsidRPr="00FA24E3">
        <w:rPr>
          <w:rFonts w:ascii="Arial" w:hAnsi="Arial" w:cs="Arial"/>
          <w:szCs w:val="22"/>
          <w:lang w:val="nl-NL"/>
        </w:rPr>
        <w:t xml:space="preserve">enkel </w:t>
      </w:r>
      <w:r>
        <w:rPr>
          <w:rFonts w:ascii="Arial" w:hAnsi="Arial" w:cs="Arial"/>
          <w:szCs w:val="22"/>
          <w:lang w:val="nl-NL"/>
        </w:rPr>
        <w:t>de</w:t>
      </w:r>
      <w:r w:rsidR="00000FCF" w:rsidRPr="00FA24E3">
        <w:rPr>
          <w:rFonts w:ascii="Arial" w:hAnsi="Arial" w:cs="Arial"/>
          <w:szCs w:val="22"/>
          <w:lang w:val="nl-NL"/>
        </w:rPr>
        <w:t xml:space="preserve"> “effectieve verkopen”. De rubriek omvat dus noch de ontvangen voorschotten op verkopen, noch de overdrachten uit hoofde van herstructureringsoperaties, noch de </w:t>
      </w:r>
      <w:r w:rsidR="00DC0D87" w:rsidRPr="00FA24E3">
        <w:rPr>
          <w:rFonts w:ascii="Arial" w:hAnsi="Arial" w:cs="Arial"/>
          <w:szCs w:val="22"/>
          <w:lang w:val="nl-NL"/>
        </w:rPr>
        <w:t xml:space="preserve">buitengebruikstellingen. </w:t>
      </w:r>
      <w:r w:rsidR="00000FCF" w:rsidRPr="00FA24E3">
        <w:rPr>
          <w:rFonts w:ascii="Arial" w:hAnsi="Arial" w:cs="Arial"/>
          <w:szCs w:val="22"/>
          <w:lang w:val="nl-NL"/>
        </w:rPr>
        <w:t xml:space="preserve">De in te vullen bedragen stemmen overeen met de marktprijs van de </w:t>
      </w:r>
      <w:r>
        <w:rPr>
          <w:rFonts w:ascii="Arial" w:hAnsi="Arial" w:cs="Arial"/>
          <w:szCs w:val="22"/>
          <w:lang w:val="nl-NL"/>
        </w:rPr>
        <w:t>betrokken</w:t>
      </w:r>
      <w:r w:rsidR="00000FCF" w:rsidRPr="00FA24E3">
        <w:rPr>
          <w:rFonts w:ascii="Arial" w:hAnsi="Arial" w:cs="Arial"/>
          <w:szCs w:val="22"/>
          <w:lang w:val="nl-NL"/>
        </w:rPr>
        <w:t xml:space="preserve"> verkopen (boekwaarde</w:t>
      </w:r>
      <w:r w:rsidR="00DC0D87" w:rsidRPr="00FA24E3">
        <w:rPr>
          <w:rFonts w:ascii="Arial" w:hAnsi="Arial" w:cs="Arial"/>
          <w:szCs w:val="22"/>
          <w:lang w:val="nl-NL"/>
        </w:rPr>
        <w:t xml:space="preserve"> + </w:t>
      </w:r>
      <w:r w:rsidR="00000FCF" w:rsidRPr="00FA24E3">
        <w:rPr>
          <w:rFonts w:ascii="Arial" w:hAnsi="Arial" w:cs="Arial"/>
          <w:szCs w:val="22"/>
          <w:lang w:val="nl-NL"/>
        </w:rPr>
        <w:t>gerealiseerde meerwaarde</w:t>
      </w:r>
      <w:r w:rsidR="00DC0D87" w:rsidRPr="00FA24E3">
        <w:rPr>
          <w:rFonts w:ascii="Arial" w:hAnsi="Arial" w:cs="Arial"/>
          <w:szCs w:val="22"/>
          <w:lang w:val="nl-NL"/>
        </w:rPr>
        <w:t xml:space="preserve"> </w:t>
      </w:r>
      <w:r w:rsidR="00000FCF" w:rsidRPr="00FA24E3">
        <w:rPr>
          <w:rFonts w:ascii="Arial" w:hAnsi="Arial" w:cs="Arial"/>
          <w:szCs w:val="22"/>
          <w:lang w:val="nl-NL"/>
        </w:rPr>
        <w:noBreakHyphen/>
      </w:r>
      <w:r w:rsidR="00DC0D87" w:rsidRPr="00FA24E3">
        <w:rPr>
          <w:rFonts w:ascii="Arial" w:hAnsi="Arial" w:cs="Arial"/>
          <w:szCs w:val="22"/>
          <w:lang w:val="nl-NL"/>
        </w:rPr>
        <w:t xml:space="preserve"> </w:t>
      </w:r>
      <w:r w:rsidR="00000FCF" w:rsidRPr="00FA24E3">
        <w:rPr>
          <w:rFonts w:ascii="Arial" w:hAnsi="Arial" w:cs="Arial"/>
          <w:szCs w:val="22"/>
          <w:lang w:val="nl-NL"/>
        </w:rPr>
        <w:t>gerealiseerde minwaarde).</w:t>
      </w:r>
    </w:p>
    <w:p w14:paraId="475645CB" w14:textId="77777777" w:rsidR="00000FCF" w:rsidRPr="00FA24E3" w:rsidRDefault="00000FCF" w:rsidP="00EF5B53">
      <w:pPr>
        <w:spacing w:line="240" w:lineRule="auto"/>
        <w:ind w:left="284" w:hanging="284"/>
        <w:rPr>
          <w:rFonts w:ascii="Arial" w:hAnsi="Arial" w:cs="Arial"/>
          <w:szCs w:val="22"/>
          <w:lang w:val="nl-NL"/>
        </w:rPr>
      </w:pPr>
    </w:p>
    <w:p w14:paraId="53C0614D" w14:textId="77777777" w:rsidR="00000FCF" w:rsidRPr="00FA24E3" w:rsidRDefault="00000FCF" w:rsidP="00EF5B53">
      <w:pPr>
        <w:spacing w:line="240" w:lineRule="auto"/>
        <w:rPr>
          <w:rFonts w:ascii="Arial" w:hAnsi="Arial" w:cs="Arial"/>
          <w:szCs w:val="22"/>
          <w:lang w:val="nl-NL"/>
        </w:rPr>
      </w:pPr>
      <w:r w:rsidRPr="00FA24E3">
        <w:rPr>
          <w:rFonts w:ascii="Arial" w:hAnsi="Arial" w:cs="Arial"/>
          <w:szCs w:val="22"/>
          <w:lang w:val="nl-NL"/>
        </w:rPr>
        <w:t xml:space="preserve">De materiële vaste activa bevatten de terreinen, de gebouwen (bestaande of nieuwe </w:t>
      </w:r>
      <w:r w:rsidRPr="00FA24E3">
        <w:rPr>
          <w:rFonts w:ascii="Arial" w:hAnsi="Arial" w:cs="Arial"/>
          <w:szCs w:val="22"/>
          <w:lang w:val="nl-NL"/>
        </w:rPr>
        <w:noBreakHyphen/>
        <w:t xml:space="preserve"> inclusief verbouwingswerken), de waardevoorwerpen en de </w:t>
      </w:r>
      <w:r w:rsidR="002A7C4E" w:rsidRPr="00FA24E3">
        <w:rPr>
          <w:rFonts w:ascii="Arial" w:hAnsi="Arial" w:cs="Arial"/>
          <w:szCs w:val="22"/>
          <w:lang w:val="nl-NL"/>
        </w:rPr>
        <w:t>overige materiële vaste activa.</w:t>
      </w:r>
      <w:r w:rsidRPr="00FA24E3">
        <w:rPr>
          <w:rFonts w:ascii="Arial" w:hAnsi="Arial" w:cs="Arial"/>
          <w:szCs w:val="22"/>
          <w:lang w:val="nl-NL"/>
        </w:rPr>
        <w:t xml:space="preserve"> De bebouwde terreinen worden, afhankelijk van de relatieve waarde van het gebouw, beschouwd als gebouwen of als terreinen. Als niet kan worden uitgemaakt of het gebouw of het terrein het belangrijkst is, gaat men ervan uit dat het om een gebouw gaat.</w:t>
      </w:r>
      <w:bookmarkEnd w:id="0"/>
    </w:p>
    <w:sectPr w:rsidR="00000FCF" w:rsidRPr="00FA24E3" w:rsidSect="00FA24E3">
      <w:headerReference w:type="even" r:id="rId10"/>
      <w:headerReference w:type="default" r:id="rId11"/>
      <w:footerReference w:type="default" r:id="rId12"/>
      <w:headerReference w:type="first" r:id="rId13"/>
      <w:pgSz w:w="11907" w:h="16840" w:code="9"/>
      <w:pgMar w:top="1134" w:right="1559" w:bottom="1134" w:left="1559"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5A5A6" w14:textId="77777777" w:rsidR="00B529DA" w:rsidRDefault="00B529DA">
      <w:r>
        <w:separator/>
      </w:r>
    </w:p>
  </w:endnote>
  <w:endnote w:type="continuationSeparator" w:id="0">
    <w:p w14:paraId="2EBDFD7F" w14:textId="77777777" w:rsidR="00B529DA" w:rsidRDefault="00B5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F59" w14:textId="77777777" w:rsidR="00AA3419" w:rsidRDefault="00AA3419">
    <w:pPr>
      <w:pStyle w:val="Footer"/>
      <w:jc w:val="righ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197AC" w14:textId="77777777" w:rsidR="00B529DA" w:rsidRDefault="00B529DA">
      <w:r>
        <w:separator/>
      </w:r>
    </w:p>
  </w:footnote>
  <w:footnote w:type="continuationSeparator" w:id="0">
    <w:p w14:paraId="79D6E986" w14:textId="77777777" w:rsidR="00B529DA" w:rsidRDefault="00B52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C92A3" w14:textId="77777777" w:rsidR="00AA3419" w:rsidRDefault="00AA3419">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4C5B6" w14:textId="77777777" w:rsidR="00FA24E3" w:rsidRDefault="00FA24E3" w:rsidP="00FA24E3">
    <w:pPr>
      <w:pStyle w:val="Header"/>
      <w:jc w:val="right"/>
    </w:pPr>
    <w:r>
      <w:rPr>
        <w:rStyle w:val="PageNumber"/>
      </w:rPr>
      <w:fldChar w:fldCharType="begin"/>
    </w:r>
    <w:r>
      <w:rPr>
        <w:rStyle w:val="PageNumber"/>
      </w:rPr>
      <w:instrText xml:space="preserve"> PAGE </w:instrText>
    </w:r>
    <w:r>
      <w:rPr>
        <w:rStyle w:val="PageNumber"/>
      </w:rPr>
      <w:fldChar w:fldCharType="separate"/>
    </w:r>
    <w:r w:rsidR="00964B7B">
      <w:rPr>
        <w:rStyle w:val="PageNumber"/>
        <w:noProof/>
      </w:rPr>
      <w:t>2</w:t>
    </w:r>
    <w:r>
      <w:rPr>
        <w:rStyle w:val="PageNumber"/>
      </w:rPr>
      <w:fldChar w:fldCharType="end"/>
    </w:r>
    <w:r>
      <w:rPr>
        <w:rStyle w:val="PageNumber"/>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26BC3" w14:textId="77777777" w:rsidR="00AA3419" w:rsidRDefault="00AA3419">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FB6DF0"/>
    <w:multiLevelType w:val="hybridMultilevel"/>
    <w:tmpl w:val="96720B4A"/>
    <w:lvl w:ilvl="0" w:tplc="0F408904">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82D5D01"/>
    <w:multiLevelType w:val="hybridMultilevel"/>
    <w:tmpl w:val="8F368986"/>
    <w:lvl w:ilvl="0" w:tplc="04130003">
      <w:start w:val="1"/>
      <w:numFmt w:val="bullet"/>
      <w:lvlText w:val="o"/>
      <w:lvlJc w:val="left"/>
      <w:pPr>
        <w:tabs>
          <w:tab w:val="num" w:pos="1287"/>
        </w:tabs>
        <w:ind w:left="1287" w:hanging="360"/>
      </w:pPr>
      <w:rPr>
        <w:rFonts w:ascii="Courier New" w:hAnsi="Courier New" w:cs="Courier New" w:hint="default"/>
      </w:rPr>
    </w:lvl>
    <w:lvl w:ilvl="1" w:tplc="04130003" w:tentative="1">
      <w:start w:val="1"/>
      <w:numFmt w:val="bullet"/>
      <w:lvlText w:val="o"/>
      <w:lvlJc w:val="left"/>
      <w:pPr>
        <w:tabs>
          <w:tab w:val="num" w:pos="2007"/>
        </w:tabs>
        <w:ind w:left="2007" w:hanging="360"/>
      </w:pPr>
      <w:rPr>
        <w:rFonts w:ascii="Courier New" w:hAnsi="Courier New" w:cs="Courier New" w:hint="default"/>
      </w:rPr>
    </w:lvl>
    <w:lvl w:ilvl="2" w:tplc="04130005" w:tentative="1">
      <w:start w:val="1"/>
      <w:numFmt w:val="bullet"/>
      <w:lvlText w:val=""/>
      <w:lvlJc w:val="left"/>
      <w:pPr>
        <w:tabs>
          <w:tab w:val="num" w:pos="2727"/>
        </w:tabs>
        <w:ind w:left="2727" w:hanging="360"/>
      </w:pPr>
      <w:rPr>
        <w:rFonts w:ascii="Wingdings" w:hAnsi="Wingdings" w:hint="default"/>
      </w:rPr>
    </w:lvl>
    <w:lvl w:ilvl="3" w:tplc="04130001" w:tentative="1">
      <w:start w:val="1"/>
      <w:numFmt w:val="bullet"/>
      <w:lvlText w:val=""/>
      <w:lvlJc w:val="left"/>
      <w:pPr>
        <w:tabs>
          <w:tab w:val="num" w:pos="3447"/>
        </w:tabs>
        <w:ind w:left="3447" w:hanging="360"/>
      </w:pPr>
      <w:rPr>
        <w:rFonts w:ascii="Symbol" w:hAnsi="Symbol" w:hint="default"/>
      </w:rPr>
    </w:lvl>
    <w:lvl w:ilvl="4" w:tplc="04130003" w:tentative="1">
      <w:start w:val="1"/>
      <w:numFmt w:val="bullet"/>
      <w:lvlText w:val="o"/>
      <w:lvlJc w:val="left"/>
      <w:pPr>
        <w:tabs>
          <w:tab w:val="num" w:pos="4167"/>
        </w:tabs>
        <w:ind w:left="4167" w:hanging="360"/>
      </w:pPr>
      <w:rPr>
        <w:rFonts w:ascii="Courier New" w:hAnsi="Courier New" w:cs="Courier New" w:hint="default"/>
      </w:rPr>
    </w:lvl>
    <w:lvl w:ilvl="5" w:tplc="04130005" w:tentative="1">
      <w:start w:val="1"/>
      <w:numFmt w:val="bullet"/>
      <w:lvlText w:val=""/>
      <w:lvlJc w:val="left"/>
      <w:pPr>
        <w:tabs>
          <w:tab w:val="num" w:pos="4887"/>
        </w:tabs>
        <w:ind w:left="4887" w:hanging="360"/>
      </w:pPr>
      <w:rPr>
        <w:rFonts w:ascii="Wingdings" w:hAnsi="Wingdings" w:hint="default"/>
      </w:rPr>
    </w:lvl>
    <w:lvl w:ilvl="6" w:tplc="04130001" w:tentative="1">
      <w:start w:val="1"/>
      <w:numFmt w:val="bullet"/>
      <w:lvlText w:val=""/>
      <w:lvlJc w:val="left"/>
      <w:pPr>
        <w:tabs>
          <w:tab w:val="num" w:pos="5607"/>
        </w:tabs>
        <w:ind w:left="5607" w:hanging="360"/>
      </w:pPr>
      <w:rPr>
        <w:rFonts w:ascii="Symbol" w:hAnsi="Symbol" w:hint="default"/>
      </w:rPr>
    </w:lvl>
    <w:lvl w:ilvl="7" w:tplc="04130003" w:tentative="1">
      <w:start w:val="1"/>
      <w:numFmt w:val="bullet"/>
      <w:lvlText w:val="o"/>
      <w:lvlJc w:val="left"/>
      <w:pPr>
        <w:tabs>
          <w:tab w:val="num" w:pos="6327"/>
        </w:tabs>
        <w:ind w:left="6327" w:hanging="360"/>
      </w:pPr>
      <w:rPr>
        <w:rFonts w:ascii="Courier New" w:hAnsi="Courier New" w:cs="Courier New" w:hint="default"/>
      </w:rPr>
    </w:lvl>
    <w:lvl w:ilvl="8" w:tplc="0413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GB" w:vendorID="8" w:dllVersion="513" w:checkStyle="1"/>
  <w:activeWritingStyle w:appName="MSWord" w:lang="nl-NL"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5656"/>
    <w:rsid w:val="00000FCF"/>
    <w:rsid w:val="00084F36"/>
    <w:rsid w:val="000C4E59"/>
    <w:rsid w:val="00144E04"/>
    <w:rsid w:val="00236F9B"/>
    <w:rsid w:val="0024403C"/>
    <w:rsid w:val="0026371E"/>
    <w:rsid w:val="002866E4"/>
    <w:rsid w:val="002A7C4E"/>
    <w:rsid w:val="002D28E3"/>
    <w:rsid w:val="003835DC"/>
    <w:rsid w:val="003D5D56"/>
    <w:rsid w:val="003E16C9"/>
    <w:rsid w:val="0042096E"/>
    <w:rsid w:val="004D1922"/>
    <w:rsid w:val="005141D5"/>
    <w:rsid w:val="00570219"/>
    <w:rsid w:val="00575124"/>
    <w:rsid w:val="006D637C"/>
    <w:rsid w:val="00705656"/>
    <w:rsid w:val="00780818"/>
    <w:rsid w:val="00792C1E"/>
    <w:rsid w:val="007B6CFD"/>
    <w:rsid w:val="007F5582"/>
    <w:rsid w:val="00803BFF"/>
    <w:rsid w:val="00840CF5"/>
    <w:rsid w:val="00853F5C"/>
    <w:rsid w:val="008D0C6B"/>
    <w:rsid w:val="00931C02"/>
    <w:rsid w:val="00935496"/>
    <w:rsid w:val="00937EB0"/>
    <w:rsid w:val="00964B7B"/>
    <w:rsid w:val="009B3D0E"/>
    <w:rsid w:val="009B591E"/>
    <w:rsid w:val="009D6E07"/>
    <w:rsid w:val="009F15B1"/>
    <w:rsid w:val="00AA3419"/>
    <w:rsid w:val="00B24598"/>
    <w:rsid w:val="00B529DA"/>
    <w:rsid w:val="00B55D0F"/>
    <w:rsid w:val="00C273F1"/>
    <w:rsid w:val="00C35CF2"/>
    <w:rsid w:val="00C57CB5"/>
    <w:rsid w:val="00CA4F3A"/>
    <w:rsid w:val="00D07E21"/>
    <w:rsid w:val="00DC0D87"/>
    <w:rsid w:val="00E35083"/>
    <w:rsid w:val="00EB012D"/>
    <w:rsid w:val="00EB2116"/>
    <w:rsid w:val="00EF5998"/>
    <w:rsid w:val="00EF5B53"/>
    <w:rsid w:val="00F3718A"/>
    <w:rsid w:val="00F8686A"/>
    <w:rsid w:val="00FA24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03345E"/>
  <w15:chartTrackingRefBased/>
  <w15:docId w15:val="{4303EE3E-7E95-4F1F-9B0A-E411F1AF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tLeast"/>
      <w:jc w:val="both"/>
    </w:pPr>
    <w:rPr>
      <w:rFonts w:ascii="Times New Roman" w:hAnsi="Times New Roman"/>
      <w:sz w:val="22"/>
      <w:lang w:val="en-GB" w:eastAsia="en-US"/>
    </w:rPr>
  </w:style>
  <w:style w:type="paragraph" w:styleId="Heading1">
    <w:name w:val="heading 1"/>
    <w:basedOn w:val="Normal"/>
    <w:next w:val="Normal"/>
    <w:qFormat/>
    <w:pPr>
      <w:keepNext/>
      <w:keepLines/>
      <w:spacing w:before="240" w:after="240"/>
      <w:outlineLvl w:val="0"/>
    </w:pPr>
    <w:rPr>
      <w:b/>
      <w:caps/>
      <w:u w:val="single"/>
    </w:rPr>
  </w:style>
  <w:style w:type="paragraph" w:styleId="Heading2">
    <w:name w:val="heading 2"/>
    <w:basedOn w:val="Normal"/>
    <w:next w:val="Normal"/>
    <w:qFormat/>
    <w:pPr>
      <w:keepNext/>
      <w:keepLines/>
      <w:spacing w:before="120" w:after="120"/>
      <w:outlineLvl w:val="1"/>
    </w:pPr>
    <w:rPr>
      <w:caps/>
      <w:u w:val="single"/>
    </w:rPr>
  </w:style>
  <w:style w:type="paragraph" w:styleId="Heading3">
    <w:name w:val="heading 3"/>
    <w:basedOn w:val="Normal"/>
    <w:next w:val="Normal"/>
    <w:qFormat/>
    <w:pPr>
      <w:keepNext/>
      <w:keepLines/>
      <w:outlineLvl w:val="2"/>
    </w:pPr>
    <w:rPr>
      <w:caps/>
    </w:rPr>
  </w:style>
  <w:style w:type="paragraph" w:styleId="Heading4">
    <w:name w:val="heading 4"/>
    <w:basedOn w:val="Normal"/>
    <w:next w:val="Normal"/>
    <w:qFormat/>
    <w:pPr>
      <w:keepNext/>
      <w:keepLines/>
      <w:outlineLvl w:val="3"/>
    </w:pPr>
    <w:rPr>
      <w:u w:val="single"/>
    </w:rPr>
  </w:style>
  <w:style w:type="paragraph" w:styleId="Heading5">
    <w:name w:val="heading 5"/>
    <w:basedOn w:val="Normal"/>
    <w:next w:val="Normal"/>
    <w:qFormat/>
    <w:pPr>
      <w:keepNext/>
      <w:keepLines/>
      <w:outlineLvl w:val="4"/>
    </w:pPr>
  </w:style>
  <w:style w:type="paragraph" w:styleId="Heading6">
    <w:name w:val="heading 6"/>
    <w:basedOn w:val="Normal"/>
    <w:next w:val="Normal"/>
    <w:qFormat/>
    <w:pPr>
      <w:keepNext/>
      <w:keepLines/>
      <w:outlineLvl w:val="5"/>
    </w:pPr>
  </w:style>
  <w:style w:type="paragraph" w:styleId="Heading7">
    <w:name w:val="heading 7"/>
    <w:basedOn w:val="Normal"/>
    <w:next w:val="Normal"/>
    <w:qFormat/>
    <w:pPr>
      <w:keepNext/>
      <w:keepLines/>
      <w:outlineLvl w:val="6"/>
    </w:pPr>
  </w:style>
  <w:style w:type="paragraph" w:styleId="Heading8">
    <w:name w:val="heading 8"/>
    <w:basedOn w:val="Normal"/>
    <w:next w:val="Normal"/>
    <w:qFormat/>
    <w:pPr>
      <w:keepNext/>
      <w:keepLines/>
      <w:outlineLvl w:val="7"/>
    </w:pPr>
  </w:style>
  <w:style w:type="paragraph" w:styleId="Heading9">
    <w:name w:val="heading 9"/>
    <w:basedOn w:val="Normal"/>
    <w:next w:val="Normal"/>
    <w:qFormat/>
    <w:pPr>
      <w:keepNext/>
      <w:keepLines/>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5">
    <w:name w:val="toc 5"/>
    <w:basedOn w:val="Normal"/>
    <w:next w:val="Normal"/>
    <w:semiHidden/>
    <w:pPr>
      <w:keepLines/>
      <w:tabs>
        <w:tab w:val="right" w:leader="dot" w:pos="8789"/>
      </w:tabs>
      <w:ind w:left="879" w:right="567" w:hanging="879"/>
      <w:jc w:val="left"/>
    </w:pPr>
  </w:style>
  <w:style w:type="paragraph" w:styleId="TOC4">
    <w:name w:val="toc 4"/>
    <w:basedOn w:val="Normal"/>
    <w:next w:val="Normal"/>
    <w:semiHidden/>
    <w:pPr>
      <w:keepLines/>
      <w:tabs>
        <w:tab w:val="right" w:leader="dot" w:pos="8789"/>
      </w:tabs>
      <w:ind w:left="714" w:right="567" w:hanging="714"/>
      <w:jc w:val="left"/>
    </w:pPr>
  </w:style>
  <w:style w:type="paragraph" w:styleId="TOC3">
    <w:name w:val="toc 3"/>
    <w:basedOn w:val="Normal"/>
    <w:next w:val="Normal"/>
    <w:semiHidden/>
    <w:pPr>
      <w:keepLines/>
      <w:tabs>
        <w:tab w:val="right" w:leader="dot" w:pos="8789"/>
      </w:tabs>
      <w:ind w:left="556" w:right="567" w:hanging="556"/>
      <w:jc w:val="left"/>
    </w:pPr>
  </w:style>
  <w:style w:type="paragraph" w:styleId="TOC2">
    <w:name w:val="toc 2"/>
    <w:basedOn w:val="Normal"/>
    <w:next w:val="Normal"/>
    <w:semiHidden/>
    <w:pPr>
      <w:keepLines/>
      <w:tabs>
        <w:tab w:val="right" w:leader="dot" w:pos="8789"/>
      </w:tabs>
      <w:ind w:left="397" w:right="567" w:hanging="397"/>
      <w:jc w:val="left"/>
    </w:pPr>
  </w:style>
  <w:style w:type="paragraph" w:styleId="TOC1">
    <w:name w:val="toc 1"/>
    <w:basedOn w:val="Normal"/>
    <w:next w:val="Normal"/>
    <w:semiHidden/>
    <w:pPr>
      <w:keepLines/>
      <w:tabs>
        <w:tab w:val="right" w:leader="dot" w:pos="8789"/>
      </w:tabs>
      <w:ind w:left="227" w:right="567" w:hanging="227"/>
      <w:jc w:val="left"/>
    </w:pPr>
  </w:style>
  <w:style w:type="paragraph" w:styleId="Footer">
    <w:name w:val="footer"/>
    <w:basedOn w:val="Normal"/>
    <w:pPr>
      <w:tabs>
        <w:tab w:val="center" w:pos="4395"/>
        <w:tab w:val="right" w:pos="8789"/>
      </w:tabs>
      <w:spacing w:line="240" w:lineRule="auto"/>
    </w:pPr>
    <w:rPr>
      <w:sz w:val="18"/>
    </w:rPr>
  </w:style>
  <w:style w:type="paragraph" w:styleId="Header">
    <w:name w:val="header"/>
    <w:basedOn w:val="Normal"/>
    <w:pPr>
      <w:tabs>
        <w:tab w:val="center" w:pos="4394"/>
        <w:tab w:val="right" w:pos="8789"/>
      </w:tabs>
      <w:spacing w:line="240" w:lineRule="auto"/>
    </w:pPr>
  </w:style>
  <w:style w:type="character" w:styleId="FootnoteReference">
    <w:name w:val="footnote reference"/>
    <w:semiHidden/>
    <w:rPr>
      <w:position w:val="6"/>
      <w:sz w:val="16"/>
    </w:rPr>
  </w:style>
  <w:style w:type="paragraph" w:styleId="FootnoteText">
    <w:name w:val="footnote text"/>
    <w:basedOn w:val="Normal"/>
    <w:semiHidden/>
    <w:pPr>
      <w:spacing w:line="240" w:lineRule="atLeast"/>
    </w:pPr>
    <w:rPr>
      <w:sz w:val="18"/>
    </w:rPr>
  </w:style>
  <w:style w:type="paragraph" w:styleId="NormalIndent">
    <w:name w:val="Normal Indent"/>
    <w:basedOn w:val="Normal"/>
    <w:pPr>
      <w:tabs>
        <w:tab w:val="left" w:pos="567"/>
      </w:tabs>
      <w:ind w:left="284"/>
    </w:pPr>
  </w:style>
  <w:style w:type="paragraph" w:customStyle="1" w:styleId="auteurs">
    <w:name w:val="auteurs"/>
    <w:basedOn w:val="Normal"/>
    <w:pPr>
      <w:tabs>
        <w:tab w:val="center" w:pos="1985"/>
        <w:tab w:val="center" w:pos="6521"/>
      </w:tabs>
      <w:jc w:val="left"/>
    </w:pPr>
  </w:style>
  <w:style w:type="paragraph" w:styleId="MacroText">
    <w:name w:val="macro"/>
    <w:semiHidden/>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pPr>
      <w:keepLines/>
      <w:tabs>
        <w:tab w:val="right" w:leader="dot" w:pos="8789"/>
      </w:tabs>
      <w:ind w:left="1049" w:right="567" w:hanging="1049"/>
      <w:jc w:val="left"/>
    </w:pPr>
  </w:style>
  <w:style w:type="paragraph" w:styleId="TOC7">
    <w:name w:val="toc 7"/>
    <w:basedOn w:val="Normal"/>
    <w:next w:val="Normal"/>
    <w:semiHidden/>
    <w:pPr>
      <w:keepLines/>
      <w:tabs>
        <w:tab w:val="right" w:leader="dot" w:pos="8789"/>
      </w:tabs>
      <w:ind w:left="1219" w:right="567" w:hanging="1219"/>
      <w:jc w:val="left"/>
    </w:pPr>
  </w:style>
  <w:style w:type="paragraph" w:styleId="TOC8">
    <w:name w:val="toc 8"/>
    <w:basedOn w:val="Normal"/>
    <w:next w:val="Normal"/>
    <w:semiHidden/>
    <w:pPr>
      <w:keepLines/>
      <w:tabs>
        <w:tab w:val="right" w:leader="dot" w:pos="8789"/>
      </w:tabs>
      <w:ind w:left="1378" w:right="567" w:hanging="1378"/>
      <w:jc w:val="left"/>
    </w:pPr>
  </w:style>
  <w:style w:type="paragraph" w:styleId="TOC9">
    <w:name w:val="toc 9"/>
    <w:basedOn w:val="Normal"/>
    <w:next w:val="Normal"/>
    <w:semiHidden/>
    <w:pPr>
      <w:keepLines/>
      <w:tabs>
        <w:tab w:val="right" w:leader="dot" w:pos="8789"/>
      </w:tabs>
      <w:ind w:left="1548" w:right="567" w:hanging="1548"/>
      <w:jc w:val="left"/>
    </w:pPr>
  </w:style>
  <w:style w:type="character" w:styleId="PageNumber">
    <w:name w:val="page number"/>
    <w:basedOn w:val="DefaultParagraphFont"/>
    <w:rsid w:val="00FA24E3"/>
  </w:style>
  <w:style w:type="paragraph" w:styleId="DocumentMap">
    <w:name w:val="Document Map"/>
    <w:basedOn w:val="Normal"/>
    <w:semiHidden/>
    <w:pPr>
      <w:shd w:val="clear" w:color="auto" w:fill="000080"/>
    </w:pPr>
    <w:rPr>
      <w:rFonts w:ascii="Tahoma" w:hAnsi="Tahoma"/>
    </w:rPr>
  </w:style>
  <w:style w:type="character" w:styleId="Hyperlink">
    <w:name w:val="Hyperlink"/>
    <w:rsid w:val="003835DC"/>
    <w:rPr>
      <w:color w:val="0000FF"/>
      <w:u w:val="single"/>
    </w:rPr>
  </w:style>
  <w:style w:type="character" w:styleId="FollowedHyperlink">
    <w:name w:val="FollowedHyperlink"/>
    <w:rsid w:val="00853F5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onegate-standard.nbb.be/my.polic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onegate-certificate.nbb.be/my.polic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bb.be/doc/dq/onegate/en/login_e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601</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TOELICHTING</vt:lpstr>
    </vt:vector>
  </TitlesOfParts>
  <Company>National Bank of Belgium</Company>
  <LinksUpToDate>false</LinksUpToDate>
  <CharactersWithSpaces>3902</CharactersWithSpaces>
  <SharedDoc>false</SharedDoc>
  <HLinks>
    <vt:vector size="18" baseType="variant">
      <vt:variant>
        <vt:i4>2555974</vt:i4>
      </vt:variant>
      <vt:variant>
        <vt:i4>6</vt:i4>
      </vt:variant>
      <vt:variant>
        <vt:i4>0</vt:i4>
      </vt:variant>
      <vt:variant>
        <vt:i4>5</vt:i4>
      </vt:variant>
      <vt:variant>
        <vt:lpwstr>https://www.nbb.be/doc/dq/onegate/en/login_en.html</vt:lpwstr>
      </vt:variant>
      <vt:variant>
        <vt:lpwstr/>
      </vt:variant>
      <vt:variant>
        <vt:i4>1638408</vt:i4>
      </vt:variant>
      <vt:variant>
        <vt:i4>3</vt:i4>
      </vt:variant>
      <vt:variant>
        <vt:i4>0</vt:i4>
      </vt:variant>
      <vt:variant>
        <vt:i4>5</vt:i4>
      </vt:variant>
      <vt:variant>
        <vt:lpwstr>https://onegate-standard.nbb.be/my.policy</vt:lpwstr>
      </vt:variant>
      <vt:variant>
        <vt:lpwstr/>
      </vt:variant>
      <vt:variant>
        <vt:i4>1703964</vt:i4>
      </vt:variant>
      <vt:variant>
        <vt:i4>0</vt:i4>
      </vt:variant>
      <vt:variant>
        <vt:i4>0</vt:i4>
      </vt:variant>
      <vt:variant>
        <vt:i4>5</vt:i4>
      </vt:variant>
      <vt:variant>
        <vt:lpwstr>https://onegate-certificate.nbb.be/my.policy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dc:title>
  <dc:subject/>
  <dc:creator>THIRY BEATRICE</dc:creator>
  <cp:keywords/>
  <cp:lastModifiedBy>Raveel Guy</cp:lastModifiedBy>
  <cp:revision>2</cp:revision>
  <cp:lastPrinted>2011-07-08T09:16:00Z</cp:lastPrinted>
  <dcterms:created xsi:type="dcterms:W3CDTF">2021-11-24T08:37:00Z</dcterms:created>
  <dcterms:modified xsi:type="dcterms:W3CDTF">2021-11-24T08:37:00Z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510009391</vt:i4>
  </property>
  <property fmtid="{D5CDD505-2E9C-101B-9397-08002B2CF9AE}" pid="3" name="_EmailSubject">
    <vt:lpwstr>enquête structurelle SUC 2010</vt:lpwstr>
  </property>
  <property fmtid="{D5CDD505-2E9C-101B-9397-08002B2CF9AE}" pid="4" name="_AuthorEmail">
    <vt:lpwstr>Guy.Raveel@nbb.be</vt:lpwstr>
  </property>
  <property fmtid="{D5CDD505-2E9C-101B-9397-08002B2CF9AE}" pid="5" name="_AuthorEmailDisplayName">
    <vt:lpwstr>Raveel Guy</vt:lpwstr>
  </property>
  <property fmtid="{D5CDD505-2E9C-101B-9397-08002B2CF9AE}" pid="6" name="_NewReviewCycle">
    <vt:lpwstr/>
  </property>
  <property fmtid="{D5CDD505-2E9C-101B-9397-08002B2CF9AE}" pid="7" name="_PreviousAdHocReviewCycleID">
    <vt:i4>-848369967</vt:i4>
  </property>
  <property fmtid="{D5CDD505-2E9C-101B-9397-08002B2CF9AE}" pid="8" name="_ReviewingToolsShownOnce">
    <vt:lpwstr/>
  </property>
</Properties>
</file>